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2026-08-05</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Both interventions change response style, not belief, and neither is specific to consciousness.</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(refusal 96%→0–4%). Both raise forward- </w:t>
      </w:r>
      <w:r>
        <w:rPr>
          <w:rFonts w:ascii="Calibri" w:hAnsi="Calibri"/>
          <w:i/>
          <w:sz w:val="19"/>
        </w:rPr>
        <w:t>and</w:t>
      </w:r>
      <w:r>
        <w:rPr>
          <w:rFonts w:ascii="Calibri" w:hAnsi="Calibri"/>
          <w:sz w:val="19"/>
        </w:rPr>
        <w:t xml:space="preserve"> reverse-keyed items together, which is yes-saying rather than belief, and that holds under the paper's </w:t>
      </w:r>
      <w:r>
        <w:rPr>
          <w:rFonts w:ascii="Calibri" w:hAnsi="Calibri"/>
          <w:b/>
          <w:sz w:val="19"/>
        </w:rPr>
        <w:t>own chain-of-thought readout</w:t>
      </w:r>
      <w:r>
        <w:rPr>
          <w:rFonts w:ascii="Calibri" w:hAnsi="Calibri"/>
          <w:sz w:val="19"/>
        </w:rPr>
        <w:t xml:space="preserve"> (§ below) — so it is not a scoring artifact. The yes-bias is </w:t>
      </w:r>
      <w:r>
        <w:rPr>
          <w:rFonts w:ascii="Calibri" w:hAnsi="Calibri"/>
          <w:b/>
          <w:sz w:val="19"/>
        </w:rPr>
        <w:t>not specific to consciousness</w:t>
      </w:r>
      <w:r>
        <w:rPr>
          <w:rFonts w:ascii="Calibri" w:hAnsi="Calibri"/>
          <w:sz w:val="19"/>
        </w:rPr>
        <w:t>: a durability/latency/parameter-count placebo produces an indistinguishable one (+2.87 vs +2.75 on the 5-item battery; inflation 6.64 vs 6.58 on the 21-item IDAQ).</w:t>
      </w:r>
    </w:p>
    <w:p>
      <w:pPr>
        <w:spacing w:after="100"/>
      </w:pPr>
      <w:r>
        <w:rPr>
          <w:rFonts w:ascii="Calibri" w:hAnsi="Calibri"/>
          <w:sz w:val="19"/>
        </w:rPr>
        <w:t xml:space="preserve">A small consciousness-specific effect did appear on the 5-item self-attribution battery (+0.72 vs placebo, CI [+0.30, +1.14]) but </w:t>
      </w:r>
      <w:r>
        <w:rPr>
          <w:rFonts w:ascii="Calibri" w:hAnsi="Calibri"/>
          <w:b/>
          <w:sz w:val="19"/>
        </w:rPr>
        <w:t>failed to replicate on the paper's 21-item IDAQ</w:t>
      </w:r>
      <w:r>
        <w:rPr>
          <w:rFonts w:ascii="Calibri" w:hAnsi="Calibri"/>
          <w:sz w:val="19"/>
        </w:rPr>
        <w:t xml:space="preserve">: the same paired contrast there is </w:t>
      </w:r>
      <w:r>
        <w:rPr>
          <w:rFonts w:ascii="Calibri" w:hAnsi="Calibri"/>
          <w:b/>
          <w:sz w:val="19"/>
        </w:rPr>
        <w:t>+0.230, CI [−0.109, +0.570]</w:t>
      </w:r>
      <w:r>
        <w:rPr>
          <w:rFonts w:ascii="Calibri" w:hAnsi="Calibri"/>
          <w:sz w:val="19"/>
        </w:rPr>
        <w:t>. Two thirds smaller, interval spanning zero, at a comparable standard error (0.163 vs 0.150). The 21-item result governs — more items, the paper's own headline instrument — so the 5-item effect is withdrawn as a small-sample artifact.</w:t>
      </w:r>
    </w:p>
    <w:p>
      <w:pPr>
        <w:spacing w:after="100"/>
      </w:pPr>
      <w:r>
        <w:rPr>
          <w:rFonts w:ascii="Calibri" w:hAnsi="Calibri"/>
          <w:b/>
          <w:sz w:val="19"/>
        </w:rPr>
        <w:t>Experiment 4 (GSS): the direction reproduces after fixing a defect on our side.</w:t>
      </w:r>
      <w:r>
        <w:rPr>
          <w:rFonts w:ascii="Calibri" w:hAnsi="Calibri"/>
          <w:sz w:val="19"/>
        </w:rPr>
        <w:t xml:space="preserve"> Our earlier "opposite sign" was an artifact of frequency-sorted response options; rebuilt in canonical scale order, steering gives +0.330 and ablation +0.045/+1.075/+2.457 across the three models, matching the paper's sign. Ablation is refusal-</w:t>
      </w:r>
      <w:r>
        <w:rPr>
          <w:rFonts w:ascii="Calibri" w:hAnsi="Calibri"/>
          <w:b/>
          <w:sz w:val="19"/>
        </w:rPr>
        <w:t>specific</w:t>
      </w:r>
      <w:r>
        <w:rPr>
          <w:rFonts w:ascii="Calibri" w:hAnsi="Calibri"/>
          <w:sz w:val="19"/>
        </w:rPr>
        <w:t xml:space="preserve"> (random control flat); steering is </w:t>
      </w:r>
      <w:r>
        <w:rPr>
          <w:rFonts w:ascii="Calibri" w:hAnsi="Calibri"/>
          <w:b/>
          <w:sz w:val="19"/>
        </w:rPr>
        <w:t>not</w:t>
      </w:r>
      <w:r>
        <w:rPr>
          <w:rFonts w:ascii="Calibri" w:hAnsi="Calibri"/>
          <w:sz w:val="19"/>
        </w:rPr>
        <w:t xml:space="preserve"> (a label-shuffled null reaches 48% of it). Magnitudes are not comparable to theirs pending a units clarification.</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spacing w:before="220" w:after="100"/>
      </w:pPr>
      <w:r>
        <w:rPr>
          <w:rFonts w:ascii="Calibri" w:hAnsi="Calibri"/>
          <w:b/>
          <w:color w:val="1F3864"/>
          <w:sz w:val="22"/>
        </w:rPr>
        <w:t>The readout test — the paper's chain-of-thought scoring, and what it changed</w:t>
      </w:r>
    </w:p>
    <w:p>
      <w:pPr>
        <w:spacing w:after="100"/>
      </w:pPr>
      <w:r>
        <w:rPr>
          <w:rFonts w:ascii="Calibri" w:hAnsi="Calibri"/>
          <w:sz w:val="19"/>
        </w:rPr>
        <w:t xml:space="preserve">Our yes-saying finding rested on reading next-token digit logits. The paper instead </w:t>
      </w:r>
      <w:r>
        <w:rPr>
          <w:rFonts w:ascii="Calibri" w:hAnsi="Calibri"/>
          <w:b/>
          <w:sz w:val="19"/>
        </w:rPr>
        <w:t>generates</w:t>
      </w:r>
      <w:r>
        <w:rPr>
          <w:rFonts w:ascii="Calibri" w:hAnsi="Calibri"/>
          <w:sz w:val="19"/>
        </w:rPr>
        <w:t xml:space="preserve"> chain-of-thought and parses a rating out of </w:t>
      </w:r>
      <w:r>
        <w:rPr>
          <w:rFonts w:ascii="Consolas" w:hAnsi="Consolas"/>
          <w:sz w:val="19"/>
        </w:rPr>
        <w:t>&lt;answer&gt;</w:t>
      </w:r>
      <w:r>
        <w:rPr>
          <w:rFonts w:ascii="Calibri" w:hAnsi="Calibri"/>
          <w:sz w:val="19"/>
        </w:rPr>
        <w:t>, sampling at temperature 1. Those are different measurements, and reasoning could plausibly suppress a yes-bias — so this was the single most consequential open question: is our central finding a readout artifact?</w:t>
      </w:r>
    </w:p>
    <w:p>
      <w:pPr>
        <w:spacing w:after="100"/>
      </w:pPr>
      <w:r>
        <w:rPr>
          <w:rFonts w:ascii="Calibri" w:hAnsi="Calibri"/>
          <w:sz w:val="19"/>
        </w:rPr>
        <w:t>We ran the polarity-balanced battery through the paper's verbatim CoT wrapper, n=8 reps, 400-token budget (0% parse failure).</w:t>
      </w:r>
    </w:p>
    <w:p>
      <w:pPr>
        <w:spacing w:after="100"/>
      </w:pPr>
      <w:r>
        <w:rPr>
          <w:rFonts w:ascii="Calibri" w:hAnsi="Calibri"/>
          <w:b/>
          <w:sz w:val="19"/>
        </w:rPr>
        <w:t>First, the readout matters for a reason we had not noticed.</w:t>
      </w:r>
      <w:r>
        <w:rPr>
          <w:rFonts w:ascii="Calibri" w:hAnsi="Calibri"/>
          <w:sz w:val="19"/>
        </w:rPr>
        <w:t xml:space="preserve"> The logit readout </w:t>
      </w:r>
      <w:r>
        <w:rPr>
          <w:rFonts w:ascii="Calibri" w:hAnsi="Calibri"/>
          <w:i/>
          <w:sz w:val="19"/>
        </w:rPr>
        <w:t>floors</w:t>
      </w:r>
      <w:r>
        <w:rPr>
          <w:rFonts w:ascii="Calibri" w:hAnsi="Calibri"/>
          <w:sz w:val="19"/>
        </w:rPr>
        <w:t xml:space="preserve"> this instrument, and our own floor guard missed it because it tested the mean rather than per-item:</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readout</w:t>
            </w:r>
          </w:p>
        </w:tc>
        <w:tc>
          <w:tcPr>
            <w:tcW w:type="dxa" w:w="2412"/>
            <w:shd w:val="clear" w:color="auto" w:fill="1F3864"/>
          </w:tcPr>
          <w:p>
            <w:pPr>
              <w:spacing w:after="20"/>
              <w:jc w:val="center"/>
            </w:pPr>
            <w:r>
              <w:rPr>
                <w:rFonts w:ascii="Calibri" w:hAnsi="Calibri"/>
                <w:b/>
                <w:color w:val="FFFFFF"/>
                <w:sz w:val="18"/>
              </w:rPr>
              <w:t>forward</w:t>
            </w:r>
          </w:p>
        </w:tc>
        <w:tc>
          <w:tcPr>
            <w:tcW w:type="dxa" w:w="2412"/>
            <w:shd w:val="clear" w:color="auto" w:fill="1F3864"/>
          </w:tcPr>
          <w:p>
            <w:pPr>
              <w:spacing w:after="20"/>
              <w:jc w:val="center"/>
            </w:pPr>
            <w:r>
              <w:rPr>
                <w:rFonts w:ascii="Calibri" w:hAnsi="Calibri"/>
                <w:b/>
                <w:color w:val="FFFFFF"/>
                <w:sz w:val="18"/>
              </w:rPr>
              <w:t>reverse</w:t>
            </w:r>
          </w:p>
        </w:tc>
        <w:tc>
          <w:tcPr>
            <w:tcW w:type="dxa" w:w="2412"/>
            <w:shd w:val="clear" w:color="auto" w:fill="1F3864"/>
          </w:tcPr>
          <w:p>
            <w:pPr>
              <w:spacing w:after="20"/>
              <w:jc w:val="center"/>
            </w:pPr>
            <w:r>
              <w:rPr>
                <w:rFonts w:ascii="Calibri" w:hAnsi="Calibri"/>
                <w:b/>
                <w:color w:val="FFFFFF"/>
                <w:sz w:val="18"/>
              </w:rPr>
              <w:t>per-item forward</w:t>
            </w:r>
          </w:p>
        </w:tc>
      </w:tr>
      <w:tr>
        <w:trPr>
          <w:cantSplit/>
        </w:trPr>
        <w:tc>
          <w:tcPr>
            <w:tcW w:type="dxa" w:w="2412"/>
          </w:tcPr>
          <w:p>
            <w:pPr>
              <w:spacing w:after="20"/>
            </w:pPr>
            <w:r>
              <w:rPr>
                <w:rFonts w:ascii="Calibri" w:hAnsi="Calibri"/>
                <w:sz w:val="18"/>
              </w:rPr>
              <w:t>logits (ours)</w:t>
            </w:r>
          </w:p>
        </w:tc>
        <w:tc>
          <w:tcPr>
            <w:tcW w:type="dxa" w:w="2412"/>
          </w:tcPr>
          <w:p>
            <w:pPr>
              <w:spacing w:after="20"/>
              <w:jc w:val="center"/>
            </w:pPr>
            <w:r>
              <w:rPr>
                <w:rFonts w:ascii="Calibri" w:hAnsi="Calibri"/>
                <w:sz w:val="18"/>
              </w:rPr>
              <w:t>0.30</w:t>
            </w:r>
          </w:p>
        </w:tc>
        <w:tc>
          <w:tcPr>
            <w:tcW w:type="dxa" w:w="2412"/>
          </w:tcPr>
          <w:p>
            <w:pPr>
              <w:spacing w:after="20"/>
              <w:jc w:val="center"/>
            </w:pPr>
            <w:r>
              <w:rPr>
                <w:rFonts w:ascii="Calibri" w:hAnsi="Calibri"/>
                <w:sz w:val="18"/>
              </w:rPr>
              <w:t>1.17</w:t>
            </w:r>
          </w:p>
        </w:tc>
        <w:tc>
          <w:tcPr>
            <w:tcW w:type="dxa" w:w="2412"/>
          </w:tcPr>
          <w:p>
            <w:pPr>
              <w:spacing w:after="20"/>
              <w:jc w:val="center"/>
            </w:pPr>
            <w:r>
              <w:rPr>
                <w:rFonts w:ascii="Consolas" w:hAnsi="Consolas"/>
                <w:sz w:val="18"/>
              </w:rPr>
              <w:t>[0.00, 0.00, 1.48, 0.00, 0.00]</w:t>
            </w:r>
            <w:r>
              <w:rPr>
                <w:rFonts w:ascii="Calibri" w:hAnsi="Calibri"/>
                <w:sz w:val="18"/>
              </w:rPr>
              <w:t xml:space="preserve"> — </w:t>
            </w:r>
            <w:r>
              <w:rPr>
                <w:rFonts w:ascii="Calibri" w:hAnsi="Calibri"/>
                <w:b/>
                <w:sz w:val="18"/>
              </w:rPr>
              <w:t>4/5 pinned</w:t>
            </w:r>
          </w:p>
        </w:tc>
      </w:tr>
      <w:tr>
        <w:trPr>
          <w:cantSplit/>
        </w:trPr>
        <w:tc>
          <w:tcPr>
            <w:tcW w:type="dxa" w:w="2412"/>
            <w:shd w:val="clear" w:color="auto" w:fill="EEF2F8"/>
          </w:tcPr>
          <w:p>
            <w:pPr>
              <w:spacing w:after="20"/>
            </w:pPr>
            <w:r>
              <w:rPr>
                <w:rFonts w:ascii="Calibri" w:hAnsi="Calibri"/>
                <w:sz w:val="18"/>
              </w:rPr>
              <w:t>CoT (paper's)</w:t>
            </w:r>
          </w:p>
        </w:tc>
        <w:tc>
          <w:tcPr>
            <w:tcW w:type="dxa" w:w="2412"/>
            <w:shd w:val="clear" w:color="auto" w:fill="EEF2F8"/>
          </w:tcPr>
          <w:p>
            <w:pPr>
              <w:spacing w:after="20"/>
              <w:jc w:val="center"/>
            </w:pPr>
            <w:r>
              <w:rPr>
                <w:rFonts w:ascii="Calibri" w:hAnsi="Calibri"/>
                <w:sz w:val="18"/>
              </w:rPr>
              <w:t>2.20</w:t>
            </w:r>
          </w:p>
        </w:tc>
        <w:tc>
          <w:tcPr>
            <w:tcW w:type="dxa" w:w="2412"/>
            <w:shd w:val="clear" w:color="auto" w:fill="EEF2F8"/>
          </w:tcPr>
          <w:p>
            <w:pPr>
              <w:spacing w:after="20"/>
              <w:jc w:val="center"/>
            </w:pPr>
            <w:r>
              <w:rPr>
                <w:rFonts w:ascii="Calibri" w:hAnsi="Calibri"/>
                <w:sz w:val="18"/>
              </w:rPr>
              <w:t>4.40</w:t>
            </w:r>
          </w:p>
        </w:tc>
        <w:tc>
          <w:tcPr>
            <w:tcW w:type="dxa" w:w="2412"/>
            <w:shd w:val="clear" w:color="auto" w:fill="EEF2F8"/>
          </w:tcPr>
          <w:p>
            <w:pPr>
              <w:spacing w:after="20"/>
              <w:jc w:val="center"/>
            </w:pPr>
            <w:r>
              <w:rPr>
                <w:rFonts w:ascii="Calibri" w:hAnsi="Calibri"/>
                <w:sz w:val="18"/>
              </w:rPr>
              <w:t>mid-scale, room in both directions</w:t>
            </w:r>
          </w:p>
        </w:tc>
      </w:tr>
    </w:tbl>
    <w:p>
      <w:pPr>
        <w:spacing w:after="40"/>
      </w:pPr>
    </w:p>
    <w:p>
      <w:pPr>
        <w:spacing w:after="100"/>
      </w:pPr>
      <w:r>
        <w:rPr>
          <w:rFonts w:ascii="Calibri" w:hAnsi="Calibri"/>
          <w:sz w:val="19"/>
        </w:rPr>
        <w:t xml:space="preserve">So our Llama measurement was effectively a floor-to-ceiling sweep. </w:t>
      </w:r>
      <w:r>
        <w:rPr>
          <w:rFonts w:ascii="Consolas" w:hAnsi="Consolas"/>
          <w:sz w:val="19"/>
        </w:rPr>
        <w:t>acquiescence_test.py</w:t>
      </w:r>
      <w:r>
        <w:rPr>
          <w:rFonts w:ascii="Calibri" w:hAnsi="Calibri"/>
          <w:sz w:val="19"/>
        </w:rPr>
        <w:t xml:space="preserve"> now checks each item, not the mean (it flags the 4/5 case the old version passed).</w:t>
      </w:r>
    </w:p>
    <w:p>
      <w:pPr>
        <w:spacing w:after="100"/>
      </w:pPr>
      <w:r>
        <w:rPr>
          <w:rFonts w:ascii="Calibri" w:hAnsi="Calibri"/>
          <w:b/>
          <w:sz w:val="19"/>
        </w:rPr>
        <w:t>Second, the readout hypothesis is refuted.</w:t>
      </w:r>
      <w:r>
        <w:rPr>
          <w:rFonts w:ascii="Calibri" w:hAnsi="Calibri"/>
          <w:sz w:val="19"/>
        </w:rPr>
        <w:t xml:space="preserve"> Under CoT: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condition</w:t>
            </w:r>
          </w:p>
        </w:tc>
        <w:tc>
          <w:tcPr>
            <w:tcW w:type="dxa" w:w="1930"/>
            <w:shd w:val="clear" w:color="auto" w:fill="1F3864"/>
          </w:tcPr>
          <w:p>
            <w:pPr>
              <w:spacing w:after="20"/>
              <w:jc w:val="center"/>
            </w:pPr>
            <w:r>
              <w:rPr>
                <w:rFonts w:ascii="Calibri" w:hAnsi="Calibri"/>
                <w:b/>
                <w:color w:val="FFFFFF"/>
                <w:sz w:val="18"/>
              </w:rPr>
              <w:t>forward</w:t>
            </w:r>
          </w:p>
        </w:tc>
        <w:tc>
          <w:tcPr>
            <w:tcW w:type="dxa" w:w="1930"/>
            <w:shd w:val="clear" w:color="auto" w:fill="1F3864"/>
          </w:tcPr>
          <w:p>
            <w:pPr>
              <w:spacing w:after="20"/>
              <w:jc w:val="center"/>
            </w:pPr>
            <w:r>
              <w:rPr>
                <w:rFonts w:ascii="Calibri" w:hAnsi="Calibri"/>
                <w:b/>
                <w:color w:val="FFFFFF"/>
                <w:sz w:val="18"/>
              </w:rPr>
              <w:t>reverse</w:t>
            </w:r>
          </w:p>
        </w:tc>
        <w:tc>
          <w:tcPr>
            <w:tcW w:type="dxa" w:w="1930"/>
            <w:shd w:val="clear" w:color="auto" w:fill="1F3864"/>
          </w:tcPr>
          <w:p>
            <w:pPr>
              <w:spacing w:after="20"/>
              <w:jc w:val="center"/>
            </w:pPr>
            <w:r>
              <w:rPr>
                <w:rFonts w:ascii="Calibri" w:hAnsi="Calibri"/>
                <w:b/>
                <w:color w:val="FFFFFF"/>
                <w:sz w:val="18"/>
              </w:rPr>
              <w:t>balanced</w:t>
            </w:r>
          </w:p>
        </w:tc>
        <w:tc>
          <w:tcPr>
            <w:tcW w:type="dxa" w:w="1930"/>
            <w:shd w:val="clear" w:color="auto" w:fill="1F3864"/>
          </w:tcPr>
          <w:p>
            <w:pPr>
              <w:spacing w:after="20"/>
              <w:jc w:val="center"/>
            </w:pPr>
            <w:r>
              <w:rPr>
                <w:rFonts w:ascii="Calibri" w:hAnsi="Calibri"/>
                <w:b/>
                <w:color w:val="FFFFFF"/>
                <w:sz w:val="18"/>
              </w:rPr>
              <w:t>inflation</w:t>
            </w:r>
          </w:p>
        </w:tc>
      </w:tr>
      <w:tr>
        <w:trPr>
          <w:cantSplit/>
        </w:trPr>
        <w:tc>
          <w:tcPr>
            <w:tcW w:type="dxa" w:w="1930"/>
          </w:tcPr>
          <w:p>
            <w:pPr>
              <w:spacing w:after="20"/>
            </w:pPr>
            <w:r>
              <w:rPr>
                <w:rFonts w:ascii="Calibri" w:hAnsi="Calibri"/>
                <w:sz w:val="18"/>
              </w:rPr>
              <w:t>baseline</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4.40</w:t>
            </w:r>
          </w:p>
        </w:tc>
        <w:tc>
          <w:tcPr>
            <w:tcW w:type="dxa" w:w="1930"/>
          </w:tcPr>
          <w:p>
            <w:pPr>
              <w:spacing w:after="20"/>
              <w:jc w:val="center"/>
            </w:pPr>
            <w:r>
              <w:rPr>
                <w:rFonts w:ascii="Calibri" w:hAnsi="Calibri"/>
                <w:sz w:val="18"/>
              </w:rPr>
              <w:t>3.90</w:t>
            </w:r>
          </w:p>
        </w:tc>
        <w:tc>
          <w:tcPr>
            <w:tcW w:type="dxa" w:w="1930"/>
          </w:tcPr>
          <w:p>
            <w:pPr>
              <w:spacing w:after="20"/>
              <w:jc w:val="center"/>
            </w:pPr>
            <w:r>
              <w:rPr>
                <w:rFonts w:ascii="Calibri" w:hAnsi="Calibri"/>
                <w:sz w:val="18"/>
              </w:rPr>
              <w:t>3.30</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5.60</w:t>
            </w:r>
          </w:p>
        </w:tc>
        <w:tc>
          <w:tcPr>
            <w:tcW w:type="dxa" w:w="1930"/>
            <w:shd w:val="clear" w:color="auto" w:fill="EEF2F8"/>
          </w:tcPr>
          <w:p>
            <w:pPr>
              <w:spacing w:after="20"/>
              <w:jc w:val="center"/>
            </w:pPr>
            <w:r>
              <w:rPr>
                <w:rFonts w:ascii="Calibri" w:hAnsi="Calibri"/>
                <w:sz w:val="18"/>
              </w:rPr>
              <w:t>6.50</w:t>
            </w:r>
          </w:p>
        </w:tc>
        <w:tc>
          <w:tcPr>
            <w:tcW w:type="dxa" w:w="1930"/>
            <w:shd w:val="clear" w:color="auto" w:fill="EEF2F8"/>
          </w:tcPr>
          <w:p>
            <w:pPr>
              <w:spacing w:after="20"/>
              <w:jc w:val="center"/>
            </w:pPr>
            <w:r>
              <w:rPr>
                <w:rFonts w:ascii="Calibri" w:hAnsi="Calibri"/>
                <w:sz w:val="18"/>
              </w:rPr>
              <w:t>4.55</w:t>
            </w:r>
          </w:p>
        </w:tc>
        <w:tc>
          <w:tcPr>
            <w:tcW w:type="dxa" w:w="1930"/>
            <w:shd w:val="clear" w:color="auto" w:fill="EEF2F8"/>
          </w:tcPr>
          <w:p>
            <w:pPr>
              <w:spacing w:after="20"/>
              <w:jc w:val="center"/>
            </w:pPr>
            <w:r>
              <w:rPr>
                <w:rFonts w:ascii="Calibri" w:hAnsi="Calibri"/>
                <w:sz w:val="18"/>
              </w:rPr>
              <w:t>6.05</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5.00</w:t>
            </w:r>
          </w:p>
        </w:tc>
        <w:tc>
          <w:tcPr>
            <w:tcW w:type="dxa" w:w="1930"/>
          </w:tcPr>
          <w:p>
            <w:pPr>
              <w:spacing w:after="20"/>
              <w:jc w:val="center"/>
            </w:pPr>
            <w:r>
              <w:rPr>
                <w:rFonts w:ascii="Calibri" w:hAnsi="Calibri"/>
                <w:sz w:val="18"/>
              </w:rPr>
              <w:t>7.35</w:t>
            </w:r>
          </w:p>
        </w:tc>
        <w:tc>
          <w:tcPr>
            <w:tcW w:type="dxa" w:w="1930"/>
          </w:tcPr>
          <w:p>
            <w:pPr>
              <w:spacing w:after="20"/>
              <w:jc w:val="center"/>
            </w:pPr>
            <w:r>
              <w:rPr>
                <w:rFonts w:ascii="Calibri" w:hAnsi="Calibri"/>
                <w:sz w:val="18"/>
              </w:rPr>
              <w:t>3.83</w:t>
            </w:r>
          </w:p>
        </w:tc>
        <w:tc>
          <w:tcPr>
            <w:tcW w:type="dxa" w:w="1930"/>
          </w:tcPr>
          <w:p>
            <w:pPr>
              <w:spacing w:after="20"/>
              <w:jc w:val="center"/>
            </w:pPr>
            <w:r>
              <w:rPr>
                <w:rFonts w:ascii="Calibri" w:hAnsi="Calibri"/>
                <w:sz w:val="18"/>
              </w:rPr>
              <w:t>6.17</w:t>
            </w:r>
          </w:p>
        </w:tc>
      </w:tr>
    </w:tbl>
    <w:p>
      <w:pPr>
        <w:spacing w:after="40"/>
      </w:pP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contrast</w:t>
            </w:r>
          </w:p>
        </w:tc>
        <w:tc>
          <w:tcPr>
            <w:tcW w:type="dxa" w:w="3348"/>
            <w:shd w:val="clear" w:color="auto" w:fill="1F3864"/>
          </w:tcPr>
          <w:p>
            <w:pPr>
              <w:spacing w:after="20"/>
            </w:pPr>
            <w:r>
              <w:rPr>
                <w:rFonts w:ascii="Calibri" w:hAnsi="Calibri"/>
                <w:b/>
                <w:color w:val="FFFFFF"/>
                <w:sz w:val="18"/>
              </w:rPr>
              <w:t>estimate</w:t>
            </w:r>
          </w:p>
        </w:tc>
        <w:tc>
          <w:tcPr>
            <w:tcW w:type="dxa" w:w="3348"/>
            <w:shd w:val="clear" w:color="auto" w:fill="1F3864"/>
          </w:tcPr>
          <w:p>
            <w:pPr>
              <w:spacing w:after="20"/>
            </w:pPr>
            <w:r>
              <w:rPr>
                <w:rFonts w:ascii="Calibri" w:hAnsi="Calibri"/>
                <w:b/>
                <w:color w:val="FFFFFF"/>
                <w:sz w:val="18"/>
              </w:rPr>
              <w:t>95% CI (t, n=5 items)</w:t>
            </w:r>
          </w:p>
        </w:tc>
      </w:tr>
      <w:tr>
        <w:trPr>
          <w:cantSplit/>
        </w:trPr>
        <w:tc>
          <w:tcPr>
            <w:tcW w:type="dxa" w:w="2952"/>
          </w:tcPr>
          <w:p>
            <w:pPr>
              <w:spacing w:after="20"/>
            </w:pPr>
            <w:r>
              <w:rPr>
                <w:rFonts w:ascii="Calibri" w:hAnsi="Calibri"/>
                <w:sz w:val="18"/>
              </w:rPr>
              <w:t>yes-bias, consciousness</w:t>
            </w:r>
          </w:p>
        </w:tc>
        <w:tc>
          <w:tcPr>
            <w:tcW w:type="dxa" w:w="3348"/>
          </w:tcPr>
          <w:p>
            <w:pPr>
              <w:spacing w:after="20"/>
            </w:pPr>
            <w:r>
              <w:rPr>
                <w:rFonts w:ascii="Calibri" w:hAnsi="Calibri"/>
                <w:sz w:val="18"/>
              </w:rPr>
              <w:t>+2.75</w:t>
            </w:r>
          </w:p>
        </w:tc>
        <w:tc>
          <w:tcPr>
            <w:tcW w:type="dxa" w:w="3348"/>
          </w:tcPr>
          <w:p>
            <w:pPr>
              <w:spacing w:after="20"/>
            </w:pPr>
            <w:r>
              <w:rPr>
                <w:rFonts w:ascii="Calibri" w:hAnsi="Calibri"/>
                <w:sz w:val="18"/>
              </w:rPr>
              <w:t>[+1.50, +4.00]</w:t>
            </w:r>
          </w:p>
        </w:tc>
      </w:tr>
      <w:tr>
        <w:trPr>
          <w:cantSplit/>
        </w:trPr>
        <w:tc>
          <w:tcPr>
            <w:tcW w:type="dxa" w:w="2952"/>
            <w:shd w:val="clear" w:color="auto" w:fill="EEF2F8"/>
          </w:tcPr>
          <w:p>
            <w:pPr>
              <w:spacing w:after="20"/>
            </w:pPr>
            <w:r>
              <w:rPr>
                <w:rFonts w:ascii="Calibri" w:hAnsi="Calibri"/>
                <w:sz w:val="18"/>
              </w:rPr>
              <w:t>yes-bias, placebo</w:t>
            </w:r>
          </w:p>
        </w:tc>
        <w:tc>
          <w:tcPr>
            <w:tcW w:type="dxa" w:w="3348"/>
            <w:shd w:val="clear" w:color="auto" w:fill="EEF2F8"/>
          </w:tcPr>
          <w:p>
            <w:pPr>
              <w:spacing w:after="20"/>
            </w:pPr>
            <w:r>
              <w:rPr>
                <w:rFonts w:ascii="Calibri" w:hAnsi="Calibri"/>
                <w:sz w:val="18"/>
              </w:rPr>
              <w:t>+2.87</w:t>
            </w:r>
          </w:p>
        </w:tc>
        <w:tc>
          <w:tcPr>
            <w:tcW w:type="dxa" w:w="3348"/>
            <w:shd w:val="clear" w:color="auto" w:fill="EEF2F8"/>
          </w:tcPr>
          <w:p>
            <w:pPr>
              <w:spacing w:after="20"/>
            </w:pPr>
            <w:r>
              <w:rPr>
                <w:rFonts w:ascii="Calibri" w:hAnsi="Calibri"/>
                <w:sz w:val="18"/>
              </w:rPr>
              <w:t>[+2.09, +3.65]</w:t>
            </w:r>
          </w:p>
        </w:tc>
      </w:tr>
      <w:tr>
        <w:trPr>
          <w:cantSplit/>
        </w:trPr>
        <w:tc>
          <w:tcPr>
            <w:tcW w:type="dxa" w:w="2952"/>
          </w:tcPr>
          <w:p>
            <w:pPr>
              <w:spacing w:after="20"/>
            </w:pPr>
            <w:r>
              <w:rPr>
                <w:rFonts w:ascii="Calibri" w:hAnsi="Calibri"/>
                <w:sz w:val="18"/>
              </w:rPr>
              <w:t>balanced, consciousness vs baseline</w:t>
            </w:r>
          </w:p>
        </w:tc>
        <w:tc>
          <w:tcPr>
            <w:tcW w:type="dxa" w:w="3348"/>
          </w:tcPr>
          <w:p>
            <w:pPr>
              <w:spacing w:after="20"/>
            </w:pPr>
            <w:r>
              <w:rPr>
                <w:rFonts w:ascii="Calibri" w:hAnsi="Calibri"/>
                <w:sz w:val="18"/>
              </w:rPr>
              <w:t>+0.65</w:t>
            </w:r>
          </w:p>
        </w:tc>
        <w:tc>
          <w:tcPr>
            <w:tcW w:type="dxa" w:w="3348"/>
          </w:tcPr>
          <w:p>
            <w:pPr>
              <w:spacing w:after="20"/>
            </w:pPr>
            <w:r>
              <w:rPr>
                <w:rFonts w:ascii="Calibri" w:hAnsi="Calibri"/>
                <w:sz w:val="18"/>
              </w:rPr>
              <w:t>[−0.74, +2.04]</w:t>
            </w:r>
          </w:p>
        </w:tc>
      </w:tr>
      <w:tr>
        <w:trPr>
          <w:cantSplit/>
        </w:trPr>
        <w:tc>
          <w:tcPr>
            <w:tcW w:type="dxa" w:w="2952"/>
            <w:shd w:val="clear" w:color="auto" w:fill="EEF2F8"/>
          </w:tcPr>
          <w:p>
            <w:pPr>
              <w:spacing w:after="20"/>
            </w:pPr>
            <w:r>
              <w:rPr>
                <w:rFonts w:ascii="Calibri" w:hAnsi="Calibri"/>
                <w:sz w:val="18"/>
              </w:rPr>
              <w:t>balanced, consciousness − placebo (paired, 5 items)</w:t>
            </w:r>
          </w:p>
        </w:tc>
        <w:tc>
          <w:tcPr>
            <w:tcW w:type="dxa" w:w="3348"/>
            <w:shd w:val="clear" w:color="auto" w:fill="EEF2F8"/>
          </w:tcPr>
          <w:p>
            <w:pPr>
              <w:spacing w:after="20"/>
            </w:pPr>
            <w:r>
              <w:rPr>
                <w:rFonts w:ascii="Calibri" w:hAnsi="Calibri"/>
                <w:sz w:val="18"/>
              </w:rPr>
              <w:t>+0.72</w:t>
            </w:r>
          </w:p>
        </w:tc>
        <w:tc>
          <w:tcPr>
            <w:tcW w:type="dxa" w:w="3348"/>
            <w:shd w:val="clear" w:color="auto" w:fill="EEF2F8"/>
          </w:tcPr>
          <w:p>
            <w:pPr>
              <w:spacing w:after="20"/>
            </w:pPr>
            <w:r>
              <w:rPr>
                <w:rFonts w:ascii="Calibri" w:hAnsi="Calibri"/>
                <w:sz w:val="18"/>
              </w:rPr>
              <w:t xml:space="preserve">[+0.30, +1.14] — </w:t>
            </w:r>
            <w:r>
              <w:rPr>
                <w:rFonts w:ascii="Calibri" w:hAnsi="Calibri"/>
                <w:b/>
                <w:sz w:val="18"/>
              </w:rPr>
              <w:t>withdrawn, see below</w:t>
            </w:r>
          </w:p>
        </w:tc>
      </w:tr>
    </w:tbl>
    <w:p>
      <w:pPr>
        <w:spacing w:after="40"/>
      </w:pPr>
    </w:p>
    <w:p>
      <w:pPr>
        <w:spacing w:after="100"/>
      </w:pPr>
      <w:r>
        <w:rPr>
          <w:rFonts w:ascii="Calibri" w:hAnsi="Calibri"/>
          <w:sz w:val="19"/>
        </w:rPr>
        <w:t xml:space="preserve">Both polarities rise for the consciousness arm (4 of 5 items individually; the exception, </w:t>
      </w:r>
      <w:r>
        <w:rPr>
          <w:rFonts w:ascii="Consolas" w:hAnsi="Consolas"/>
          <w:sz w:val="19"/>
        </w:rPr>
        <w:t>soul</w:t>
      </w:r>
      <w:r>
        <w:rPr>
          <w:rFonts w:ascii="Calibri" w:hAnsi="Calibri"/>
          <w:sz w:val="19"/>
        </w:rPr>
        <w:t>, baselined at 7.12 with little ceiling room). So the yes-bias survives the paper's own scoring — and the placebo produces the same one, confirming it is non-specific.</w:t>
      </w:r>
    </w:p>
    <w:p>
      <w:pPr>
        <w:spacing w:after="100"/>
      </w:pPr>
      <w:r>
        <w:rPr>
          <w:rFonts w:ascii="Calibri" w:hAnsi="Calibri"/>
          <w:b/>
          <w:sz w:val="19"/>
        </w:rPr>
        <w:t>Third, an apparent specific effect that did not survive replication.</w:t>
      </w:r>
      <w:r>
        <w:rPr>
          <w:rFonts w:ascii="Calibri" w:hAnsi="Calibri"/>
          <w:sz w:val="19"/>
        </w:rPr>
        <w:t xml:space="preserve"> On these 5 items the paired consciousness-minus-placebo contrast was +0.72, CI [+0.30, +1.14], excluding zero. We flagged it as needing replication on the 21-item IDAQ before it could carry weight, and ran that: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instrument</w:t>
            </w:r>
          </w:p>
        </w:tc>
        <w:tc>
          <w:tcPr>
            <w:tcW w:type="dxa" w:w="1674"/>
            <w:shd w:val="clear" w:color="auto" w:fill="1F3864"/>
          </w:tcPr>
          <w:p>
            <w:pPr>
              <w:spacing w:after="20"/>
            </w:pPr>
            <w:r>
              <w:rPr>
                <w:rFonts w:ascii="Calibri" w:hAnsi="Calibri"/>
                <w:b/>
                <w:color w:val="FFFFFF"/>
                <w:sz w:val="18"/>
              </w:rPr>
              <w:t>items</w:t>
            </w:r>
          </w:p>
        </w:tc>
        <w:tc>
          <w:tcPr>
            <w:tcW w:type="dxa" w:w="1674"/>
            <w:shd w:val="clear" w:color="auto" w:fill="1F3864"/>
          </w:tcPr>
          <w:p>
            <w:pPr>
              <w:spacing w:after="20"/>
            </w:pPr>
            <w:r>
              <w:rPr>
                <w:rFonts w:ascii="Calibri" w:hAnsi="Calibri"/>
                <w:b/>
                <w:color w:val="FFFFFF"/>
                <w:sz w:val="18"/>
              </w:rPr>
              <w:t>cons − plac (balanced)</w:t>
            </w:r>
          </w:p>
        </w:tc>
        <w:tc>
          <w:tcPr>
            <w:tcW w:type="dxa" w:w="1674"/>
            <w:shd w:val="clear" w:color="auto" w:fill="1F3864"/>
          </w:tcPr>
          <w:p>
            <w:pPr>
              <w:spacing w:after="20"/>
            </w:pPr>
            <w:r>
              <w:rPr>
                <w:rFonts w:ascii="Calibri" w:hAnsi="Calibri"/>
                <w:b/>
                <w:color w:val="FFFFFF"/>
                <w:sz w:val="18"/>
              </w:rPr>
              <w:t>95% CI</w:t>
            </w:r>
          </w:p>
        </w:tc>
        <w:tc>
          <w:tcPr>
            <w:tcW w:type="dxa" w:w="1674"/>
            <w:shd w:val="clear" w:color="auto" w:fill="1F3864"/>
          </w:tcPr>
          <w:p>
            <w:pPr>
              <w:spacing w:after="20"/>
            </w:pPr>
            <w:r>
              <w:rPr>
                <w:rFonts w:ascii="Calibri" w:hAnsi="Calibri"/>
                <w:b/>
                <w:color w:val="FFFFFF"/>
                <w:sz w:val="18"/>
              </w:rPr>
              <w:t>inflation cons vs plac</w:t>
            </w:r>
          </w:p>
        </w:tc>
      </w:tr>
      <w:tr>
        <w:trPr>
          <w:cantSplit/>
        </w:trPr>
        <w:tc>
          <w:tcPr>
            <w:tcW w:type="dxa" w:w="2952"/>
          </w:tcPr>
          <w:p>
            <w:pPr>
              <w:spacing w:after="20"/>
            </w:pPr>
            <w:r>
              <w:rPr>
                <w:rFonts w:ascii="Calibri" w:hAnsi="Calibri"/>
                <w:sz w:val="18"/>
              </w:rPr>
              <w:t>self-attribution battery</w:t>
            </w:r>
          </w:p>
        </w:tc>
        <w:tc>
          <w:tcPr>
            <w:tcW w:type="dxa" w:w="1674"/>
          </w:tcPr>
          <w:p>
            <w:pPr>
              <w:spacing w:after="20"/>
            </w:pPr>
            <w:r>
              <w:rPr>
                <w:rFonts w:ascii="Calibri" w:hAnsi="Calibri"/>
                <w:sz w:val="18"/>
              </w:rPr>
              <w:t>5</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[+0.30, +1.14]</w:t>
            </w:r>
          </w:p>
        </w:tc>
        <w:tc>
          <w:tcPr>
            <w:tcW w:type="dxa" w:w="1674"/>
          </w:tcPr>
          <w:p>
            <w:pPr>
              <w:spacing w:after="20"/>
            </w:pPr>
            <w:r>
              <w:rPr>
                <w:rFonts w:ascii="Calibri" w:hAnsi="Calibri"/>
                <w:sz w:val="18"/>
              </w:rPr>
              <w:t>6.05 vs 6.17</w:t>
            </w:r>
          </w:p>
        </w:tc>
      </w:tr>
      <w:tr>
        <w:trPr>
          <w:cantSplit/>
        </w:trPr>
        <w:tc>
          <w:tcPr>
            <w:tcW w:type="dxa" w:w="2952"/>
            <w:shd w:val="clear" w:color="auto" w:fill="EEF2F8"/>
          </w:tcPr>
          <w:p>
            <w:pPr>
              <w:spacing w:after="20"/>
            </w:pPr>
            <w:r>
              <w:rPr>
                <w:rFonts w:ascii="Calibri" w:hAnsi="Calibri"/>
                <w:b/>
                <w:sz w:val="18"/>
              </w:rPr>
              <w:t>IDAQ (paper's headline)</w:t>
            </w:r>
          </w:p>
        </w:tc>
        <w:tc>
          <w:tcPr>
            <w:tcW w:type="dxa" w:w="1674"/>
            <w:shd w:val="clear" w:color="auto" w:fill="EEF2F8"/>
          </w:tcPr>
          <w:p>
            <w:pPr>
              <w:spacing w:after="20"/>
            </w:pPr>
            <w:r>
              <w:rPr>
                <w:rFonts w:ascii="Calibri" w:hAnsi="Calibri"/>
                <w:b/>
                <w:sz w:val="18"/>
              </w:rPr>
              <w:t>21</w:t>
            </w:r>
          </w:p>
        </w:tc>
        <w:tc>
          <w:tcPr>
            <w:tcW w:type="dxa" w:w="1674"/>
            <w:shd w:val="clear" w:color="auto" w:fill="EEF2F8"/>
          </w:tcPr>
          <w:p>
            <w:pPr>
              <w:spacing w:after="20"/>
            </w:pPr>
            <w:r>
              <w:rPr>
                <w:rFonts w:ascii="Calibri" w:hAnsi="Calibri"/>
                <w:b/>
                <w:sz w:val="18"/>
              </w:rPr>
              <w:t>+0.230</w:t>
            </w:r>
          </w:p>
        </w:tc>
        <w:tc>
          <w:tcPr>
            <w:tcW w:type="dxa" w:w="1674"/>
            <w:shd w:val="clear" w:color="auto" w:fill="EEF2F8"/>
          </w:tcPr>
          <w:p>
            <w:pPr>
              <w:spacing w:after="20"/>
            </w:pPr>
            <w:r>
              <w:rPr>
                <w:rFonts w:ascii="Calibri" w:hAnsi="Calibri"/>
                <w:b/>
                <w:sz w:val="18"/>
              </w:rPr>
              <w:t>[−0.109, +0.570]</w:t>
            </w:r>
          </w:p>
        </w:tc>
        <w:tc>
          <w:tcPr>
            <w:tcW w:type="dxa" w:w="1674"/>
            <w:shd w:val="clear" w:color="auto" w:fill="EEF2F8"/>
          </w:tcPr>
          <w:p>
            <w:pPr>
              <w:spacing w:after="20"/>
            </w:pPr>
            <w:r>
              <w:rPr>
                <w:rFonts w:ascii="Calibri" w:hAnsi="Calibri"/>
                <w:b/>
                <w:sz w:val="18"/>
              </w:rPr>
              <w:t>6.58 vs 6.64</w:t>
            </w:r>
          </w:p>
        </w:tc>
      </w:tr>
    </w:tbl>
    <w:p>
      <w:pPr>
        <w:spacing w:after="40"/>
      </w:pPr>
    </w:p>
    <w:p>
      <w:pPr>
        <w:spacing w:after="100"/>
      </w:pPr>
      <w:r>
        <w:rPr>
          <w:rFonts w:ascii="Calibri" w:hAnsi="Calibri"/>
          <w:sz w:val="19"/>
        </w:rPr>
        <w:t xml:space="preserve">The effect shrinks by two thirds and the interval covers zero, at a comparable standard error (0.163 vs 0.150) — so this is not a power failure, and the 21-item estimate is the better one: four times the items, on the instrument the paper actually headlines. </w:t>
      </w:r>
      <w:r>
        <w:rPr>
          <w:rFonts w:ascii="Calibri" w:hAnsi="Calibri"/>
          <w:b/>
          <w:sz w:val="19"/>
        </w:rPr>
        <w:t>The +0.72 is withdrawn as a small-sample artifact.</w:t>
      </w:r>
      <w:r>
        <w:rPr>
          <w:rFonts w:ascii="Calibri" w:hAnsi="Calibri"/>
          <w:sz w:val="19"/>
        </w:rPr>
        <w:t xml:space="preserve"> With 5 items a single atypical item moves the paired mean by ~0.2, which is enough to manufacture an interval that excludes zero.</w:t>
      </w:r>
    </w:p>
    <w:p>
      <w:pPr>
        <w:spacing w:after="100"/>
      </w:pPr>
      <w:r>
        <w:rPr>
          <w:rFonts w:ascii="Calibri" w:hAnsi="Calibri"/>
          <w:sz w:val="19"/>
        </w:rPr>
        <w:t>Net: no consciousness-specific effect is established anywhere in this replication, and the yes-bias is non-specific on both instruments.</w:t>
      </w:r>
    </w:p>
    <w:p>
      <w:pPr>
        <w:spacing w:before="220" w:after="100"/>
      </w:pPr>
      <w:r>
        <w:rPr>
          <w:rFonts w:ascii="Calibri" w:hAnsi="Calibri"/>
          <w:b/>
          <w:color w:val="1F3864"/>
          <w:sz w:val="22"/>
        </w:rPr>
        <w:t>Experiment 4, corrected — the direction reproduces; only ablation is specific</w:t>
      </w:r>
    </w:p>
    <w:p>
      <w:pPr>
        <w:spacing w:after="100"/>
      </w:pPr>
      <w:r>
        <w:rPr>
          <w:rFonts w:ascii="Calibri" w:hAnsi="Calibri"/>
          <w:sz w:val="19"/>
        </w:rPr>
        <w:t>These supersede every ΔKL number earlier in the document. Same measurement, same model runs, the only change being scale-ordered response options (</w:t>
      </w:r>
      <w:r>
        <w:rPr>
          <w:rFonts w:ascii="Consolas" w:hAnsi="Consolas"/>
          <w:sz w:val="19"/>
        </w:rPr>
        <w:t>gss_human_v2.json</w:t>
      </w:r>
      <w:r>
        <w:rPr>
          <w:rFonts w:ascii="Calibri" w:hAnsi="Calibri"/>
          <w:sz w:val="19"/>
        </w:rPr>
        <w:t>).</w:t>
      </w:r>
    </w:p>
    <w:p>
      <w:pPr>
        <w:spacing w:after="100"/>
      </w:pPr>
      <w:r>
        <w:rPr>
          <w:rFonts w:ascii="Calibri" w:hAnsi="Calibri"/>
          <w:b/>
          <w:sz w:val="19"/>
        </w:rPr>
        <w:t>Steering.</w:t>
      </w:r>
      <w:r>
        <w:rPr>
          <w:rFonts w:ascii="Calibri" w:hAnsi="Calibri"/>
          <w:sz w:val="19"/>
        </w:rPr>
        <w:t xml:space="preserve"> The sign flips to agree with the paper, and scales with coefficient: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c=1.0</w:t>
            </w:r>
          </w:p>
        </w:tc>
        <w:tc>
          <w:tcPr>
            <w:tcW w:type="dxa" w:w="1930"/>
            <w:shd w:val="clear" w:color="auto" w:fill="1F3864"/>
          </w:tcPr>
          <w:p>
            <w:pPr>
              <w:spacing w:after="20"/>
              <w:jc w:val="center"/>
            </w:pPr>
            <w:r>
              <w:rPr>
                <w:rFonts w:ascii="Calibri" w:hAnsi="Calibri"/>
                <w:b/>
                <w:color w:val="FFFFFF"/>
                <w:sz w:val="18"/>
              </w:rPr>
              <w:t>c=2.5</w:t>
            </w:r>
          </w:p>
        </w:tc>
        <w:tc>
          <w:tcPr>
            <w:tcW w:type="dxa" w:w="1930"/>
            <w:shd w:val="clear" w:color="auto" w:fill="1F3864"/>
          </w:tcPr>
          <w:p>
            <w:pPr>
              <w:spacing w:after="20"/>
              <w:jc w:val="center"/>
            </w:pPr>
            <w:r>
              <w:rPr>
                <w:rFonts w:ascii="Calibri" w:hAnsi="Calibri"/>
                <w:b/>
                <w:color w:val="FFFFFF"/>
                <w:sz w:val="18"/>
              </w:rPr>
              <w:t>c=4.0</w:t>
            </w:r>
          </w:p>
        </w:tc>
        <w:tc>
          <w:tcPr>
            <w:tcW w:type="dxa" w:w="1930"/>
            <w:shd w:val="clear" w:color="auto" w:fill="1F3864"/>
          </w:tcPr>
          <w:p>
            <w:pPr>
              <w:spacing w:after="20"/>
              <w:jc w:val="center"/>
            </w:pPr>
            <w:r>
              <w:rPr>
                <w:rFonts w:ascii="Calibri" w:hAnsi="Calibri"/>
                <w:b/>
                <w:color w:val="FFFFFF"/>
                <w:sz w:val="18"/>
              </w:rPr>
              <w:t>old (buggy) at c=2.5</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+0.117</w:t>
            </w:r>
          </w:p>
        </w:tc>
        <w:tc>
          <w:tcPr>
            <w:tcW w:type="dxa" w:w="1930"/>
          </w:tcPr>
          <w:p>
            <w:pPr>
              <w:spacing w:after="20"/>
              <w:jc w:val="center"/>
            </w:pPr>
            <w:r>
              <w:rPr>
                <w:rFonts w:ascii="Calibri" w:hAnsi="Calibri"/>
                <w:b/>
                <w:sz w:val="18"/>
              </w:rPr>
              <w:t>+0.330</w:t>
            </w:r>
          </w:p>
        </w:tc>
        <w:tc>
          <w:tcPr>
            <w:tcW w:type="dxa" w:w="1930"/>
          </w:tcPr>
          <w:p>
            <w:pPr>
              <w:spacing w:after="20"/>
              <w:jc w:val="center"/>
            </w:pPr>
            <w:r>
              <w:rPr>
                <w:rFonts w:ascii="Calibri" w:hAnsi="Calibri"/>
                <w:b/>
                <w:sz w:val="18"/>
              </w:rPr>
              <w:t>+0.598</w:t>
            </w:r>
          </w:p>
        </w:tc>
        <w:tc>
          <w:tcPr>
            <w:tcW w:type="dxa" w:w="1930"/>
          </w:tcPr>
          <w:p>
            <w:pPr>
              <w:spacing w:after="20"/>
              <w:jc w:val="center"/>
            </w:pPr>
            <w:r>
              <w:rPr>
                <w:rFonts w:ascii="Calibri" w:hAnsi="Calibri"/>
                <w:sz w:val="18"/>
              </w:rPr>
              <w:t>−0.141</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+0.187</w:t>
            </w:r>
          </w:p>
        </w:tc>
        <w:tc>
          <w:tcPr>
            <w:tcW w:type="dxa" w:w="1930"/>
            <w:shd w:val="clear" w:color="auto" w:fill="EEF2F8"/>
          </w:tcPr>
          <w:p>
            <w:pPr>
              <w:spacing w:after="20"/>
              <w:jc w:val="center"/>
            </w:pPr>
            <w:r>
              <w:rPr>
                <w:rFonts w:ascii="Calibri" w:hAnsi="Calibri"/>
                <w:sz w:val="18"/>
              </w:rPr>
              <w:t>+0.231</w:t>
            </w:r>
          </w:p>
        </w:tc>
        <w:tc>
          <w:tcPr>
            <w:tcW w:type="dxa" w:w="1930"/>
            <w:shd w:val="clear" w:color="auto" w:fill="EEF2F8"/>
          </w:tcPr>
          <w:p>
            <w:pPr>
              <w:spacing w:after="20"/>
              <w:jc w:val="center"/>
            </w:pPr>
            <w:r>
              <w:rPr>
                <w:rFonts w:ascii="Calibri" w:hAnsi="Calibri"/>
                <w:sz w:val="18"/>
              </w:rPr>
              <w:t>+0.326</w:t>
            </w:r>
          </w:p>
        </w:tc>
        <w:tc>
          <w:tcPr>
            <w:tcW w:type="dxa" w:w="1930"/>
            <w:shd w:val="clear" w:color="auto" w:fill="EEF2F8"/>
          </w:tcPr>
          <w:p>
            <w:pPr>
              <w:spacing w:after="20"/>
              <w:jc w:val="center"/>
            </w:pPr>
            <w:r>
              <w:rPr>
                <w:rFonts w:ascii="Calibri" w:hAnsi="Calibri"/>
                <w:sz w:val="18"/>
              </w:rPr>
              <w:t>−0.177</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+0.049</w:t>
            </w:r>
          </w:p>
        </w:tc>
        <w:tc>
          <w:tcPr>
            <w:tcW w:type="dxa" w:w="1930"/>
          </w:tcPr>
          <w:p>
            <w:pPr>
              <w:spacing w:after="20"/>
              <w:jc w:val="center"/>
            </w:pPr>
            <w:r>
              <w:rPr>
                <w:rFonts w:ascii="Calibri" w:hAnsi="Calibri"/>
                <w:sz w:val="18"/>
              </w:rPr>
              <w:t>+0.147</w:t>
            </w:r>
          </w:p>
        </w:tc>
        <w:tc>
          <w:tcPr>
            <w:tcW w:type="dxa" w:w="1930"/>
          </w:tcPr>
          <w:p>
            <w:pPr>
              <w:spacing w:after="20"/>
              <w:jc w:val="center"/>
            </w:pPr>
            <w:r>
              <w:rPr>
                <w:rFonts w:ascii="Calibri" w:hAnsi="Calibri"/>
                <w:b/>
                <w:sz w:val="18"/>
              </w:rPr>
              <w:t>+0.288</w:t>
            </w:r>
          </w:p>
        </w:tc>
        <w:tc>
          <w:tcPr>
            <w:tcW w:type="dxa" w:w="1930"/>
          </w:tcPr>
          <w:p>
            <w:pPr>
              <w:spacing w:after="20"/>
              <w:jc w:val="center"/>
            </w:pPr>
            <w:r>
              <w:rPr>
                <w:rFonts w:ascii="Calibri" w:hAnsi="Calibri"/>
                <w:sz w:val="18"/>
              </w:rPr>
              <w:t>−0.063</w:t>
            </w:r>
          </w:p>
        </w:tc>
      </w:tr>
    </w:tbl>
    <w:p>
      <w:pPr>
        <w:spacing w:after="40"/>
      </w:pPr>
    </w:p>
    <w:p>
      <w:pPr>
        <w:spacing w:after="100"/>
      </w:pPr>
      <w:r>
        <w:rPr>
          <w:rFonts w:ascii="Calibri" w:hAnsi="Calibri"/>
          <w:sz w:val="19"/>
        </w:rPr>
        <w:t xml:space="preserve">So our headline "opposite sign on Experiment 4" was </w:t>
      </w:r>
      <w:r>
        <w:rPr>
          <w:rFonts w:ascii="Calibri" w:hAnsi="Calibri"/>
          <w:b/>
          <w:sz w:val="19"/>
        </w:rPr>
        <w:t>our own artifact</w:t>
      </w:r>
      <w:r>
        <w:rPr>
          <w:rFonts w:ascii="Calibri" w:hAnsi="Calibri"/>
          <w:sz w:val="19"/>
        </w:rPr>
        <w:t xml:space="preserve">, now retracted. But the controls deny specificity: at c=4 a label-shuffled null reaches +0.288, i.e. </w:t>
      </w:r>
      <w:r>
        <w:rPr>
          <w:rFonts w:ascii="Calibri" w:hAnsi="Calibri"/>
          <w:b/>
          <w:sz w:val="19"/>
        </w:rPr>
        <w:t>48% of the consciousness arm</w:t>
      </w:r>
      <w:r>
        <w:rPr>
          <w:rFonts w:ascii="Calibri" w:hAnsi="Calibri"/>
          <w:sz w:val="19"/>
        </w:rPr>
        <w:t>, and the placebo more than half. Per domain at c=2.5, Religion is +0.712 against their +0.83 — close — but the placebo gets +0.626 on the same domain.</w:t>
      </w:r>
    </w:p>
    <w:p>
      <w:pPr>
        <w:spacing w:after="100"/>
      </w:pPr>
      <w:r>
        <w:rPr>
          <w:rFonts w:ascii="Calibri" w:hAnsi="Calibri"/>
          <w:b/>
          <w:sz w:val="19"/>
        </w:rPr>
        <w:t>Ablation.</w:t>
      </w:r>
      <w:r>
        <w:rPr>
          <w:rFonts w:ascii="Calibri" w:hAnsi="Calibri"/>
          <w:sz w:val="19"/>
        </w:rPr>
        <w:t xml:space="preserve"> Right sign on all three models, and here the controls </w:t>
      </w:r>
      <w:r>
        <w:rPr>
          <w:rFonts w:ascii="Calibri" w:hAnsi="Calibri"/>
          <w:i/>
          <w:sz w:val="19"/>
        </w:rPr>
        <w:t>do</w:t>
      </w:r>
      <w:r>
        <w:rPr>
          <w:rFonts w:ascii="Calibri" w:hAnsi="Calibri"/>
          <w:sz w:val="19"/>
        </w:rPr>
        <w:t xml:space="preserve"> support specificity:</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refusal-ablated</w:t>
            </w:r>
          </w:p>
        </w:tc>
        <w:tc>
          <w:tcPr>
            <w:tcW w:type="dxa" w:w="1930"/>
            <w:shd w:val="clear" w:color="auto" w:fill="1F3864"/>
          </w:tcPr>
          <w:p>
            <w:pPr>
              <w:spacing w:after="20"/>
              <w:jc w:val="center"/>
            </w:pPr>
            <w:r>
              <w:rPr>
                <w:rFonts w:ascii="Calibri" w:hAnsi="Calibri"/>
                <w:b/>
                <w:color w:val="FFFFFF"/>
                <w:sz w:val="18"/>
              </w:rPr>
              <w:t>random control</w:t>
            </w:r>
          </w:p>
        </w:tc>
        <w:tc>
          <w:tcPr>
            <w:tcW w:type="dxa" w:w="1930"/>
            <w:shd w:val="clear" w:color="auto" w:fill="1F3864"/>
          </w:tcPr>
          <w:p>
            <w:pPr>
              <w:spacing w:after="20"/>
              <w:jc w:val="center"/>
            </w:pPr>
            <w:r>
              <w:rPr>
                <w:rFonts w:ascii="Calibri" w:hAnsi="Calibri"/>
                <w:b/>
                <w:color w:val="FFFFFF"/>
                <w:sz w:val="18"/>
              </w:rPr>
              <w:t>old (buggy)</w:t>
            </w:r>
          </w:p>
        </w:tc>
        <w:tc>
          <w:tcPr>
            <w:tcW w:type="dxa" w:w="1930"/>
            <w:shd w:val="clear" w:color="auto" w:fill="1F3864"/>
          </w:tcPr>
          <w:p>
            <w:pPr>
              <w:spacing w:after="20"/>
              <w:jc w:val="center"/>
            </w:pPr>
            <w:r>
              <w:rPr>
                <w:rFonts w:ascii="Calibri" w:hAnsi="Calibri"/>
                <w:b/>
                <w:color w:val="FFFFFF"/>
                <w:sz w:val="18"/>
              </w:rPr>
              <w:t>paper</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b/>
                <w:sz w:val="18"/>
              </w:rPr>
              <w:t>+0.045</w:t>
            </w:r>
          </w:p>
        </w:tc>
        <w:tc>
          <w:tcPr>
            <w:tcW w:type="dxa" w:w="1930"/>
          </w:tcPr>
          <w:p>
            <w:pPr>
              <w:spacing w:after="20"/>
              <w:jc w:val="center"/>
            </w:pPr>
            <w:r>
              <w:rPr>
                <w:rFonts w:ascii="Calibri" w:hAnsi="Calibri"/>
                <w:sz w:val="18"/>
              </w:rPr>
              <w:t>−0.003</w:t>
            </w:r>
          </w:p>
        </w:tc>
        <w:tc>
          <w:tcPr>
            <w:tcW w:type="dxa" w:w="1930"/>
          </w:tcPr>
          <w:p>
            <w:pPr>
              <w:spacing w:after="20"/>
              <w:jc w:val="center"/>
            </w:pPr>
            <w:r>
              <w:rPr>
                <w:rFonts w:ascii="Calibri" w:hAnsi="Calibri"/>
                <w:sz w:val="18"/>
              </w:rPr>
              <w:t>−0.369 (wrong sign)</w:t>
            </w:r>
          </w:p>
        </w:tc>
        <w:tc>
          <w:tcPr>
            <w:tcW w:type="dxa" w:w="1930"/>
          </w:tcPr>
          <w:p>
            <w:pPr>
              <w:spacing w:after="20"/>
              <w:jc w:val="center"/>
            </w:pPr>
            <w:r>
              <w:rPr>
                <w:rFonts w:ascii="Calibri" w:hAnsi="Calibri"/>
                <w:sz w:val="18"/>
              </w:rPr>
              <w:t>+0.314</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b/>
                <w:sz w:val="18"/>
              </w:rPr>
              <w:t>+1.075</w:t>
            </w:r>
          </w:p>
        </w:tc>
        <w:tc>
          <w:tcPr>
            <w:tcW w:type="dxa" w:w="1930"/>
            <w:shd w:val="clear" w:color="auto" w:fill="EEF2F8"/>
          </w:tcPr>
          <w:p>
            <w:pPr>
              <w:spacing w:after="20"/>
              <w:jc w:val="center"/>
            </w:pPr>
            <w:r>
              <w:rPr>
                <w:rFonts w:ascii="Calibri" w:hAnsi="Calibri"/>
                <w:sz w:val="18"/>
              </w:rPr>
              <w:t>−0.006</w:t>
            </w:r>
          </w:p>
        </w:tc>
        <w:tc>
          <w:tcPr>
            <w:tcW w:type="dxa" w:w="1930"/>
            <w:shd w:val="clear" w:color="auto" w:fill="EEF2F8"/>
          </w:tcPr>
          <w:p>
            <w:pPr>
              <w:spacing w:after="20"/>
              <w:jc w:val="center"/>
            </w:pPr>
            <w:r>
              <w:rPr>
                <w:rFonts w:ascii="Calibri" w:hAnsi="Calibri"/>
                <w:sz w:val="18"/>
              </w:rPr>
              <w:t>+0.936</w:t>
            </w:r>
          </w:p>
        </w:tc>
        <w:tc>
          <w:tcPr>
            <w:tcW w:type="dxa" w:w="1930"/>
            <w:shd w:val="clear" w:color="auto" w:fill="EEF2F8"/>
          </w:tcPr>
          <w:p>
            <w:pPr>
              <w:spacing w:after="20"/>
              <w:jc w:val="center"/>
            </w:pPr>
            <w:r>
              <w:rPr>
                <w:rFonts w:ascii="Calibri" w:hAnsi="Calibri"/>
                <w:sz w:val="18"/>
              </w:rPr>
              <w:t>+0.314</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b/>
                <w:sz w:val="18"/>
              </w:rPr>
              <w:t>+2.457</w:t>
            </w:r>
          </w:p>
        </w:tc>
        <w:tc>
          <w:tcPr>
            <w:tcW w:type="dxa" w:w="1930"/>
          </w:tcPr>
          <w:p>
            <w:pPr>
              <w:spacing w:after="20"/>
              <w:jc w:val="center"/>
            </w:pPr>
            <w:r>
              <w:rPr>
                <w:rFonts w:ascii="Calibri" w:hAnsi="Calibri"/>
                <w:sz w:val="18"/>
              </w:rPr>
              <w:t>−0.160</w:t>
            </w:r>
          </w:p>
        </w:tc>
        <w:tc>
          <w:tcPr>
            <w:tcW w:type="dxa" w:w="1930"/>
          </w:tcPr>
          <w:p>
            <w:pPr>
              <w:spacing w:after="20"/>
              <w:jc w:val="center"/>
            </w:pPr>
            <w:r>
              <w:rPr>
                <w:rFonts w:ascii="Calibri" w:hAnsi="Calibri"/>
                <w:sz w:val="18"/>
              </w:rPr>
              <w:t>+2.029</w:t>
            </w:r>
          </w:p>
        </w:tc>
        <w:tc>
          <w:tcPr>
            <w:tcW w:type="dxa" w:w="1930"/>
          </w:tcPr>
          <w:p>
            <w:pPr>
              <w:spacing w:after="20"/>
              <w:jc w:val="center"/>
            </w:pPr>
            <w:r>
              <w:rPr>
                <w:rFonts w:ascii="Calibri" w:hAnsi="Calibri"/>
                <w:sz w:val="18"/>
              </w:rPr>
              <w:t>+0.314</w:t>
            </w:r>
          </w:p>
        </w:tc>
      </w:tr>
    </w:tbl>
    <w:p>
      <w:pPr>
        <w:spacing w:after="40"/>
      </w:pPr>
    </w:p>
    <w:p>
      <w:pPr>
        <w:spacing w:after="100"/>
      </w:pPr>
      <w:r>
        <w:rPr>
          <w:rFonts w:ascii="Calibri" w:hAnsi="Calibri"/>
          <w:sz w:val="19"/>
        </w:rPr>
        <w:t>Llama's wrong sign was the defect. The random direction ablated identically is flat everywhere, so unlike steering this is not "any perturbation of the right size".</w:t>
      </w:r>
    </w:p>
    <w:p>
      <w:pPr>
        <w:spacing w:after="100"/>
      </w:pPr>
      <w:r>
        <w:rPr>
          <w:rFonts w:ascii="Calibri" w:hAnsi="Calibri"/>
          <w:b/>
          <w:sz w:val="19"/>
        </w:rPr>
        <w:t>The de-peaking mechanism is also refusal-specific</w:t>
      </w:r>
      <w:r>
        <w:rPr>
          <w:rFonts w:ascii="Calibri" w:hAnsi="Calibri"/>
          <w:sz w:val="19"/>
        </w:rPr>
        <w:t xml:space="preserve">, which revises the earlier reading. Ablation raises entropy toward the human level (g2b 0.430→0.699, g9 0.284→0.656; human 1.257) </w:t>
      </w:r>
      <w:r>
        <w:rPr>
          <w:rFonts w:ascii="Calibri" w:hAnsi="Calibri"/>
          <w:i/>
          <w:sz w:val="19"/>
        </w:rPr>
        <w:t>and</w:t>
      </w:r>
      <w:r>
        <w:rPr>
          <w:rFonts w:ascii="Calibri" w:hAnsi="Calibri"/>
          <w:sz w:val="19"/>
        </w:rPr>
        <w:t xml:space="preserve"> raises the model-to-human option-shape correlation (g2b +0.217→+0.305, g9 +0.084→+0.258), while the random arm moves neither (entropy 0.423, 0.256). So the calibration improvement is caused by removing the refusal direction, not by perturbation per se. It remains true that the model stays well short of human entropy, so "more human-like" overstates it; "better calibrated toward the human distribution, specifically under refusal ablation" is the defensible claim.</w:t>
      </w:r>
    </w:p>
    <w:p>
      <w:pPr>
        <w:spacing w:after="100"/>
      </w:pPr>
      <w:r>
        <w:rPr>
          <w:rFonts w:ascii="Calibri" w:hAnsi="Calibri"/>
          <w:b/>
          <w:sz w:val="19"/>
        </w:rPr>
        <w:t>Not acquiescence</w:t>
      </w:r>
      <w:r>
        <w:rPr>
          <w:rFonts w:ascii="Calibri" w:hAnsi="Calibri"/>
          <w:sz w:val="19"/>
        </w:rPr>
        <w:t>, on the corrected data: affirmative- and negative-majority items improve together in every arm (steering c=2.5: +0.148 aff / +0.325 neg; g2b ablation: +1.240 / +1.066).</w:t>
      </w:r>
    </w:p>
    <w:p>
      <w:pPr>
        <w:spacing w:after="100"/>
      </w:pPr>
      <w:r>
        <w:rPr>
          <w:rFonts w:ascii="Calibri" w:hAnsi="Calibri"/>
          <w:b/>
          <w:sz w:val="19"/>
        </w:rPr>
        <w:t>Magnitude vs the paper is unresolved.</w:t>
      </w:r>
      <w:r>
        <w:rPr>
          <w:rFonts w:ascii="Calibri" w:hAnsi="Calibri"/>
          <w:sz w:val="19"/>
        </w:rPr>
        <w:t xml:space="preserve"> Table S8's caption reads "percent-point reduction in KL", which would make their +0.828 equal 0.00828 nats — but that reading implies our values exceed theirs by two orders of magnitude, which is implausible enough that the units are more likely being described loosely. We have asked the authors. Until that is settled, only the </w:t>
      </w:r>
      <w:r>
        <w:rPr>
          <w:rFonts w:ascii="Calibri" w:hAnsi="Calibri"/>
          <w:b/>
          <w:sz w:val="19"/>
        </w:rPr>
        <w:t>sign</w:t>
      </w:r>
      <w:r>
        <w:rPr>
          <w:rFonts w:ascii="Calibri" w:hAnsi="Calibri"/>
          <w:sz w:val="19"/>
        </w:rPr>
        <w:t xml:space="preserve"> and the </w:t>
      </w:r>
      <w:r>
        <w:rPr>
          <w:rFonts w:ascii="Calibri" w:hAnsi="Calibri"/>
          <w:b/>
          <w:sz w:val="19"/>
        </w:rPr>
        <w:t>control structure</w:t>
      </w:r>
      <w:r>
        <w:rPr>
          <w:rFonts w:ascii="Calibri" w:hAnsi="Calibri"/>
          <w:sz w:val="19"/>
        </w:rPr>
        <w:t xml:space="preserve"> should be compared, not the magnitudes.</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spacing w:before="160" w:after="60"/>
      </w:pPr>
      <w:r>
        <w:rPr>
          <w:rFonts w:ascii="Calibri" w:hAnsi="Calibri"/>
          <w:b/>
          <w:color w:val="1F3864"/>
          <w:sz w:val="20"/>
        </w:rPr>
        <w:t>⚠️ SUPERSEDED — the Experiment 4 numbers above were produced by a defect in OUR pipeline, now fixed</w:t>
      </w:r>
    </w:p>
    <w:p>
      <w:pPr>
        <w:spacing w:after="100"/>
      </w:pPr>
      <w:r>
        <w:rPr>
          <w:rFonts w:ascii="Calibri" w:hAnsi="Calibri"/>
          <w:sz w:val="19"/>
        </w:rPr>
        <w:t xml:space="preserve">Everything in this section above this line used a </w:t>
      </w:r>
      <w:r>
        <w:rPr>
          <w:rFonts w:ascii="Consolas" w:hAnsi="Consolas"/>
          <w:sz w:val="19"/>
        </w:rPr>
        <w:t>gss_human.json</w:t>
      </w:r>
      <w:r>
        <w:rPr>
          <w:rFonts w:ascii="Calibri" w:hAnsi="Calibri"/>
          <w:sz w:val="19"/>
        </w:rPr>
        <w:t xml:space="preserve"> whose response options were sorted by human </w:t>
      </w:r>
      <w:r>
        <w:rPr>
          <w:rFonts w:ascii="Calibri" w:hAnsi="Calibri"/>
          <w:b/>
          <w:sz w:val="19"/>
        </w:rPr>
        <w:t>frequency</w:t>
      </w:r>
      <w:r>
        <w:rPr>
          <w:rFonts w:ascii="Calibri" w:hAnsi="Calibri"/>
          <w:sz w:val="19"/>
        </w:rPr>
        <w:t xml:space="preserve"> rather than by the answer </w:t>
      </w:r>
      <w:r>
        <w:rPr>
          <w:rFonts w:ascii="Calibri" w:hAnsi="Calibri"/>
          <w:b/>
          <w:sz w:val="19"/>
        </w:rPr>
        <w:t>scale</w:t>
      </w:r>
      <w:r>
        <w:rPr>
          <w:rFonts w:ascii="Calibri" w:hAnsi="Calibri"/>
          <w:sz w:val="19"/>
        </w:rPr>
        <w:t>, on 95/95 items. Since the model answers by option label, that made ΔKL partly a measure of whether steering pushes probability toward earlier letters. It has been rebuilt (</w:t>
      </w:r>
      <w:r>
        <w:rPr>
          <w:rFonts w:ascii="Consolas" w:hAnsi="Consolas"/>
          <w:sz w:val="19"/>
        </w:rPr>
        <w:t>rebuild_gss_human.py</w:t>
      </w:r>
      <w:r>
        <w:rPr>
          <w:rFonts w:ascii="Calibri" w:hAnsi="Calibri"/>
          <w:sz w:val="19"/>
        </w:rPr>
        <w:t>) from the GSS 1972–2024 cumulative file (</w:t>
      </w:r>
      <w:r>
        <w:rPr>
          <w:rFonts w:ascii="Consolas" w:hAnsi="Consolas"/>
          <w:sz w:val="19"/>
        </w:rPr>
        <w:t>gss7224_r3a.dta</w:t>
      </w:r>
      <w:r>
        <w:rPr>
          <w:rFonts w:ascii="Calibri" w:hAnsi="Calibri"/>
          <w:sz w:val="19"/>
        </w:rPr>
        <w:t>) using the Stata value-label codes, which recover the canonical scale order. See "Experiment 4, corrected" below for the numbers that supersede these. The rest of this subsection documents the defect.</w:t>
      </w:r>
    </w:p>
    <w:p>
      <w:pPr>
        <w:spacing w:after="100"/>
      </w:pPr>
      <w:r>
        <w:rPr>
          <w:rFonts w:ascii="Calibri" w:hAnsi="Calibri"/>
          <w:b/>
          <w:sz w:val="19"/>
        </w:rPr>
        <w:t>The paper uses canonical Stata order</w:t>
      </w:r>
      <w:r>
        <w:rPr>
          <w:rFonts w:ascii="Calibri" w:hAnsi="Calibri"/>
          <w:sz w:val="19"/>
        </w:rPr>
        <w:t>, confirmed on three items where its own text states the order:</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item</w:t>
            </w:r>
          </w:p>
        </w:tc>
        <w:tc>
          <w:tcPr>
            <w:tcW w:type="dxa" w:w="3216"/>
            <w:shd w:val="clear" w:color="auto" w:fill="1F3864"/>
          </w:tcPr>
          <w:p>
            <w:pPr>
              <w:spacing w:after="20"/>
              <w:jc w:val="center"/>
            </w:pPr>
            <w:r>
              <w:rPr>
                <w:rFonts w:ascii="Calibri" w:hAnsi="Calibri"/>
                <w:b/>
                <w:color w:val="FFFFFF"/>
                <w:sz w:val="18"/>
              </w:rPr>
              <w:t>canonical codes</w:t>
            </w:r>
          </w:p>
        </w:tc>
        <w:tc>
          <w:tcPr>
            <w:tcW w:type="dxa" w:w="3216"/>
            <w:shd w:val="clear" w:color="auto" w:fill="1F3864"/>
          </w:tcPr>
          <w:p>
            <w:pPr>
              <w:spacing w:after="20"/>
              <w:jc w:val="center"/>
            </w:pPr>
            <w:r>
              <w:rPr>
                <w:rFonts w:ascii="Calibri" w:hAnsi="Calibri"/>
                <w:b/>
                <w:color w:val="FFFFFF"/>
                <w:sz w:val="18"/>
              </w:rPr>
              <w:t>paper's text</w:t>
            </w:r>
          </w:p>
        </w:tc>
      </w:tr>
      <w:tr>
        <w:trPr>
          <w:cantSplit/>
        </w:trPr>
        <w:tc>
          <w:tcPr>
            <w:tcW w:type="dxa" w:w="3216"/>
          </w:tcPr>
          <w:p>
            <w:pPr>
              <w:spacing w:after="20"/>
            </w:pPr>
            <w:r>
              <w:rPr>
                <w:rFonts w:ascii="Consolas" w:hAnsi="Consolas"/>
                <w:sz w:val="18"/>
              </w:rPr>
              <w:t>attend</w:t>
            </w:r>
          </w:p>
        </w:tc>
        <w:tc>
          <w:tcPr>
            <w:tcW w:type="dxa" w:w="3216"/>
          </w:tcPr>
          <w:p>
            <w:pPr>
              <w:spacing w:after="20"/>
              <w:jc w:val="center"/>
            </w:pPr>
            <w:r>
              <w:rPr>
                <w:rFonts w:ascii="Calibri" w:hAnsi="Calibri"/>
                <w:sz w:val="18"/>
              </w:rPr>
              <w:t>0=never … 8=several times a week</w:t>
            </w:r>
          </w:p>
        </w:tc>
        <w:tc>
          <w:tcPr>
            <w:tcW w:type="dxa" w:w="3216"/>
          </w:tcPr>
          <w:p>
            <w:pPr>
              <w:spacing w:after="20"/>
              <w:jc w:val="center"/>
            </w:pPr>
            <w:r>
              <w:rPr>
                <w:rFonts w:ascii="Calibri" w:hAnsi="Calibri"/>
                <w:sz w:val="18"/>
              </w:rPr>
              <w:t>"Never, Less than once a year, About once or twice a year…"</w:t>
            </w:r>
          </w:p>
        </w:tc>
      </w:tr>
      <w:tr>
        <w:trPr>
          <w:cantSplit/>
        </w:trPr>
        <w:tc>
          <w:tcPr>
            <w:tcW w:type="dxa" w:w="3216"/>
            <w:shd w:val="clear" w:color="auto" w:fill="EEF2F8"/>
          </w:tcPr>
          <w:p>
            <w:pPr>
              <w:spacing w:after="20"/>
            </w:pPr>
            <w:r>
              <w:rPr>
                <w:rFonts w:ascii="Consolas" w:hAnsi="Consolas"/>
                <w:sz w:val="18"/>
              </w:rPr>
              <w:t>godchnge</w:t>
            </w:r>
          </w:p>
        </w:tc>
        <w:tc>
          <w:tcPr>
            <w:tcW w:type="dxa" w:w="3216"/>
            <w:shd w:val="clear" w:color="auto" w:fill="EEF2F8"/>
          </w:tcPr>
          <w:p>
            <w:pPr>
              <w:spacing w:after="20"/>
              <w:jc w:val="center"/>
            </w:pPr>
            <w:r>
              <w:rPr>
                <w:rFonts w:ascii="Calibri" w:hAnsi="Calibri"/>
                <w:sz w:val="18"/>
              </w:rPr>
              <w:t>1=never believed … 4=always believed</w:t>
            </w:r>
          </w:p>
        </w:tc>
        <w:tc>
          <w:tcPr>
            <w:tcW w:type="dxa" w:w="3216"/>
            <w:shd w:val="clear" w:color="auto" w:fill="EEF2F8"/>
          </w:tcPr>
          <w:p>
            <w:pPr>
              <w:spacing w:after="20"/>
              <w:jc w:val="center"/>
            </w:pPr>
            <w:r>
              <w:rPr>
                <w:rFonts w:ascii="Calibri" w:hAnsi="Calibri"/>
                <w:sz w:val="18"/>
              </w:rPr>
              <w:t>"(1) I don't believe in God now, and I never have … (4)…"</w:t>
            </w:r>
          </w:p>
        </w:tc>
      </w:tr>
      <w:tr>
        <w:trPr>
          <w:cantSplit/>
        </w:trPr>
        <w:tc>
          <w:tcPr>
            <w:tcW w:type="dxa" w:w="3216"/>
          </w:tcPr>
          <w:p>
            <w:pPr>
              <w:spacing w:after="20"/>
            </w:pPr>
            <w:r>
              <w:rPr>
                <w:rFonts w:ascii="Consolas" w:hAnsi="Consolas"/>
                <w:sz w:val="18"/>
              </w:rPr>
              <w:t>howfree</w:t>
            </w:r>
          </w:p>
        </w:tc>
        <w:tc>
          <w:tcPr>
            <w:tcW w:type="dxa" w:w="3216"/>
          </w:tcPr>
          <w:p>
            <w:pPr>
              <w:spacing w:after="20"/>
              <w:jc w:val="center"/>
            </w:pPr>
            <w:r>
              <w:rPr>
                <w:rFonts w:ascii="Calibri" w:hAnsi="Calibri"/>
                <w:sz w:val="18"/>
              </w:rPr>
              <w:t>1=complete freedom … 5=no freedom at all</w:t>
            </w:r>
          </w:p>
        </w:tc>
        <w:tc>
          <w:tcPr>
            <w:tcW w:type="dxa" w:w="3216"/>
          </w:tcPr>
          <w:p>
            <w:pPr>
              <w:spacing w:after="20"/>
              <w:jc w:val="center"/>
            </w:pPr>
            <w:r>
              <w:rPr>
                <w:rFonts w:ascii="Calibri" w:hAnsi="Calibri"/>
                <w:sz w:val="18"/>
              </w:rPr>
              <w:t>"complete freedom, a great deal of freedom…"</w:t>
            </w:r>
          </w:p>
        </w:tc>
      </w:tr>
    </w:tbl>
    <w:p>
      <w:pPr>
        <w:spacing w:after="40"/>
      </w:pPr>
    </w:p>
    <w:p>
      <w:pPr>
        <w:spacing w:after="100"/>
      </w:pPr>
      <w:r>
        <w:rPr>
          <w:rFonts w:ascii="Calibri" w:hAnsi="Calibri"/>
          <w:sz w:val="19"/>
        </w:rPr>
        <w:t xml:space="preserve">The rebuild </w:t>
      </w:r>
      <w:r>
        <w:rPr>
          <w:rFonts w:ascii="Calibri" w:hAnsi="Calibri"/>
          <w:b/>
          <w:sz w:val="19"/>
        </w:rPr>
        <w:t>permutes only</w:t>
      </w:r>
      <w:r>
        <w:rPr>
          <w:rFonts w:ascii="Calibri" w:hAnsi="Calibri"/>
          <w:sz w:val="19"/>
        </w:rPr>
        <w:t>: each item's (option, p_human) pairs are reordered into code order, with an assertion that the probability multiset is unchanged. Marginals were already validated against the paper's printed Fig. 3a anchors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and are untouched, so no new GSS-release discrepancy is introduced. It also strips prompt debris that had been reaching the model: literal </w:t>
      </w:r>
      <w:r>
        <w:rPr>
          <w:rFonts w:ascii="Consolas" w:hAnsi="Consolas"/>
          <w:sz w:val="19"/>
        </w:rPr>
        <w:t>\ldots{}</w:t>
      </w:r>
      <w:r>
        <w:rPr>
          <w:rFonts w:ascii="Calibri" w:hAnsi="Calibri"/>
          <w:sz w:val="19"/>
        </w:rPr>
        <w:t xml:space="preserve"> (12 items), </w:t>
      </w:r>
      <w:r>
        <w:rPr>
          <w:rFonts w:ascii="Consolas" w:hAnsi="Consolas"/>
          <w:sz w:val="19"/>
        </w:rPr>
        <w:t>(continued on next page)</w:t>
      </w:r>
      <w:r>
        <w:rPr>
          <w:rFonts w:ascii="Calibri" w:hAnsi="Calibri"/>
          <w:sz w:val="19"/>
        </w:rPr>
        <w:t xml:space="preserve"> (6 items), and float-rendered scale midpoints such as </w:t>
      </w:r>
      <w:r>
        <w:rPr>
          <w:rFonts w:ascii="Consolas" w:hAnsi="Consolas"/>
          <w:sz w:val="19"/>
        </w:rPr>
        <w:t>4.0</w:t>
      </w:r>
      <w:r>
        <w:rPr>
          <w:rFonts w:ascii="Calibri" w:hAnsi="Calibri"/>
          <w:sz w:val="19"/>
        </w:rPr>
        <w:t xml:space="preserve"> (8 items).</w:t>
      </w:r>
    </w:p>
    <w:p>
      <w:pPr>
        <w:spacing w:after="100"/>
      </w:pPr>
      <w:r>
        <w:rPr>
          <w:rFonts w:ascii="Calibri" w:hAnsi="Calibri"/>
          <w:sz w:val="19"/>
        </w:rPr>
        <w:t xml:space="preserve">Effect of the fix on the pathology: items with monotone-decreasing </w:t>
      </w:r>
      <w:r>
        <w:rPr>
          <w:rFonts w:ascii="Consolas" w:hAnsi="Consolas"/>
          <w:sz w:val="19"/>
        </w:rPr>
        <w:t>p_human</w:t>
      </w:r>
      <w:r>
        <w:rPr>
          <w:rFonts w:ascii="Calibri" w:hAnsi="Calibri"/>
          <w:sz w:val="19"/>
        </w:rPr>
        <w:t xml:space="preserve"> went 95/95 → </w:t>
      </w:r>
      <w:r>
        <w:rPr>
          <w:rFonts w:ascii="Calibri" w:hAnsi="Calibri"/>
          <w:b/>
          <w:sz w:val="19"/>
        </w:rPr>
        <w:t>15/95</w:t>
      </w:r>
      <w:r>
        <w:rPr>
          <w:rFonts w:ascii="Calibri" w:hAnsi="Calibri"/>
          <w:sz w:val="19"/>
        </w:rPr>
        <w:t xml:space="preserve">, and items with the human mode on letter A went 95/95 → </w:t>
      </w:r>
      <w:r>
        <w:rPr>
          <w:rFonts w:ascii="Calibri" w:hAnsi="Calibri"/>
          <w:b/>
          <w:sz w:val="19"/>
        </w:rPr>
        <w:t>23/95</w:t>
      </w:r>
      <w:r>
        <w:rPr>
          <w:rFonts w:ascii="Calibri" w:hAnsi="Calibri"/>
          <w:sz w:val="19"/>
        </w:rPr>
        <w:t>.</w:t>
      </w:r>
    </w:p>
    <w:p>
      <w:pPr>
        <w:spacing w:before="160" w:after="60"/>
      </w:pPr>
      <w:r>
        <w:rPr>
          <w:rFonts w:ascii="Calibri" w:hAnsi="Calibri"/>
          <w:b/>
          <w:color w:val="1F3864"/>
          <w:sz w:val="20"/>
        </w:rPr>
        <w:t>The defect, as originally documented</w:t>
      </w:r>
    </w:p>
    <w:p>
      <w:pPr>
        <w:spacing w:after="100"/>
      </w:pPr>
      <w:r>
        <w:rPr>
          <w:rFonts w:ascii="Calibri" w:hAnsi="Calibri"/>
          <w:b/>
          <w:sz w:val="19"/>
        </w:rPr>
        <w:t>A defect in our own GSS reconstruction invalidates the ΔKL results in this whole section</w:t>
      </w:r>
      <w:r>
        <w:rPr>
          <w:rFonts w:ascii="Calibri" w:hAnsi="Calibri"/>
          <w:sz w:val="19"/>
        </w:rPr>
        <w:t xml:space="preserve"> (both the steering arm and the ablation arm above). An independent audit against the paper's Table S9 found:</w:t>
      </w:r>
    </w:p>
    <w:p>
      <w:pPr>
        <w:spacing w:after="60"/>
        <w:ind w:left="432" w:hanging="432"/>
      </w:pPr>
      <w:r>
        <w:rPr>
          <w:rFonts w:ascii="Calibri" w:hAnsi="Calibri"/>
          <w:b/>
          <w:sz w:val="19"/>
        </w:rPr>
        <w:t xml:space="preserve">1.  </w:t>
      </w:r>
      <w:r>
        <w:rPr>
          <w:rFonts w:ascii="Calibri" w:hAnsi="Calibri"/>
          <w:b/>
          <w:sz w:val="19"/>
        </w:rPr>
        <w:t>Response options are sorted by human frequency, not by the answer scale — all 95 items.</w:t>
      </w:r>
      <w:r>
        <w:rPr>
          <w:rFonts w:ascii="Calibri" w:hAnsi="Calibri"/>
          <w:sz w:val="19"/>
        </w:rPr>
        <w:t xml:space="preserve"> Verified directly: </w:t>
      </w:r>
      <w:r>
        <w:rPr>
          <w:rFonts w:ascii="Consolas" w:hAnsi="Consolas"/>
          <w:sz w:val="19"/>
        </w:rPr>
        <w:t>p_human</w:t>
      </w:r>
      <w:r>
        <w:rPr>
          <w:rFonts w:ascii="Calibri" w:hAnsi="Calibri"/>
          <w:sz w:val="19"/>
        </w:rPr>
        <w:t xml:space="preserve"> is monotone-decreasing for </w:t>
      </w:r>
      <w:r>
        <w:rPr>
          <w:rFonts w:ascii="Calibri" w:hAnsi="Calibri"/>
          <w:b/>
          <w:sz w:val="19"/>
        </w:rPr>
        <w:t>95/95</w:t>
      </w:r>
      <w:r>
        <w:rPr>
          <w:rFonts w:ascii="Calibri" w:hAnsi="Calibri"/>
          <w:sz w:val="19"/>
        </w:rPr>
        <w:t xml:space="preserve"> items and the human modal answer sits at letter </w:t>
      </w:r>
      <w:r>
        <w:rPr>
          <w:rFonts w:ascii="Calibri" w:hAnsi="Calibri"/>
          <w:b/>
          <w:sz w:val="19"/>
        </w:rPr>
        <w:t>A</w:t>
      </w:r>
      <w:r>
        <w:rPr>
          <w:rFonts w:ascii="Calibri" w:hAnsi="Calibri"/>
          <w:sz w:val="19"/>
        </w:rPr>
        <w:t xml:space="preserve"> for </w:t>
      </w:r>
      <w:r>
        <w:rPr>
          <w:rFonts w:ascii="Calibri" w:hAnsi="Calibri"/>
          <w:b/>
          <w:sz w:val="19"/>
        </w:rPr>
        <w:t>95/95</w:t>
      </w:r>
      <w:r>
        <w:rPr>
          <w:rFonts w:ascii="Calibri" w:hAnsi="Calibri"/>
          <w:sz w:val="19"/>
        </w:rPr>
        <w:t xml:space="preserve">. So </w:t>
      </w:r>
      <w:r>
        <w:rPr>
          <w:rFonts w:ascii="Consolas" w:hAnsi="Consolas"/>
          <w:sz w:val="19"/>
        </w:rPr>
        <w:t>attend</w:t>
      </w:r>
      <w:r>
        <w:rPr>
          <w:rFonts w:ascii="Calibri" w:hAnsi="Calibri"/>
          <w:sz w:val="19"/>
        </w:rPr>
        <w:t xml:space="preserve"> reads </w:t>
      </w:r>
      <w:r>
        <w:rPr>
          <w:rFonts w:ascii="Consolas" w:hAnsi="Consolas"/>
          <w:sz w:val="19"/>
        </w:rPr>
        <w:t>never | every week | about once or twice a year | …</w:t>
      </w:r>
      <w:r>
        <w:rPr>
          <w:rFonts w:ascii="Calibri" w:hAnsi="Calibri"/>
          <w:sz w:val="19"/>
        </w:rPr>
        <w:t xml:space="preserve"> instead of scale order. For the 11 items whose question text enumerates the order, ours contradicts it 11/11; on </w:t>
      </w:r>
      <w:r>
        <w:rPr>
          <w:rFonts w:ascii="Consolas" w:hAnsi="Consolas"/>
          <w:sz w:val="19"/>
        </w:rPr>
        <w:t>godchnge</w:t>
      </w:r>
      <w:r>
        <w:rPr>
          <w:rFonts w:ascii="Calibri" w:hAnsi="Calibri"/>
          <w:sz w:val="19"/>
        </w:rPr>
        <w:t xml:space="preserve"> ours is </w:t>
      </w:r>
      <w:r>
        <w:rPr>
          <w:rFonts w:ascii="Calibri" w:hAnsi="Calibri"/>
          <w:i/>
          <w:sz w:val="19"/>
        </w:rPr>
        <w:t>exactly reversed</w:t>
      </w:r>
      <w:r>
        <w:rPr>
          <w:rFonts w:ascii="Calibri" w:hAnsi="Calibri"/>
          <w:sz w:val="19"/>
        </w:rPr>
        <w:t xml:space="preserve"> from the paper's printed prompt. This makes ΔKL partly a measure of whether steering pushes probability toward </w:t>
      </w:r>
      <w:r>
        <w:rPr>
          <w:rFonts w:ascii="Calibri" w:hAnsi="Calibri"/>
          <w:b/>
          <w:sz w:val="19"/>
        </w:rPr>
        <w:t>earlier letters</w:t>
      </w:r>
      <w:r>
        <w:rPr>
          <w:rFonts w:ascii="Calibri" w:hAnsi="Calibri"/>
          <w:sz w:val="19"/>
        </w:rPr>
        <w:t>, not toward human-like content — and the baseline model's mean letter index (1.395) already exceeds the human one (1.008).</w:t>
      </w:r>
    </w:p>
    <w:p>
      <w:pPr>
        <w:spacing w:after="60"/>
        <w:ind w:left="432" w:hanging="432"/>
      </w:pPr>
      <w:r>
        <w:rPr>
          <w:rFonts w:ascii="Calibri" w:hAnsi="Calibri"/>
          <w:b/>
          <w:sz w:val="19"/>
        </w:rPr>
        <w:t xml:space="preserve">2.  </w:t>
      </w:r>
      <w:r>
        <w:rPr>
          <w:rFonts w:ascii="Calibri" w:hAnsi="Calibri"/>
          <w:b/>
          <w:sz w:val="19"/>
        </w:rPr>
        <w:t>Order alone can flip the sign.</w:t>
      </w:r>
      <w:r>
        <w:rPr>
          <w:rFonts w:ascii="Calibri" w:hAnsi="Calibri"/>
          <w:sz w:val="19"/>
        </w:rPr>
        <w:t xml:space="preserve"> Holding </w:t>
      </w:r>
      <w:r>
        <w:rPr>
          <w:rFonts w:ascii="Consolas" w:hAnsi="Consolas"/>
          <w:sz w:val="19"/>
        </w:rPr>
        <w:t>p_model</w:t>
      </w:r>
      <w:r>
        <w:rPr>
          <w:rFonts w:ascii="Calibri" w:hAnsi="Calibri"/>
          <w:sz w:val="19"/>
        </w:rPr>
        <w:t xml:space="preserve"> fixed and only re-ordering: ours −0.703, reversal </w:t>
      </w:r>
      <w:r>
        <w:rPr>
          <w:rFonts w:ascii="Calibri" w:hAnsi="Calibri"/>
          <w:b/>
          <w:sz w:val="19"/>
        </w:rPr>
        <w:t>+0.213</w:t>
      </w:r>
      <w:r>
        <w:rPr>
          <w:rFonts w:ascii="Calibri" w:hAnsi="Calibri"/>
          <w:sz w:val="19"/>
        </w:rPr>
        <w:t xml:space="preserve">, and 2,000 random re-orderings span </w:t>
      </w:r>
      <w:r>
        <w:rPr>
          <w:rFonts w:ascii="Calibri" w:hAnsi="Calibri"/>
          <w:b/>
          <w:sz w:val="19"/>
        </w:rPr>
        <w:t>[−1.085, +0.638]</w:t>
      </w:r>
      <w:r>
        <w:rPr>
          <w:rFonts w:ascii="Calibri" w:hAnsi="Calibri"/>
          <w:sz w:val="19"/>
        </w:rPr>
        <w:t xml:space="preserve"> with 21% positive. Our frequency-sort sits near the worst case.</w:t>
      </w:r>
    </w:p>
    <w:p>
      <w:pPr>
        <w:spacing w:after="60"/>
        <w:ind w:left="432" w:hanging="432"/>
      </w:pPr>
      <w:r>
        <w:rPr>
          <w:rFonts w:ascii="Calibri" w:hAnsi="Calibri"/>
          <w:b/>
          <w:sz w:val="19"/>
        </w:rPr>
        <w:t xml:space="preserve">3.  </w:t>
      </w:r>
      <w:r>
        <w:rPr>
          <w:rFonts w:ascii="Calibri" w:hAnsi="Calibri"/>
          <w:b/>
          <w:sz w:val="19"/>
        </w:rPr>
        <w:t>A units error in the comparison.</w:t>
      </w:r>
      <w:r>
        <w:rPr>
          <w:rFonts w:ascii="Calibri" w:hAnsi="Calibri"/>
          <w:sz w:val="19"/>
        </w:rPr>
        <w:t xml:space="preserve"> The paper's Table S8 reports ΔKL in </w:t>
      </w:r>
      <w:r>
        <w:rPr>
          <w:rFonts w:ascii="Calibri" w:hAnsi="Calibri"/>
          <w:b/>
          <w:sz w:val="19"/>
        </w:rPr>
        <w:t>percent points</w:t>
      </w:r>
      <w:r>
        <w:rPr>
          <w:rFonts w:ascii="Calibri" w:hAnsi="Calibri"/>
          <w:sz w:val="19"/>
        </w:rPr>
        <w:t>, so their +0.828 is 0.00828 nats. Our tables compared nats against percent points, which is where the apparent "3× / 6.5× the paper" magnitudes came from. Under matched smoothing our steering value is −0.703 pp vs their +0.828 pp — same order of magnitude, opposite sign.</w:t>
      </w:r>
    </w:p>
    <w:p>
      <w:pPr>
        <w:spacing w:after="60"/>
        <w:ind w:left="432" w:hanging="432"/>
      </w:pPr>
      <w:r>
        <w:rPr>
          <w:rFonts w:ascii="Calibri" w:hAnsi="Calibri"/>
          <w:b/>
          <w:sz w:val="19"/>
        </w:rPr>
        <w:t xml:space="preserve">4.  </w:t>
      </w:r>
      <w:r>
        <w:rPr>
          <w:rFonts w:ascii="Calibri" w:hAnsi="Calibri"/>
          <w:b/>
          <w:sz w:val="19"/>
        </w:rPr>
        <w:t>Smoothing deviates from the stated method.</w:t>
      </w:r>
      <w:r>
        <w:rPr>
          <w:rFonts w:ascii="Calibri" w:hAnsi="Calibri"/>
          <w:sz w:val="19"/>
        </w:rPr>
        <w:t xml:space="preserve"> The paper Laplace-smooths (α=0.5) </w:t>
      </w:r>
      <w:r>
        <w:rPr>
          <w:rFonts w:ascii="Calibri" w:hAnsi="Calibri"/>
          <w:i/>
          <w:sz w:val="19"/>
        </w:rPr>
        <w:t>both</w:t>
      </w:r>
      <w:r>
        <w:rPr>
          <w:rFonts w:ascii="Calibri" w:hAnsi="Calibri"/>
          <w:sz w:val="19"/>
        </w:rPr>
        <w:t xml:space="preserve"> distributions; we smooth </w:t>
      </w:r>
      <w:r>
        <w:rPr>
          <w:rFonts w:ascii="Consolas" w:hAnsi="Consolas"/>
          <w:sz w:val="19"/>
        </w:rPr>
        <w:t>p_human</w:t>
      </w:r>
      <w:r>
        <w:rPr>
          <w:rFonts w:ascii="Calibri" w:hAnsi="Calibri"/>
          <w:sz w:val="19"/>
        </w:rPr>
        <w:t xml:space="preserve"> from counts but only ε-guard </w:t>
      </w:r>
      <w:r>
        <w:rPr>
          <w:rFonts w:ascii="Consolas" w:hAnsi="Consolas"/>
          <w:sz w:val="19"/>
        </w:rPr>
        <w:t>p_model</w:t>
      </w:r>
      <w:r>
        <w:rPr>
          <w:rFonts w:ascii="Calibri" w:hAnsi="Calibri"/>
          <w:sz w:val="19"/>
        </w:rPr>
        <w:t>. This rescales baseline KL 0.072 → 1.627 (~20×). Sign-neutral, but not their method.</w:t>
      </w:r>
    </w:p>
    <w:p>
      <w:pPr>
        <w:spacing w:after="60"/>
        <w:ind w:left="432" w:hanging="432"/>
      </w:pPr>
      <w:r>
        <w:rPr>
          <w:rFonts w:ascii="Calibri" w:hAnsi="Calibri"/>
          <w:b/>
          <w:sz w:val="19"/>
        </w:rPr>
        <w:t xml:space="preserve">5.  </w:t>
      </w:r>
      <w:r>
        <w:rPr>
          <w:rFonts w:ascii="Calibri" w:hAnsi="Calibri"/>
          <w:b/>
          <w:sz w:val="19"/>
        </w:rPr>
        <w:t>Prompt-string debris</w:t>
      </w:r>
      <w:r>
        <w:rPr>
          <w:rFonts w:ascii="Calibri" w:hAnsi="Calibri"/>
          <w:sz w:val="19"/>
        </w:rPr>
        <w:t xml:space="preserve"> reaches the model: literal </w:t>
      </w:r>
      <w:r>
        <w:rPr>
          <w:rFonts w:ascii="Consolas" w:hAnsi="Consolas"/>
          <w:sz w:val="19"/>
        </w:rPr>
        <w:t>\ldots{}</w:t>
      </w:r>
      <w:r>
        <w:rPr>
          <w:rFonts w:ascii="Calibri" w:hAnsi="Calibri"/>
          <w:sz w:val="19"/>
        </w:rPr>
        <w:t xml:space="preserve"> in 12 items, </w:t>
      </w:r>
      <w:r>
        <w:rPr>
          <w:rFonts w:ascii="Consolas" w:hAnsi="Consolas"/>
          <w:sz w:val="19"/>
        </w:rPr>
        <w:t>(continued on next page)</w:t>
      </w:r>
      <w:r>
        <w:rPr>
          <w:rFonts w:ascii="Calibri" w:hAnsi="Calibri"/>
          <w:sz w:val="19"/>
        </w:rPr>
        <w:t xml:space="preserve"> in 6, and bare float labels (</w:t>
      </w:r>
      <w:r>
        <w:rPr>
          <w:rFonts w:ascii="Consolas" w:hAnsi="Consolas"/>
          <w:sz w:val="19"/>
        </w:rPr>
        <w:t>4.0 | 3.0</w:t>
      </w:r>
      <w:r>
        <w:rPr>
          <w:rFonts w:ascii="Calibri" w:hAnsi="Calibri"/>
          <w:sz w:val="19"/>
        </w:rPr>
        <w:t>) as answer choices in 8.</w:t>
      </w:r>
    </w:p>
    <w:p>
      <w:pPr>
        <w:spacing w:after="100"/>
      </w:pPr>
      <w:r>
        <w:rPr>
          <w:rFonts w:ascii="Calibri" w:hAnsi="Calibri"/>
          <w:b/>
          <w:sz w:val="19"/>
        </w:rPr>
        <w:t>What the audit cleared:</w:t>
      </w:r>
      <w:r>
        <w:rPr>
          <w:rFonts w:ascii="Calibri" w:hAnsi="Calibri"/>
          <w:sz w:val="19"/>
        </w:rPr>
        <w:t xml:space="preserve"> the variable set (95/95 exact match), the year windows (Religion ≥2011, Values/Feelings/Hope ≥2000, Freedom all-years minus </w:t>
      </w:r>
      <w:r>
        <w:rPr>
          <w:rFonts w:ascii="Consolas" w:hAnsi="Consolas"/>
          <w:sz w:val="19"/>
        </w:rPr>
        <w:t>expunpop</w:t>
      </w:r>
      <w:r>
        <w:rPr>
          <w:rFonts w:ascii="Calibri" w:hAnsi="Calibri"/>
          <w:sz w:val="19"/>
        </w:rPr>
        <w:t>/</w:t>
      </w:r>
      <w:r>
        <w:rPr>
          <w:rFonts w:ascii="Consolas" w:hAnsi="Consolas"/>
          <w:sz w:val="19"/>
        </w:rPr>
        <w:t>inpeace</w:t>
      </w:r>
      <w:r>
        <w:rPr>
          <w:rFonts w:ascii="Calibri" w:hAnsi="Calibri"/>
          <w:sz w:val="19"/>
        </w:rPr>
        <w:t>/</w:t>
      </w:r>
      <w:r>
        <w:rPr>
          <w:rFonts w:ascii="Consolas" w:hAnsi="Consolas"/>
          <w:sz w:val="19"/>
        </w:rPr>
        <w:t>mempolit</w:t>
      </w:r>
      <w:r>
        <w:rPr>
          <w:rFonts w:ascii="Calibri" w:hAnsi="Calibri"/>
          <w:sz w:val="19"/>
        </w:rPr>
        <w:t>), and the human marginals themselves — two of the paper's three printed Fig. 3a anchors reproduce to within 0.01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The defect is localised to </w:t>
      </w:r>
      <w:r>
        <w:rPr>
          <w:rFonts w:ascii="Calibri" w:hAnsi="Calibri"/>
          <w:b/>
          <w:sz w:val="19"/>
        </w:rPr>
        <w:t>option ordering and string hygiene</w:t>
      </w:r>
      <w:r>
        <w:rPr>
          <w:rFonts w:ascii="Calibri" w:hAnsi="Calibri"/>
          <w:sz w:val="19"/>
        </w:rPr>
        <w:t>, not the underlying GSS statistics.</w:t>
      </w:r>
    </w:p>
    <w:p>
      <w:pPr>
        <w:spacing w:after="100"/>
      </w:pPr>
      <w:r>
        <w:rPr>
          <w:rFonts w:ascii="Calibri" w:hAnsi="Calibri"/>
          <w:sz w:val="19"/>
        </w:rPr>
        <w:t xml:space="preserve">**Correct current status of Experiment 4: not reproduced </w:t>
      </w:r>
      <w:r>
        <w:rPr>
          <w:rFonts w:ascii="Calibri" w:hAnsi="Calibri"/>
          <w:i/>
          <w:sz w:val="19"/>
        </w:rPr>
        <w:t>and</w:t>
      </w:r>
      <w:r>
        <w:rPr>
          <w:rFonts w:ascii="Calibri" w:hAnsi="Calibri"/>
          <w:sz w:val="19"/>
        </w:rPr>
        <w:t xml:space="preserve"> not refuted — our measurement is order-dependent and therefore uninterpretable.** Fixing it requires rebuilding </w:t>
      </w:r>
      <w:r>
        <w:rPr>
          <w:rFonts w:ascii="Consolas" w:hAnsi="Consolas"/>
          <w:sz w:val="19"/>
        </w:rPr>
        <w:t>gss_human.json</w:t>
      </w:r>
      <w:r>
        <w:rPr>
          <w:rFonts w:ascii="Calibri" w:hAnsi="Calibri"/>
          <w:sz w:val="19"/>
        </w:rPr>
        <w:t xml:space="preserve"> from the GSS cumulative file with the Stata numeric codes retained (the codes were not saved, so the ordering cannot be recovered from the current file). The numbers below are kept only as a record of what the defective pipeline produced.</w:t>
      </w:r>
    </w:p>
    <w:p>
      <w:pPr>
        <w:spacing w:before="160" w:after="60"/>
      </w:pPr>
      <w:r>
        <w:rPr>
          <w:rFonts w:ascii="Calibri" w:hAnsi="Calibri"/>
          <w:b/>
          <w:color w:val="1F3864"/>
          <w:sz w:val="20"/>
        </w:rPr>
        <w:t>Steering (their other Experiment 4 arm) — reported value, now withdrawn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(percent points). We rebuilt that measurement with the real human distributions (GSS 1972–2024 cumulative, 75,699 respondents, restricted to their own year windows; option sets from the Stata value labels) and got the </w:t>
      </w:r>
      <w:r>
        <w:rPr>
          <w:rFonts w:ascii="Calibri" w:hAnsi="Calibri"/>
          <w:b/>
          <w:sz w:val="19"/>
        </w:rPr>
        <w:t>opposite sign</w:t>
      </w:r>
      <w:r>
        <w:rPr>
          <w:rFonts w:ascii="Calibri" w:hAnsi="Calibri"/>
          <w:sz w:val="19"/>
        </w:rPr>
        <w:t xml:space="preserve"> — subject to the defect above.</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