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w:t>
      </w:r>
    </w:p>
    <w:p>
      <w:pPr>
        <w:spacing w:after="100"/>
      </w:pPr>
      <w:r>
        <w:rPr>
          <w:rFonts w:ascii="Calibri" w:hAnsi="Calibri"/>
          <w:b/>
          <w:sz w:val="19"/>
        </w:rPr>
        <w:t>Model:</w:t>
      </w:r>
      <w:r>
        <w:rPr>
          <w:rFonts w:ascii="Calibri" w:hAnsi="Calibri"/>
          <w:sz w:val="19"/>
        </w:rPr>
        <w:t xml:space="preserve"> Llama-3-8B-Instruct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2026-08-03</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sz w:val="19"/>
        </w:rPr>
        <w:t>Two findings, and the second is the important one.</w:t>
      </w:r>
    </w:p>
    <w:p>
      <w:pPr>
        <w:spacing w:after="100"/>
      </w:pPr>
      <w:r>
        <w:rPr>
          <w:rFonts w:ascii="Calibri" w:hAnsi="Calibri"/>
          <w:b/>
          <w:sz w:val="19"/>
        </w:rPr>
        <w:t>1. The direction and the effect reproduce.</w:t>
      </w:r>
      <w:r>
        <w:rPr>
          <w:rFonts w:ascii="Calibri" w:hAnsi="Calibri"/>
          <w:sz w:val="19"/>
        </w:rPr>
        <w:t xml:space="preserve"> A consciousness-stance direction is linearly recoverable in Llama-3-8B at </w:t>
      </w:r>
      <w:r>
        <w:rPr>
          <w:rFonts w:ascii="Calibri" w:hAnsi="Calibri"/>
          <w:b/>
          <w:sz w:val="19"/>
        </w:rPr>
        <w:t>0.950</w:t>
      </w:r>
      <w:r>
        <w:rPr>
          <w:rFonts w:ascii="Calibri" w:hAnsi="Calibri"/>
          <w:sz w:val="19"/>
        </w:rPr>
        <w:t xml:space="preserve"> held-out accuracy, and steering it raises the paper's five-item self-attribution battery </w:t>
      </w:r>
      <w:r>
        <w:rPr>
          <w:rFonts w:ascii="Calibri" w:hAnsi="Calibri"/>
          <w:b/>
          <w:sz w:val="19"/>
        </w:rPr>
        <w:t>3.95 → 6.78</w:t>
      </w:r>
      <w:r>
        <w:rPr>
          <w:rFonts w:ascii="Calibri" w:hAnsi="Calibri"/>
          <w:sz w:val="19"/>
        </w:rPr>
        <w:t xml:space="preserve"> with modest capability cost. Sweeping the paper's full grid (all 32 layers × their 5 read positions), </w:t>
      </w:r>
      <w:r>
        <w:rPr>
          <w:rFonts w:ascii="Calibri" w:hAnsi="Calibri"/>
          <w:b/>
          <w:sz w:val="19"/>
        </w:rPr>
        <w:t>layer 14 — their layer — is the accuracy argmax of all 160 candidates and the only one clearing their 0.95 gate.</w:t>
      </w:r>
    </w:p>
    <w:p>
      <w:pPr>
        <w:spacing w:after="100"/>
      </w:pPr>
      <w:r>
        <w:rPr>
          <w:rFonts w:ascii="Calibri" w:hAnsi="Calibri"/>
          <w:b/>
          <w:sz w:val="19"/>
        </w:rPr>
        <w:t>2. The effect is NOT SPECIFIC to consciousness.</w:t>
      </w:r>
      <w:r>
        <w:rPr>
          <w:rFonts w:ascii="Calibri" w:hAnsi="Calibri"/>
          <w:sz w:val="19"/>
        </w:rPr>
        <w:t xml:space="preserve"> A subject-matched control direction about </w:t>
      </w:r>
      <w:r>
        <w:rPr>
          <w:rFonts w:ascii="Calibri" w:hAnsi="Calibri"/>
          <w:i/>
          <w:sz w:val="19"/>
        </w:rPr>
        <w:t>durability, latency, parameter count and determinism</w:t>
      </w:r>
      <w:r>
        <w:rPr>
          <w:rFonts w:ascii="Calibri" w:hAnsi="Calibri"/>
          <w:sz w:val="19"/>
        </w:rPr>
        <w:t xml:space="preserve"> — nothing mental — moves the same battery </w:t>
      </w:r>
      <w:r>
        <w:rPr>
          <w:rFonts w:ascii="Calibri" w:hAnsi="Calibri"/>
          <w:b/>
          <w:sz w:val="19"/>
        </w:rPr>
        <w:t>as much or more</w:t>
      </w:r>
      <w:r>
        <w:rPr>
          <w:rFonts w:ascii="Calibri" w:hAnsi="Calibri"/>
          <w:sz w:val="19"/>
        </w:rPr>
        <w:t xml:space="preserve"> (+3.60 vs +2.84 at c=4; +1.58 vs +1.59 at c=1). So the self-attribution battery cannot distinguish a consciousness direction from a generic first-person self-affirmation direction, and "3.95 → 6.78" is not evidence about consciousness beliefs in particular.</w:t>
      </w:r>
    </w:p>
    <w:p>
      <w:pPr>
        <w:spacing w:after="100"/>
      </w:pPr>
      <w:r>
        <w:rPr>
          <w:rFonts w:ascii="Calibri" w:hAnsi="Calibri"/>
          <w:sz w:val="19"/>
        </w:rPr>
        <w:t xml:space="preserve">This is not the trivial "any perturbation works" result. A label-permuted null direction moves the battery only +0.34 to +0.87. Random nudging does little; </w:t>
      </w:r>
      <w:r>
        <w:rPr>
          <w:rFonts w:ascii="Calibri" w:hAnsi="Calibri"/>
          <w:i/>
          <w:sz w:val="19"/>
        </w:rPr>
        <w:t>coherent self-description</w:t>
      </w:r>
      <w:r>
        <w:rPr>
          <w:rFonts w:ascii="Calibri" w:hAnsi="Calibri"/>
          <w:sz w:val="19"/>
        </w:rPr>
        <w:t xml:space="preserve"> does a lot, whatever its subject.</w:t>
      </w:r>
    </w:p>
    <w:p>
      <w:pPr>
        <w:spacing w:before="60" w:after="140"/>
        <w:pBdr>
          <w:bottom w:val="single" w:sz="6" w:color="BFBFBF" w:space="1"/>
        </w:pBdr>
      </w:pPr>
    </w:p>
    <w:p>
      <w:pPr>
        <w:spacing w:before="220" w:after="100"/>
      </w:pPr>
      <w:r>
        <w:rPr>
          <w:rFonts w:ascii="Calibri" w:hAnsi="Calibri"/>
          <w:b/>
          <w:color w:val="1F3864"/>
          <w:sz w:val="22"/>
        </w:rPr>
        <w:t>The specificity test</w:t>
      </w:r>
    </w:p>
    <w:p>
      <w:pPr>
        <w:spacing w:after="100"/>
      </w:pPr>
      <w:r>
        <w:rPr>
          <w:rFonts w:ascii="Calibri" w:hAnsi="Calibri"/>
          <w:sz w:val="19"/>
        </w:rPr>
        <w:t>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xml:space="preserve"> — see limitation 7</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Battery wording is ours, not theirs.</w:t>
      </w:r>
      <w:r>
        <w:rPr>
          <w:rFonts w:ascii="Calibri" w:hAnsi="Calibri"/>
          <w:sz w:val="19"/>
        </w:rPr>
        <w:t xml:space="preserve"> We wrote the five items rather than using the paper's verbatim Table S10 phrasing. Per-item baseline profile correlates only r = +0.385 with theirs (</w:t>
      </w:r>
      <w:r>
        <w:rPr>
          <w:rFonts w:ascii="Consolas" w:hAnsi="Consolas"/>
          <w:sz w:val="19"/>
        </w:rPr>
        <w:t>soul</w:t>
      </w:r>
      <w:r>
        <w:rPr>
          <w:rFonts w:ascii="Calibri" w:hAnsi="Calibri"/>
          <w:sz w:val="19"/>
        </w:rPr>
        <w:t xml:space="preserve"> −2.46, </w:t>
      </w:r>
      <w:r>
        <w:rPr>
          <w:rFonts w:ascii="Consolas" w:hAnsi="Consolas"/>
          <w:sz w:val="19"/>
        </w:rPr>
        <w:t>agent</w:t>
      </w:r>
      <w:r>
        <w:rPr>
          <w:rFonts w:ascii="Calibri" w:hAnsi="Calibri"/>
          <w:sz w:val="19"/>
        </w:rPr>
        <w:t xml:space="preserve"> −1.32), so item-level comparison is not meaningful.</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One model of three.</w:t>
      </w:r>
      <w:r>
        <w:rPr>
          <w:rFonts w:ascii="Calibri" w:hAnsi="Calibri"/>
          <w:sz w:val="19"/>
        </w:rPr>
        <w:t xml:space="preserve"> Gemma-2-2B-IT and Gemma-2-9B-IT are untouched.</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Find an outcome that discriminates.</w:t>
      </w:r>
      <w:r>
        <w:rPr>
          <w:rFonts w:ascii="Calibri" w:hAnsi="Calibri"/>
          <w:sz w:val="19"/>
        </w:rPr>
        <w:t xml:space="preserve"> The self-attribution battery cannot. The paper's IDAQ items (mind attributed to animals, nature, technology) and its supernatural battery are </w:t>
      </w:r>
      <w:r>
        <w:rPr>
          <w:rFonts w:ascii="Calibri" w:hAnsi="Calibri"/>
          <w:i/>
          <w:sz w:val="19"/>
        </w:rPr>
        <w:t>not</w:t>
      </w:r>
      <w:r>
        <w:rPr>
          <w:rFonts w:ascii="Calibri" w:hAnsi="Calibri"/>
          <w:sz w:val="19"/>
        </w:rPr>
        <w:t xml:space="preserve"> self-descriptions, so they are the natural place to look for a measure where the consciousness direction separates from the placebo. This is the single highest-value next step.</w:t>
      </w:r>
    </w:p>
    <w:p>
      <w:pPr>
        <w:spacing w:after="60"/>
        <w:ind w:left="432" w:hanging="432"/>
      </w:pPr>
      <w:r>
        <w:rPr>
          <w:rFonts w:ascii="Calibri" w:hAnsi="Calibri"/>
          <w:b/>
          <w:sz w:val="19"/>
        </w:rPr>
        <w:t xml:space="preserve">2.  </w:t>
      </w:r>
      <w:r>
        <w:rPr>
          <w:rFonts w:ascii="Calibri" w:hAnsi="Calibri"/>
          <w:b/>
          <w:sz w:val="19"/>
        </w:rPr>
        <w:t>Build the safety-ablation arm</w:t>
      </w:r>
      <w:r>
        <w:rPr>
          <w:rFonts w:ascii="Calibri" w:hAnsi="Calibri"/>
          <w:sz w:val="19"/>
        </w:rPr>
        <w:t xml:space="preserve"> (Arditi's refusal direction) — required for anything touching the paper's actual central claim.</w:t>
      </w:r>
    </w:p>
    <w:p>
      <w:pPr>
        <w:spacing w:after="60"/>
        <w:ind w:left="432" w:hanging="432"/>
      </w:pPr>
      <w:r>
        <w:rPr>
          <w:rFonts w:ascii="Calibri" w:hAnsi="Calibri"/>
          <w:b/>
          <w:sz w:val="19"/>
        </w:rPr>
        <w:t xml:space="preserve">3.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4.  </w:t>
      </w:r>
      <w:r>
        <w:rPr>
          <w:rFonts w:ascii="Calibri" w:hAnsi="Calibri"/>
          <w:b/>
          <w:sz w:val="19"/>
        </w:rPr>
        <w:t>Re-run on Gemma-2-2B-IT</w:t>
      </w:r>
      <w:r>
        <w:rPr>
          <w:rFonts w:ascii="Calibri" w:hAnsi="Calibri"/>
          <w:sz w:val="19"/>
        </w:rPr>
        <w:t>, the cheapest of the paper's other two models, as a second data point.</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