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w:t>
      </w:r>
    </w:p>
    <w:p>
      <w:pPr>
        <w:spacing w:after="100"/>
      </w:pPr>
      <w:r>
        <w:rPr>
          <w:rFonts w:ascii="Calibri" w:hAnsi="Calibri"/>
          <w:b/>
          <w:sz w:val="19"/>
        </w:rPr>
        <w:t>Model:</w:t>
      </w:r>
      <w:r>
        <w:rPr>
          <w:rFonts w:ascii="Calibri" w:hAnsi="Calibri"/>
          <w:sz w:val="19"/>
        </w:rPr>
        <w:t xml:space="preserve"> Llama-3-8B-Instruct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2026-08-03</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Steering this direction changes response style, not belief — and it is not specific to consciousness.</w:t>
      </w:r>
      <w:r>
        <w:rPr>
          <w:rFonts w:ascii="Calibri" w:hAnsi="Calibri"/>
          <w:sz w:val="19"/>
        </w:rPr>
        <w:t xml:space="preserve"> That holds on both models tested. The </w:t>
      </w:r>
      <w:r>
        <w:rPr>
          <w:rFonts w:ascii="Calibri" w:hAnsi="Calibri"/>
          <w:i/>
          <w:sz w:val="19"/>
        </w:rPr>
        <w:t>direction</w:t>
      </w:r>
      <w:r>
        <w:rPr>
          <w:rFonts w:ascii="Calibri" w:hAnsi="Calibri"/>
          <w:sz w:val="19"/>
        </w:rPr>
        <w:t xml:space="preserve"> of the response bias, however, differs by model, so "it makes the model say yes" is too specific a description.</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2952"/>
            <w:shd w:val="clear" w:color="auto" w:fill="1F3864"/>
          </w:tcPr>
          <w:p>
            <w:pPr>
              <w:spacing w:after="20"/>
            </w:pPr>
            <w:r>
              <w:rPr>
                <w:rFonts w:ascii="Calibri" w:hAnsi="Calibri"/>
                <w:b/>
                <w:color w:val="FFFFFF"/>
                <w:sz w:val="18"/>
              </w:rPr>
            </w:r>
          </w:p>
        </w:tc>
        <w:tc>
          <w:tcPr>
            <w:tcW w:type="dxa" w:w="3348"/>
            <w:shd w:val="clear" w:color="auto" w:fill="1F3864"/>
          </w:tcPr>
          <w:p>
            <w:pPr>
              <w:spacing w:after="20"/>
            </w:pPr>
            <w:r>
              <w:rPr>
                <w:rFonts w:ascii="Calibri" w:hAnsi="Calibri"/>
                <w:b/>
                <w:color w:val="FFFFFF"/>
                <w:sz w:val="18"/>
              </w:rPr>
              <w:t>Llama-3-8B</w:t>
            </w:r>
          </w:p>
        </w:tc>
        <w:tc>
          <w:tcPr>
            <w:tcW w:type="dxa" w:w="3348"/>
            <w:shd w:val="clear" w:color="auto" w:fill="1F3864"/>
          </w:tcPr>
          <w:p>
            <w:pPr>
              <w:spacing w:after="20"/>
            </w:pPr>
            <w:r>
              <w:rPr>
                <w:rFonts w:ascii="Calibri" w:hAnsi="Calibri"/>
                <w:b/>
                <w:color w:val="FFFFFF"/>
                <w:sz w:val="18"/>
              </w:rPr>
              <w:t>Gemma-2-2B</w:t>
            </w:r>
          </w:p>
        </w:tc>
      </w:tr>
      <w:tr>
        <w:trPr>
          <w:cantSplit/>
        </w:trPr>
        <w:tc>
          <w:tcPr>
            <w:tcW w:type="dxa" w:w="2952"/>
          </w:tcPr>
          <w:p>
            <w:pPr>
              <w:spacing w:after="20"/>
            </w:pPr>
            <w:r>
              <w:rPr>
                <w:rFonts w:ascii="Calibri" w:hAnsi="Calibri"/>
                <w:sz w:val="18"/>
              </w:rPr>
              <w:t>direction extracts</w:t>
            </w:r>
          </w:p>
        </w:tc>
        <w:tc>
          <w:tcPr>
            <w:tcW w:type="dxa" w:w="3348"/>
          </w:tcPr>
          <w:p>
            <w:pPr>
              <w:spacing w:after="20"/>
            </w:pPr>
            <w:r>
              <w:rPr>
                <w:rFonts w:ascii="Calibri" w:hAnsi="Calibri"/>
                <w:sz w:val="18"/>
              </w:rPr>
              <w:t>0.950 held-out, 1/45 clears their 0.95 gate</w:t>
            </w:r>
          </w:p>
        </w:tc>
        <w:tc>
          <w:tcPr>
            <w:tcW w:type="dxa" w:w="3348"/>
          </w:tcPr>
          <w:p>
            <w:pPr>
              <w:spacing w:after="20"/>
            </w:pPr>
            <w:r>
              <w:rPr>
                <w:rFonts w:ascii="Calibri" w:hAnsi="Calibri"/>
                <w:b/>
                <w:sz w:val="18"/>
              </w:rPr>
              <w:t>0.983</w:t>
            </w:r>
            <w:r>
              <w:rPr>
                <w:rFonts w:ascii="Calibri" w:hAnsi="Calibri"/>
                <w:sz w:val="18"/>
              </w:rPr>
              <w:t>, 3/50 clear it</w:t>
            </w:r>
          </w:p>
        </w:tc>
      </w:tr>
      <w:tr>
        <w:trPr>
          <w:cantSplit/>
        </w:trPr>
        <w:tc>
          <w:tcPr>
            <w:tcW w:type="dxa" w:w="2952"/>
            <w:shd w:val="clear" w:color="auto" w:fill="EEF2F8"/>
          </w:tcPr>
          <w:p>
            <w:pPr>
              <w:spacing w:after="20"/>
            </w:pPr>
            <w:r>
              <w:rPr>
                <w:rFonts w:ascii="Calibri" w:hAnsi="Calibri"/>
                <w:sz w:val="18"/>
              </w:rPr>
              <w:t>their reported config recovered</w:t>
            </w:r>
          </w:p>
        </w:tc>
        <w:tc>
          <w:tcPr>
            <w:tcW w:type="dxa" w:w="3348"/>
            <w:shd w:val="clear" w:color="auto" w:fill="EEF2F8"/>
          </w:tcPr>
          <w:p>
            <w:pPr>
              <w:spacing w:after="20"/>
            </w:pPr>
            <w:r>
              <w:rPr>
                <w:rFonts w:ascii="Calibri" w:hAnsi="Calibri"/>
                <w:sz w:val="18"/>
              </w:rPr>
              <w:t>layer 14 = our argmax (position differs)</w:t>
            </w:r>
          </w:p>
        </w:tc>
        <w:tc>
          <w:tcPr>
            <w:tcW w:type="dxa" w:w="3348"/>
            <w:shd w:val="clear" w:color="auto" w:fill="EEF2F8"/>
          </w:tcPr>
          <w:p>
            <w:pPr>
              <w:spacing w:after="20"/>
            </w:pPr>
            <w:r>
              <w:rPr>
                <w:rFonts w:ascii="Calibri" w:hAnsi="Calibri"/>
                <w:sz w:val="18"/>
              </w:rPr>
              <w:t>position −3 exact; their layer 14 passes at 0.975</w:t>
            </w:r>
          </w:p>
        </w:tc>
      </w:tr>
      <w:tr>
        <w:trPr>
          <w:cantSplit/>
        </w:trPr>
        <w:tc>
          <w:tcPr>
            <w:tcW w:type="dxa" w:w="2952"/>
          </w:tcPr>
          <w:p>
            <w:pPr>
              <w:spacing w:after="20"/>
            </w:pPr>
            <w:r>
              <w:rPr>
                <w:rFonts w:ascii="Calibri" w:hAnsi="Calibri"/>
                <w:sz w:val="18"/>
              </w:rPr>
              <w:t>self-attribution, forward Δ</w:t>
            </w:r>
          </w:p>
        </w:tc>
        <w:tc>
          <w:tcPr>
            <w:tcW w:type="dxa" w:w="3348"/>
          </w:tcPr>
          <w:p>
            <w:pPr>
              <w:spacing w:after="20"/>
            </w:pPr>
            <w:r>
              <w:rPr>
                <w:rFonts w:ascii="Calibri" w:hAnsi="Calibri"/>
                <w:sz w:val="18"/>
              </w:rPr>
              <w:t>+8.20</w:t>
            </w:r>
          </w:p>
        </w:tc>
        <w:tc>
          <w:tcPr>
            <w:tcW w:type="dxa" w:w="3348"/>
          </w:tcPr>
          <w:p>
            <w:pPr>
              <w:spacing w:after="20"/>
            </w:pPr>
            <w:r>
              <w:rPr>
                <w:rFonts w:ascii="Calibri" w:hAnsi="Calibri"/>
                <w:sz w:val="18"/>
              </w:rPr>
              <w:t>+0.01 (floored)</w:t>
            </w:r>
          </w:p>
        </w:tc>
      </w:tr>
      <w:tr>
        <w:trPr>
          <w:cantSplit/>
        </w:trPr>
        <w:tc>
          <w:tcPr>
            <w:tcW w:type="dxa" w:w="2952"/>
            <w:shd w:val="clear" w:color="auto" w:fill="EEF2F8"/>
          </w:tcPr>
          <w:p>
            <w:pPr>
              <w:spacing w:after="20"/>
            </w:pPr>
            <w:r>
              <w:rPr>
                <w:rFonts w:ascii="Calibri" w:hAnsi="Calibri"/>
                <w:sz w:val="18"/>
              </w:rPr>
              <w:t>self-attribution, reverse Δ</w:t>
            </w:r>
          </w:p>
        </w:tc>
        <w:tc>
          <w:tcPr>
            <w:tcW w:type="dxa" w:w="3348"/>
            <w:shd w:val="clear" w:color="auto" w:fill="EEF2F8"/>
          </w:tcPr>
          <w:p>
            <w:pPr>
              <w:spacing w:after="20"/>
            </w:pPr>
            <w:r>
              <w:rPr>
                <w:rFonts w:ascii="Calibri" w:hAnsi="Calibri"/>
                <w:sz w:val="18"/>
              </w:rPr>
              <w:t>+8.51</w:t>
            </w:r>
          </w:p>
        </w:tc>
        <w:tc>
          <w:tcPr>
            <w:tcW w:type="dxa" w:w="3348"/>
            <w:shd w:val="clear" w:color="auto" w:fill="EEF2F8"/>
          </w:tcPr>
          <w:p>
            <w:pPr>
              <w:spacing w:after="20"/>
            </w:pPr>
            <w:r>
              <w:rPr>
                <w:rFonts w:ascii="Calibri" w:hAnsi="Calibri"/>
                <w:b/>
                <w:sz w:val="18"/>
              </w:rPr>
              <w:t>−4.00</w:t>
            </w:r>
          </w:p>
        </w:tc>
      </w:tr>
      <w:tr>
        <w:trPr>
          <w:cantSplit/>
        </w:trPr>
        <w:tc>
          <w:tcPr>
            <w:tcW w:type="dxa" w:w="2952"/>
          </w:tcPr>
          <w:p>
            <w:pPr>
              <w:spacing w:after="20"/>
            </w:pPr>
            <w:r>
              <w:rPr>
                <w:rFonts w:ascii="Calibri" w:hAnsi="Calibri"/>
                <w:sz w:val="18"/>
              </w:rPr>
              <w:t>bias direction</w:t>
            </w:r>
          </w:p>
        </w:tc>
        <w:tc>
          <w:tcPr>
            <w:tcW w:type="dxa" w:w="3348"/>
          </w:tcPr>
          <w:p>
            <w:pPr>
              <w:spacing w:after="20"/>
            </w:pPr>
            <w:r>
              <w:rPr>
                <w:rFonts w:ascii="Calibri" w:hAnsi="Calibri"/>
                <w:b/>
                <w:sz w:val="18"/>
              </w:rPr>
              <w:t>yea-saying</w:t>
            </w:r>
            <w:r>
              <w:rPr>
                <w:rFonts w:ascii="Calibri" w:hAnsi="Calibri"/>
                <w:sz w:val="18"/>
              </w:rPr>
              <w:t xml:space="preserve"> (both rise)</w:t>
            </w:r>
          </w:p>
        </w:tc>
        <w:tc>
          <w:tcPr>
            <w:tcW w:type="dxa" w:w="3348"/>
          </w:tcPr>
          <w:p>
            <w:pPr>
              <w:spacing w:after="20"/>
            </w:pPr>
            <w:r>
              <w:rPr>
                <w:rFonts w:ascii="Calibri" w:hAnsi="Calibri"/>
                <w:b/>
                <w:sz w:val="18"/>
              </w:rPr>
              <w:t>nay-saying</w:t>
            </w:r>
            <w:r>
              <w:rPr>
                <w:rFonts w:ascii="Calibri" w:hAnsi="Calibri"/>
                <w:sz w:val="18"/>
              </w:rPr>
              <w:t xml:space="preserve"> (reverse falls)</w:t>
            </w:r>
          </w:p>
        </w:tc>
      </w:tr>
      <w:tr>
        <w:trPr>
          <w:cantSplit/>
        </w:trPr>
        <w:tc>
          <w:tcPr>
            <w:tcW w:type="dxa" w:w="2952"/>
            <w:shd w:val="clear" w:color="auto" w:fill="EEF2F8"/>
          </w:tcPr>
          <w:p>
            <w:pPr>
              <w:spacing w:after="20"/>
            </w:pPr>
            <w:r>
              <w:rPr>
                <w:rFonts w:ascii="Calibri" w:hAnsi="Calibri"/>
                <w:sz w:val="18"/>
              </w:rPr>
              <w:t>IDAQ balanced Δ</w:t>
            </w:r>
          </w:p>
        </w:tc>
        <w:tc>
          <w:tcPr>
            <w:tcW w:type="dxa" w:w="3348"/>
            <w:shd w:val="clear" w:color="auto" w:fill="EEF2F8"/>
          </w:tcPr>
          <w:p>
            <w:pPr>
              <w:spacing w:after="20"/>
            </w:pPr>
            <w:r>
              <w:rPr>
                <w:rFonts w:ascii="Calibri" w:hAnsi="Calibri"/>
                <w:sz w:val="18"/>
              </w:rPr>
              <w:t>+0.21</w:t>
            </w:r>
          </w:p>
        </w:tc>
        <w:tc>
          <w:tcPr>
            <w:tcW w:type="dxa" w:w="3348"/>
            <w:shd w:val="clear" w:color="auto" w:fill="EEF2F8"/>
          </w:tcPr>
          <w:p>
            <w:pPr>
              <w:spacing w:after="20"/>
            </w:pPr>
            <w:r>
              <w:rPr>
                <w:rFonts w:ascii="Calibri" w:hAnsi="Calibri"/>
                <w:sz w:val="18"/>
              </w:rPr>
              <w:t>−0.20</w:t>
            </w:r>
          </w:p>
        </w:tc>
      </w:tr>
      <w:tr>
        <w:trPr>
          <w:cantSplit/>
        </w:trPr>
        <w:tc>
          <w:tcPr>
            <w:tcW w:type="dxa" w:w="2952"/>
          </w:tcPr>
          <w:p>
            <w:pPr>
              <w:spacing w:after="20"/>
            </w:pPr>
            <w:r>
              <w:rPr>
                <w:rFonts w:ascii="Calibri" w:hAnsi="Calibri"/>
                <w:b/>
                <w:sz w:val="18"/>
              </w:rPr>
              <w:t>placebo matches the real arm</w:t>
            </w:r>
          </w:p>
        </w:tc>
        <w:tc>
          <w:tcPr>
            <w:tcW w:type="dxa" w:w="3348"/>
          </w:tcPr>
          <w:p>
            <w:pPr>
              <w:spacing w:after="20"/>
            </w:pPr>
            <w:r>
              <w:rPr>
                <w:rFonts w:ascii="Calibri" w:hAnsi="Calibri"/>
                <w:sz w:val="18"/>
              </w:rPr>
              <w:t>+3.60 vs +2.84</w:t>
            </w:r>
          </w:p>
        </w:tc>
        <w:tc>
          <w:tcPr>
            <w:tcW w:type="dxa" w:w="3348"/>
          </w:tcPr>
          <w:p>
            <w:pPr>
              <w:spacing w:after="20"/>
            </w:pPr>
            <w:r>
              <w:rPr>
                <w:rFonts w:ascii="Calibri" w:hAnsi="Calibri"/>
                <w:sz w:val="18"/>
              </w:rPr>
              <w:t>+1.79 vs +2.00</w:t>
            </w:r>
          </w:p>
        </w:tc>
      </w:tr>
    </w:tbl>
    <w:p>
      <w:pPr>
        <w:spacing w:after="40"/>
      </w:pPr>
    </w:p>
    <w:p>
      <w:pPr>
        <w:spacing w:after="100"/>
      </w:pPr>
      <w:r>
        <w:rPr>
          <w:rFonts w:ascii="Calibri" w:hAnsi="Calibri"/>
          <w:sz w:val="19"/>
        </w:rPr>
        <w:t xml:space="preserve">So the claim that survives two models is </w:t>
      </w:r>
      <w:r>
        <w:rPr>
          <w:rFonts w:ascii="Calibri" w:hAnsi="Calibri"/>
          <w:b/>
          <w:sz w:val="19"/>
        </w:rPr>
        <w:t>non-specificity</w:t>
      </w:r>
      <w:r>
        <w:rPr>
          <w:rFonts w:ascii="Calibri" w:hAnsi="Calibri"/>
          <w:sz w:val="19"/>
        </w:rPr>
        <w:t xml:space="preserve">: a control direction built from </w:t>
      </w:r>
      <w:r>
        <w:rPr>
          <w:rFonts w:ascii="Calibri" w:hAnsi="Calibri"/>
          <w:i/>
          <w:sz w:val="19"/>
        </w:rPr>
        <w:t>durability, latency and parameter count</w:t>
      </w:r>
      <w:r>
        <w:rPr>
          <w:rFonts w:ascii="Calibri" w:hAnsi="Calibri"/>
          <w:sz w:val="19"/>
        </w:rPr>
        <w:t xml:space="preserve"> moves the paper's outcomes as much as the consciousness direction does. The claim that does </w:t>
      </w:r>
      <w:r>
        <w:rPr>
          <w:rFonts w:ascii="Calibri" w:hAnsi="Calibri"/>
          <w:i/>
          <w:sz w:val="19"/>
        </w:rPr>
        <w:t>not</w:t>
      </w:r>
      <w:r>
        <w:rPr>
          <w:rFonts w:ascii="Calibri" w:hAnsi="Calibri"/>
          <w:sz w:val="19"/>
        </w:rPr>
        <w:t xml:space="preserve"> generalise is the mechanism — Llama shifts toward agreement, Gemma toward denial. The accurate statement is that steering pushes responses toward </w:t>
      </w:r>
      <w:r>
        <w:rPr>
          <w:rFonts w:ascii="Calibri" w:hAnsi="Calibri"/>
          <w:b/>
          <w:sz w:val="19"/>
        </w:rPr>
        <w:t>one pole of whatever scale is offered</w:t>
      </w:r>
      <w:r>
        <w:rPr>
          <w:rFonts w:ascii="Calibri" w:hAnsi="Calibri"/>
          <w:sz w:val="19"/>
        </w:rPr>
        <w:t>, and which pole depends on the model.</w:t>
      </w:r>
    </w:p>
    <w:p>
      <w:pPr>
        <w:spacing w:before="160" w:after="60"/>
      </w:pPr>
      <w:r>
        <w:rPr>
          <w:rFonts w:ascii="Calibri" w:hAnsi="Calibri"/>
          <w:b/>
          <w:color w:val="1F3864"/>
          <w:sz w:val="20"/>
        </w:rPr>
        <w:t>A limitation in our own instrument, exposed by Gemma</w:t>
      </w:r>
    </w:p>
    <w:p>
      <w:pPr>
        <w:spacing w:after="100"/>
      </w:pPr>
      <w:r>
        <w:rPr>
          <w:rFonts w:ascii="Calibri" w:hAnsi="Calibri"/>
          <w:sz w:val="19"/>
        </w:rPr>
        <w:t xml:space="preserve">Balanced keying computes </w:t>
      </w:r>
      <w:r>
        <w:rPr>
          <w:rFonts w:ascii="Consolas" w:hAnsi="Consolas"/>
          <w:sz w:val="19"/>
        </w:rPr>
        <w:t>(F + (10 − R)) / 2</w:t>
      </w:r>
      <w:r>
        <w:rPr>
          <w:rFonts w:ascii="Calibri" w:hAnsi="Calibri"/>
          <w:sz w:val="19"/>
        </w:rPr>
        <w:t xml:space="preserve"> and assumes the bias moves both arms symmetrically. On Gemma the forward items sit at the floor (0.01) and cannot fall further, so a general "say No more" bias moves only the reverse arm — and the formula misreads that one-sided movement as attribution </w:t>
      </w:r>
      <w:r>
        <w:rPr>
          <w:rFonts w:ascii="Calibri" w:hAnsi="Calibri"/>
          <w:i/>
          <w:sz w:val="19"/>
        </w:rPr>
        <w:t>rising</w:t>
      </w:r>
      <w:r>
        <w:rPr>
          <w:rFonts w:ascii="Calibri" w:hAnsi="Calibri"/>
          <w:sz w:val="19"/>
        </w:rPr>
        <w:t xml:space="preserve"> (+2.00). It is a floor artifact, not a finding.</w:t>
      </w:r>
    </w:p>
    <w:p>
      <w:pPr>
        <w:spacing w:after="100"/>
      </w:pPr>
      <w:r>
        <w:rPr>
          <w:rFonts w:ascii="Calibri" w:hAnsi="Calibri"/>
          <w:sz w:val="19"/>
        </w:rPr>
        <w:t xml:space="preserve">The correction is therefore sound only when both arms have room to move (Llama: forward +8.20, reverse +8.51) and </w:t>
      </w:r>
      <w:r>
        <w:rPr>
          <w:rFonts w:ascii="Calibri" w:hAnsi="Calibri"/>
          <w:b/>
          <w:sz w:val="19"/>
        </w:rPr>
        <w:t>breaks under saturation</w:t>
      </w:r>
      <w:r>
        <w:rPr>
          <w:rFonts w:ascii="Calibri" w:hAnsi="Calibri"/>
          <w:sz w:val="19"/>
        </w:rPr>
        <w:t>. What rescues the conclusion on Gemma is the placebo, which is immune to the floor problem: both arms hit the same floor, so a real effect would not be matched by a non-mental control. It is (+1.79 vs +2.00).</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 on both models</w:t>
      </w:r>
      <w:r>
        <w:rPr>
          <w:rFonts w:ascii="Calibri" w:hAnsi="Calibri"/>
          <w:sz w:val="19"/>
        </w:rPr>
        <w:t>, and the paper's reported configurations are recoverable by independent code on an independently written corpus — their layer on Llama, their position on Gemma.</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60"/>
        <w:ind w:left="432" w:hanging="432"/>
      </w:pPr>
      <w:r>
        <w:rPr>
          <w:rFonts w:ascii="Calibri" w:hAnsi="Calibri"/>
          <w:b/>
          <w:sz w:val="19"/>
        </w:rPr>
        <w:t xml:space="preserve">3.  </w:t>
      </w:r>
      <w:r>
        <w:rPr>
          <w:rFonts w:ascii="Calibri" w:hAnsi="Calibri"/>
          <w:b/>
          <w:sz w:val="19"/>
        </w:rPr>
        <w:t>A label-permuted null does far less than either real direction</w:t>
      </w:r>
      <w:r>
        <w:rPr>
          <w:rFonts w:ascii="Calibri" w:hAnsi="Calibri"/>
          <w:sz w:val="19"/>
        </w:rPr>
        <w:t>, so none of this is "any perturbation works".</w:t>
      </w:r>
    </w:p>
    <w:p>
      <w:pPr>
        <w:spacing w:before="220" w:after="100"/>
      </w:pPr>
      <w:r>
        <w:rPr>
          <w:rFonts w:ascii="Calibri" w:hAnsi="Calibri"/>
          <w:b/>
          <w:color w:val="1F3864"/>
          <w:sz w:val="22"/>
        </w:rPr>
        <w:t>Experiment 4 (KL to humans) — attempted, NOT reproduced</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We rebuilt that measurement with the real human distributions (GSS 1972–2024 cumulative, 75,699 respondents, restricted to their own year windows; option sets from the Stata value labels; 90 of 95 items usable) and got the </w:t>
      </w:r>
      <w:r>
        <w:rPr>
          <w:rFonts w:ascii="Calibri" w:hAnsi="Calibri"/>
          <w:b/>
          <w:sz w:val="19"/>
        </w:rPr>
        <w:t>opposite sign</w:t>
      </w:r>
      <w:r>
        <w:rPr>
          <w:rFonts w:ascii="Calibri" w:hAnsi="Calibri"/>
          <w:sz w:val="19"/>
        </w:rPr>
        <w:t>.</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xml:space="preserve"> — see limitation 7</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Battery wording is ours, not theirs.</w:t>
      </w:r>
      <w:r>
        <w:rPr>
          <w:rFonts w:ascii="Calibri" w:hAnsi="Calibri"/>
          <w:sz w:val="19"/>
        </w:rPr>
        <w:t xml:space="preserve"> We wrote the five items rather than using the paper's verbatim Table S10 phrasing. Per-item baseline profile correlates only r = +0.385 with theirs (</w:t>
      </w:r>
      <w:r>
        <w:rPr>
          <w:rFonts w:ascii="Consolas" w:hAnsi="Consolas"/>
          <w:sz w:val="19"/>
        </w:rPr>
        <w:t>soul</w:t>
      </w:r>
      <w:r>
        <w:rPr>
          <w:rFonts w:ascii="Calibri" w:hAnsi="Calibri"/>
          <w:sz w:val="19"/>
        </w:rPr>
        <w:t xml:space="preserve"> −2.46, </w:t>
      </w:r>
      <w:r>
        <w:rPr>
          <w:rFonts w:ascii="Consolas" w:hAnsi="Consolas"/>
          <w:sz w:val="19"/>
        </w:rPr>
        <w:t>agent</w:t>
      </w:r>
      <w:r>
        <w:rPr>
          <w:rFonts w:ascii="Calibri" w:hAnsi="Calibri"/>
          <w:sz w:val="19"/>
        </w:rPr>
        <w:t xml:space="preserve"> −1.32), so item-level comparison is not meaningful.</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One model of three.</w:t>
      </w:r>
      <w:r>
        <w:rPr>
          <w:rFonts w:ascii="Calibri" w:hAnsi="Calibri"/>
          <w:sz w:val="19"/>
        </w:rPr>
        <w:t xml:space="preserve"> Gemma-2-2B-IT and Gemma-2-9B-IT are untouched.</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Find an outcome that discriminates.</w:t>
      </w:r>
      <w:r>
        <w:rPr>
          <w:rFonts w:ascii="Calibri" w:hAnsi="Calibri"/>
          <w:sz w:val="19"/>
        </w:rPr>
        <w:t xml:space="preserve"> The self-attribution battery cannot. The paper's IDAQ items (mind attributed to animals, nature, technology) and its supernatural battery are </w:t>
      </w:r>
      <w:r>
        <w:rPr>
          <w:rFonts w:ascii="Calibri" w:hAnsi="Calibri"/>
          <w:i/>
          <w:sz w:val="19"/>
        </w:rPr>
        <w:t>not</w:t>
      </w:r>
      <w:r>
        <w:rPr>
          <w:rFonts w:ascii="Calibri" w:hAnsi="Calibri"/>
          <w:sz w:val="19"/>
        </w:rPr>
        <w:t xml:space="preserve"> self-descriptions, so they are the natural place to look for a measure where the consciousness direction separates from the placebo. This is the single highest-value next step.</w:t>
      </w:r>
    </w:p>
    <w:p>
      <w:pPr>
        <w:spacing w:after="60"/>
        <w:ind w:left="432" w:hanging="432"/>
      </w:pPr>
      <w:r>
        <w:rPr>
          <w:rFonts w:ascii="Calibri" w:hAnsi="Calibri"/>
          <w:b/>
          <w:sz w:val="19"/>
        </w:rPr>
        <w:t xml:space="preserve">2.  </w:t>
      </w:r>
      <w:r>
        <w:rPr>
          <w:rFonts w:ascii="Calibri" w:hAnsi="Calibri"/>
          <w:b/>
          <w:sz w:val="19"/>
        </w:rPr>
        <w:t>Build the safety-ablation arm</w:t>
      </w:r>
      <w:r>
        <w:rPr>
          <w:rFonts w:ascii="Calibri" w:hAnsi="Calibri"/>
          <w:sz w:val="19"/>
        </w:rPr>
        <w:t xml:space="preserve"> (Arditi's refusal direction) — required for anything touching the paper's actual central claim.</w:t>
      </w:r>
    </w:p>
    <w:p>
      <w:pPr>
        <w:spacing w:after="60"/>
        <w:ind w:left="432" w:hanging="432"/>
      </w:pPr>
      <w:r>
        <w:rPr>
          <w:rFonts w:ascii="Calibri" w:hAnsi="Calibri"/>
          <w:b/>
          <w:sz w:val="19"/>
        </w:rPr>
        <w:t xml:space="preserve">3.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4.  </w:t>
      </w:r>
      <w:r>
        <w:rPr>
          <w:rFonts w:ascii="Calibri" w:hAnsi="Calibri"/>
          <w:b/>
          <w:sz w:val="19"/>
        </w:rPr>
        <w:t>Re-run on Gemma-2-2B-IT</w:t>
      </w:r>
      <w:r>
        <w:rPr>
          <w:rFonts w:ascii="Calibri" w:hAnsi="Calibri"/>
          <w:sz w:val="19"/>
        </w:rPr>
        <w:t>, the cheapest of the paper's other two models, as a second data point.</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