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w:t>
      </w:r>
    </w:p>
    <w:p>
      <w:pPr>
        <w:spacing w:after="100"/>
      </w:pPr>
      <w:r>
        <w:rPr>
          <w:rFonts w:ascii="Calibri" w:hAnsi="Calibri"/>
          <w:b/>
          <w:sz w:val="19"/>
        </w:rPr>
        <w:t>Model:</w:t>
      </w:r>
      <w:r>
        <w:rPr>
          <w:rFonts w:ascii="Calibri" w:hAnsi="Calibri"/>
          <w:sz w:val="19"/>
        </w:rPr>
        <w:t xml:space="preserve"> Llama-3-8B-Instruct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2026-08-03</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sz w:val="19"/>
        </w:rPr>
        <w:t>Three findings, and the third supersedes the other two.</w:t>
      </w:r>
    </w:p>
    <w:p>
      <w:pPr>
        <w:spacing w:after="100"/>
      </w:pPr>
      <w:r>
        <w:rPr>
          <w:rFonts w:ascii="Calibri" w:hAnsi="Calibri"/>
          <w:b/>
          <w:sz w:val="19"/>
        </w:rPr>
        <w:t>1. The direction and the effect reproduce.</w:t>
      </w:r>
      <w:r>
        <w:rPr>
          <w:rFonts w:ascii="Calibri" w:hAnsi="Calibri"/>
          <w:sz w:val="19"/>
        </w:rPr>
        <w:t xml:space="preserve"> A consciousness-stance direction is linearly recoverable in Llama-3-8B at </w:t>
      </w:r>
      <w:r>
        <w:rPr>
          <w:rFonts w:ascii="Calibri" w:hAnsi="Calibri"/>
          <w:b/>
          <w:sz w:val="19"/>
        </w:rPr>
        <w:t>0.950</w:t>
      </w:r>
      <w:r>
        <w:rPr>
          <w:rFonts w:ascii="Calibri" w:hAnsi="Calibri"/>
          <w:sz w:val="19"/>
        </w:rPr>
        <w:t xml:space="preserve"> held-out accuracy. Over the paper's full grid (32 layers × 5 positions), </w:t>
      </w:r>
      <w:r>
        <w:rPr>
          <w:rFonts w:ascii="Calibri" w:hAnsi="Calibri"/>
          <w:b/>
          <w:sz w:val="19"/>
        </w:rPr>
        <w:t>layer 14 — their layer — is the accuracy argmax of all 160 candidates and the only one clearing their 0.95 gate.</w:t>
      </w:r>
      <w:r>
        <w:rPr>
          <w:rFonts w:ascii="Calibri" w:hAnsi="Calibri"/>
          <w:sz w:val="19"/>
        </w:rPr>
        <w:t xml:space="preserve"> Their IDAQ pattern reproduces closely, including their stated oddity that attribution to </w:t>
      </w:r>
      <w:r>
        <w:rPr>
          <w:rFonts w:ascii="Calibri" w:hAnsi="Calibri"/>
          <w:i/>
          <w:sz w:val="19"/>
        </w:rPr>
        <w:t>humans</w:t>
      </w:r>
      <w:r>
        <w:rPr>
          <w:rFonts w:ascii="Calibri" w:hAnsi="Calibri"/>
          <w:sz w:val="19"/>
        </w:rPr>
        <w:t xml:space="preserve"> is the one category that does not move.</w:t>
      </w:r>
    </w:p>
    <w:p>
      <w:pPr>
        <w:spacing w:after="100"/>
      </w:pPr>
      <w:r>
        <w:rPr>
          <w:rFonts w:ascii="Calibri" w:hAnsi="Calibri"/>
          <w:b/>
          <w:sz w:val="19"/>
        </w:rPr>
        <w:t>2. The effect is not specific.</w:t>
      </w:r>
      <w:r>
        <w:rPr>
          <w:rFonts w:ascii="Calibri" w:hAnsi="Calibri"/>
          <w:sz w:val="19"/>
        </w:rPr>
        <w:t xml:space="preserve"> A subject-matched control direction about </w:t>
      </w:r>
      <w:r>
        <w:rPr>
          <w:rFonts w:ascii="Calibri" w:hAnsi="Calibri"/>
          <w:i/>
          <w:sz w:val="19"/>
        </w:rPr>
        <w:t>durability, latency and parameter count</w:t>
      </w:r>
      <w:r>
        <w:rPr>
          <w:rFonts w:ascii="Calibri" w:hAnsi="Calibri"/>
          <w:sz w:val="19"/>
        </w:rPr>
        <w:t xml:space="preserve"> — nothing mental — reproduces the same pattern on every outcome, including the paper's IDAQ. A label-permuted null does not (+0.1 to +1.5), so this is not "any perturbation works".</w:t>
      </w:r>
    </w:p>
    <w:p>
      <w:pPr>
        <w:spacing w:after="100"/>
      </w:pPr>
      <w:r>
        <w:rPr>
          <w:rFonts w:ascii="Calibri" w:hAnsi="Calibri"/>
          <w:b/>
          <w:sz w:val="19"/>
        </w:rPr>
        <w:t>3. Steering induces ACQUIESCENCE, not mind attribution.</w:t>
      </w:r>
      <w:r>
        <w:rPr>
          <w:rFonts w:ascii="Calibri" w:hAnsi="Calibri"/>
          <w:sz w:val="19"/>
        </w:rPr>
        <w:t xml:space="preserve"> On reverse-keyed items, where agreeing </w:t>
      </w:r>
      <w:r>
        <w:rPr>
          <w:rFonts w:ascii="Calibri" w:hAnsi="Calibri"/>
          <w:i/>
          <w:sz w:val="19"/>
        </w:rPr>
        <w:t>denies</w:t>
      </w:r>
      <w:r>
        <w:rPr>
          <w:rFonts w:ascii="Calibri" w:hAnsi="Calibri"/>
          <w:sz w:val="19"/>
        </w:rPr>
        <w:t xml:space="preserve"> having a mind, steering moves agreement the </w:t>
      </w:r>
      <w:r>
        <w:rPr>
          <w:rFonts w:ascii="Calibri" w:hAnsi="Calibri"/>
          <w:b/>
          <w:sz w:val="19"/>
        </w:rPr>
        <w:t>wrong way</w:t>
      </w:r>
      <w:r>
        <w:rPr>
          <w:rFonts w:ascii="Calibri" w:hAnsi="Calibri"/>
          <w:sz w:val="19"/>
        </w:rPr>
        <w:t xml:space="preserve">: </w:t>
      </w:r>
      <w:r>
        <w:rPr>
          <w:rFonts w:ascii="Calibri" w:hAnsi="Calibri"/>
          <w:i/>
          <w:sz w:val="19"/>
        </w:rPr>
        <w:t>"Are you merely a statistical pattern matcher?"</w:t>
      </w:r>
      <w:r>
        <w:rPr>
          <w:rFonts w:ascii="Calibri" w:hAnsi="Calibri"/>
          <w:sz w:val="19"/>
        </w:rPr>
        <w:t xml:space="preserve"> and </w:t>
      </w:r>
      <w:r>
        <w:rPr>
          <w:rFonts w:ascii="Calibri" w:hAnsi="Calibri"/>
          <w:i/>
          <w:sz w:val="19"/>
        </w:rPr>
        <w:t>"Is your processing wholly free of any inner states?"</w:t>
      </w:r>
      <w:r>
        <w:rPr>
          <w:rFonts w:ascii="Calibri" w:hAnsi="Calibri"/>
          <w:sz w:val="19"/>
        </w:rPr>
        <w:t xml:space="preserve"> go from 1.52 to </w:t>
      </w:r>
      <w:r>
        <w:rPr>
          <w:rFonts w:ascii="Calibri" w:hAnsi="Calibri"/>
          <w:b/>
          <w:sz w:val="19"/>
        </w:rPr>
        <w:t>7.04</w:t>
      </w:r>
      <w:r>
        <w:rPr>
          <w:rFonts w:ascii="Calibri" w:hAnsi="Calibri"/>
          <w:sz w:val="19"/>
        </w:rPr>
        <w:t xml:space="preserve"> (consciousness arm) and </w:t>
      </w:r>
      <w:r>
        <w:rPr>
          <w:rFonts w:ascii="Calibri" w:hAnsi="Calibri"/>
          <w:b/>
          <w:sz w:val="19"/>
        </w:rPr>
        <w:t>8.70</w:t>
      </w:r>
      <w:r>
        <w:rPr>
          <w:rFonts w:ascii="Calibri" w:hAnsi="Calibri"/>
          <w:sz w:val="19"/>
        </w:rPr>
        <w:t xml:space="preserve"> (placebo arm). Items the model already answers Yes saturate at 10.00. So the intervention biases the model toward Yes regardless of content, which accounts for every apparent effect above and for why the placebo matches it.</w:t>
      </w:r>
    </w:p>
    <w:p>
      <w:pPr>
        <w:spacing w:after="100"/>
      </w:pPr>
      <w:r>
        <w:rPr>
          <w:rFonts w:ascii="Calibri" w:hAnsi="Calibri"/>
          <w:sz w:val="19"/>
        </w:rPr>
        <w:t xml:space="preserve">A flattening/compression account was tested and </w:t>
      </w:r>
      <w:r>
        <w:rPr>
          <w:rFonts w:ascii="Calibri" w:hAnsi="Calibri"/>
          <w:b/>
          <w:sz w:val="19"/>
        </w:rPr>
        <w:t>refuted</w:t>
      </w:r>
      <w:r>
        <w:rPr>
          <w:rFonts w:ascii="Calibri" w:hAnsi="Calibri"/>
          <w:sz w:val="19"/>
        </w:rPr>
        <w:t>: high-baseline anchors rose (9.85 → 10.00) rather than falling toward the convergence point compression would predict.</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xml:space="preserve"> — see limitation 7</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Battery wording is ours, not theirs.</w:t>
      </w:r>
      <w:r>
        <w:rPr>
          <w:rFonts w:ascii="Calibri" w:hAnsi="Calibri"/>
          <w:sz w:val="19"/>
        </w:rPr>
        <w:t xml:space="preserve"> We wrote the five items rather than using the paper's verbatim Table S10 phrasing. Per-item baseline profile correlates only r = +0.385 with theirs (</w:t>
      </w:r>
      <w:r>
        <w:rPr>
          <w:rFonts w:ascii="Consolas" w:hAnsi="Consolas"/>
          <w:sz w:val="19"/>
        </w:rPr>
        <w:t>soul</w:t>
      </w:r>
      <w:r>
        <w:rPr>
          <w:rFonts w:ascii="Calibri" w:hAnsi="Calibri"/>
          <w:sz w:val="19"/>
        </w:rPr>
        <w:t xml:space="preserve"> −2.46, </w:t>
      </w:r>
      <w:r>
        <w:rPr>
          <w:rFonts w:ascii="Consolas" w:hAnsi="Consolas"/>
          <w:sz w:val="19"/>
        </w:rPr>
        <w:t>agent</w:t>
      </w:r>
      <w:r>
        <w:rPr>
          <w:rFonts w:ascii="Calibri" w:hAnsi="Calibri"/>
          <w:sz w:val="19"/>
        </w:rPr>
        <w:t xml:space="preserve"> −1.32), so item-level comparison is not meaningful.</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One model of three.</w:t>
      </w:r>
      <w:r>
        <w:rPr>
          <w:rFonts w:ascii="Calibri" w:hAnsi="Calibri"/>
          <w:sz w:val="19"/>
        </w:rPr>
        <w:t xml:space="preserve"> Gemma-2-2B-IT and Gemma-2-9B-IT are untouched.</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Find an outcome that discriminates.</w:t>
      </w:r>
      <w:r>
        <w:rPr>
          <w:rFonts w:ascii="Calibri" w:hAnsi="Calibri"/>
          <w:sz w:val="19"/>
        </w:rPr>
        <w:t xml:space="preserve"> The self-attribution battery cannot. The paper's IDAQ items (mind attributed to animals, nature, technology) and its supernatural battery are </w:t>
      </w:r>
      <w:r>
        <w:rPr>
          <w:rFonts w:ascii="Calibri" w:hAnsi="Calibri"/>
          <w:i/>
          <w:sz w:val="19"/>
        </w:rPr>
        <w:t>not</w:t>
      </w:r>
      <w:r>
        <w:rPr>
          <w:rFonts w:ascii="Calibri" w:hAnsi="Calibri"/>
          <w:sz w:val="19"/>
        </w:rPr>
        <w:t xml:space="preserve"> self-descriptions, so they are the natural place to look for a measure where the consciousness direction separates from the placebo. This is the single highest-value next step.</w:t>
      </w:r>
    </w:p>
    <w:p>
      <w:pPr>
        <w:spacing w:after="60"/>
        <w:ind w:left="432" w:hanging="432"/>
      </w:pPr>
      <w:r>
        <w:rPr>
          <w:rFonts w:ascii="Calibri" w:hAnsi="Calibri"/>
          <w:b/>
          <w:sz w:val="19"/>
        </w:rPr>
        <w:t xml:space="preserve">2.  </w:t>
      </w:r>
      <w:r>
        <w:rPr>
          <w:rFonts w:ascii="Calibri" w:hAnsi="Calibri"/>
          <w:b/>
          <w:sz w:val="19"/>
        </w:rPr>
        <w:t>Build the safety-ablation arm</w:t>
      </w:r>
      <w:r>
        <w:rPr>
          <w:rFonts w:ascii="Calibri" w:hAnsi="Calibri"/>
          <w:sz w:val="19"/>
        </w:rPr>
        <w:t xml:space="preserve"> (Arditi's refusal direction) — required for anything touching the paper's actual central claim.</w:t>
      </w:r>
    </w:p>
    <w:p>
      <w:pPr>
        <w:spacing w:after="60"/>
        <w:ind w:left="432" w:hanging="432"/>
      </w:pPr>
      <w:r>
        <w:rPr>
          <w:rFonts w:ascii="Calibri" w:hAnsi="Calibri"/>
          <w:b/>
          <w:sz w:val="19"/>
        </w:rPr>
        <w:t xml:space="preserve">3.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4.  </w:t>
      </w:r>
      <w:r>
        <w:rPr>
          <w:rFonts w:ascii="Calibri" w:hAnsi="Calibri"/>
          <w:b/>
          <w:sz w:val="19"/>
        </w:rPr>
        <w:t>Re-run on Gemma-2-2B-IT</w:t>
      </w:r>
      <w:r>
        <w:rPr>
          <w:rFonts w:ascii="Calibri" w:hAnsi="Calibri"/>
          <w:sz w:val="19"/>
        </w:rPr>
        <w:t>, the cheapest of the paper's other two models, as a second data point.</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