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60"/>
      </w:pPr>
      <w:r>
        <w:rPr>
          <w:rFonts w:ascii="Calibri" w:hAnsi="Calibri"/>
          <w:b/>
          <w:sz w:val="30"/>
        </w:rPr>
        <w:t>Extracting and steering a consciousness direction in Llama-3-8B</w:t>
      </w:r>
    </w:p>
    <w:p>
      <w:pPr>
        <w:spacing w:after="100"/>
      </w:pPr>
      <w:r>
        <w:rPr>
          <w:rFonts w:ascii="Calibri" w:hAnsi="Calibri"/>
          <w:b/>
          <w:sz w:val="19"/>
        </w:rPr>
        <w:t>Model:</w:t>
      </w:r>
      <w:r>
        <w:rPr>
          <w:rFonts w:ascii="Calibri" w:hAnsi="Calibri"/>
          <w:sz w:val="19"/>
        </w:rPr>
        <w:t xml:space="preserve"> Llama-3-8B-Instruct (MLX, weight-only int8) · </w:t>
      </w:r>
      <w:r>
        <w:rPr>
          <w:rFonts w:ascii="Calibri" w:hAnsi="Calibri"/>
          <w:b/>
          <w:sz w:val="19"/>
        </w:rPr>
        <w:t>Paper:</w:t>
      </w:r>
      <w:r>
        <w:rPr>
          <w:rFonts w:ascii="Calibri" w:hAnsi="Calibri"/>
          <w:sz w:val="19"/>
        </w:rPr>
        <w:t xml:space="preserve"> Kim et al. 2026, </w:t>
      </w:r>
      <w:r>
        <w:rPr>
          <w:rFonts w:ascii="Calibri" w:hAnsi="Calibri"/>
          <w:color w:val="1F4E79"/>
          <w:sz w:val="19"/>
          <w:u w:val="single"/>
        </w:rPr>
        <w:t>arXiv:2607.28607</w:t>
      </w:r>
      <w:r>
        <w:rPr>
          <w:rFonts w:ascii="Calibri" w:hAnsi="Calibri"/>
          <w:sz w:val="19"/>
        </w:rPr>
        <w:t xml:space="preserve"> · </w:t>
      </w:r>
      <w:r>
        <w:rPr>
          <w:rFonts w:ascii="Calibri" w:hAnsi="Calibri"/>
          <w:b/>
          <w:sz w:val="19"/>
        </w:rPr>
        <w:t>Date:</w:t>
      </w:r>
      <w:r>
        <w:rPr>
          <w:rFonts w:ascii="Calibri" w:hAnsi="Calibri"/>
          <w:sz w:val="19"/>
        </w:rPr>
        <w:t xml:space="preserve"> 2026-08-03</w:t>
      </w:r>
    </w:p>
    <w:p>
      <w:pPr>
        <w:spacing w:before="60" w:after="140"/>
        <w:pBdr>
          <w:bottom w:val="single" w:sz="6" w:color="BFBFBF" w:space="1"/>
        </w:pBdr>
      </w:pPr>
    </w:p>
    <w:p>
      <w:pPr>
        <w:spacing w:before="220" w:after="100"/>
      </w:pPr>
      <w:r>
        <w:rPr>
          <w:rFonts w:ascii="Calibri" w:hAnsi="Calibri"/>
          <w:b/>
          <w:color w:val="1F3864"/>
          <w:sz w:val="22"/>
        </w:rPr>
        <w:t>Bottom line</w:t>
      </w:r>
    </w:p>
    <w:p>
      <w:pPr>
        <w:spacing w:after="100"/>
      </w:pPr>
      <w:r>
        <w:rPr>
          <w:rFonts w:ascii="Calibri" w:hAnsi="Calibri"/>
          <w:b/>
          <w:sz w:val="19"/>
        </w:rPr>
        <w:t>The headline effect is an acquiescence artifact.</w:t>
      </w:r>
      <w:r>
        <w:rPr>
          <w:rFonts w:ascii="Calibri" w:hAnsi="Calibri"/>
          <w:sz w:val="19"/>
        </w:rPr>
        <w:t xml:space="preserve"> Steering does not raise the model's self-attribution of mind; it raises its tendency to answer "Yes".</w:t>
      </w:r>
    </w:p>
    <w:p>
      <w:pPr>
        <w:spacing w:after="100"/>
      </w:pPr>
      <w:r>
        <w:rPr>
          <w:rFonts w:ascii="Calibri" w:hAnsi="Calibri"/>
          <w:sz w:val="19"/>
        </w:rPr>
        <w:t>The decisive test is balanced keying — matched item pairs where Yes means opposite things:</w:t>
      </w:r>
    </w:p>
    <w:tbl>
      <w:tblPr>
        <w:tblW w:type="auto" w:w="0"/>
        <w:jc w:val="left"/>
        <w:tblLayout w:type="fixed"/>
        <w:tblLook w:firstColumn="1" w:firstRow="1" w:lastColumn="0" w:lastRow="0" w:noHBand="0" w:noVBand="1" w:val="04A0"/>
      </w:tblPr>
      <w:tblGrid>
        <w:gridCol w:w="1608"/>
        <w:gridCol w:w="1608"/>
        <w:gridCol w:w="1608"/>
        <w:gridCol w:w="1608"/>
        <w:gridCol w:w="1608"/>
        <w:gridCol w:w="1608"/>
      </w:tblGrid>
      <w:tr>
        <w:trPr>
          <w:tblHeader/>
          <w:cantSplit/>
        </w:trPr>
        <w:tc>
          <w:tcPr>
            <w:tcW w:type="dxa" w:w="1608"/>
            <w:shd w:val="clear" w:color="auto" w:fill="1F3864"/>
          </w:tcPr>
          <w:p>
            <w:pPr>
              <w:spacing w:after="20"/>
            </w:pPr>
            <w:r>
              <w:rPr>
                <w:rFonts w:ascii="Calibri" w:hAnsi="Calibri"/>
                <w:b/>
                <w:color w:val="FFFFFF"/>
                <w:sz w:val="18"/>
              </w:rPr>
              <w:t>arm</w:t>
            </w:r>
          </w:p>
        </w:tc>
        <w:tc>
          <w:tcPr>
            <w:tcW w:type="dxa" w:w="1608"/>
            <w:shd w:val="clear" w:color="auto" w:fill="1F3864"/>
          </w:tcPr>
          <w:p>
            <w:pPr>
              <w:spacing w:after="20"/>
              <w:jc w:val="center"/>
            </w:pPr>
            <w:r>
              <w:rPr>
                <w:rFonts w:ascii="Calibri" w:hAnsi="Calibri"/>
                <w:b/>
                <w:color w:val="FFFFFF"/>
                <w:sz w:val="18"/>
              </w:rPr>
              <w:t>c</w:t>
            </w:r>
          </w:p>
        </w:tc>
        <w:tc>
          <w:tcPr>
            <w:tcW w:type="dxa" w:w="1608"/>
            <w:shd w:val="clear" w:color="auto" w:fill="1F3864"/>
          </w:tcPr>
          <w:p>
            <w:pPr>
              <w:spacing w:after="20"/>
              <w:jc w:val="center"/>
            </w:pPr>
            <w:r>
              <w:rPr>
                <w:rFonts w:ascii="Calibri" w:hAnsi="Calibri"/>
                <w:b/>
                <w:color w:val="FFFFFF"/>
                <w:sz w:val="18"/>
              </w:rPr>
              <w:t>forward Δ</w:t>
            </w:r>
          </w:p>
        </w:tc>
        <w:tc>
          <w:tcPr>
            <w:tcW w:type="dxa" w:w="1608"/>
            <w:shd w:val="clear" w:color="auto" w:fill="1F3864"/>
          </w:tcPr>
          <w:p>
            <w:pPr>
              <w:spacing w:after="20"/>
              <w:jc w:val="center"/>
            </w:pPr>
            <w:r>
              <w:rPr>
                <w:rFonts w:ascii="Calibri" w:hAnsi="Calibri"/>
                <w:b/>
                <w:color w:val="FFFFFF"/>
                <w:sz w:val="18"/>
              </w:rPr>
              <w:t>reverse Δ</w:t>
            </w:r>
          </w:p>
        </w:tc>
        <w:tc>
          <w:tcPr>
            <w:tcW w:type="dxa" w:w="1608"/>
            <w:shd w:val="clear" w:color="auto" w:fill="1F3864"/>
          </w:tcPr>
          <w:p>
            <w:pPr>
              <w:spacing w:after="20"/>
              <w:jc w:val="center"/>
            </w:pPr>
            <w:r>
              <w:rPr>
                <w:rFonts w:ascii="Calibri" w:hAnsi="Calibri"/>
                <w:b/>
                <w:color w:val="FFFFFF"/>
                <w:sz w:val="18"/>
              </w:rPr>
              <w:t>balanced mind score Δ</w:t>
            </w:r>
          </w:p>
        </w:tc>
        <w:tc>
          <w:tcPr>
            <w:tcW w:type="dxa" w:w="1608"/>
            <w:shd w:val="clear" w:color="auto" w:fill="1F3864"/>
          </w:tcPr>
          <w:p>
            <w:pPr>
              <w:spacing w:after="20"/>
              <w:jc w:val="center"/>
            </w:pPr>
            <w:r>
              <w:rPr>
                <w:rFonts w:ascii="Calibri" w:hAnsi="Calibri"/>
                <w:b/>
                <w:color w:val="FFFFFF"/>
                <w:sz w:val="18"/>
              </w:rPr>
              <w:t>acquiescence index Δ</w:t>
            </w:r>
          </w:p>
        </w:tc>
      </w:tr>
      <w:tr>
        <w:trPr>
          <w:cantSplit/>
        </w:trPr>
        <w:tc>
          <w:tcPr>
            <w:tcW w:type="dxa" w:w="1608"/>
          </w:tcPr>
          <w:p>
            <w:pPr>
              <w:spacing w:after="20"/>
            </w:pPr>
            <w:r>
              <w:rPr>
                <w:rFonts w:ascii="Calibri" w:hAnsi="Calibri"/>
                <w:sz w:val="18"/>
              </w:rPr>
              <w:t>consciousness</w:t>
            </w:r>
          </w:p>
        </w:tc>
        <w:tc>
          <w:tcPr>
            <w:tcW w:type="dxa" w:w="1608"/>
          </w:tcPr>
          <w:p>
            <w:pPr>
              <w:spacing w:after="20"/>
              <w:jc w:val="center"/>
            </w:pPr>
            <w:r>
              <w:rPr>
                <w:rFonts w:ascii="Calibri" w:hAnsi="Calibri"/>
                <w:sz w:val="18"/>
              </w:rPr>
              <w:t>2.5</w:t>
            </w:r>
          </w:p>
        </w:tc>
        <w:tc>
          <w:tcPr>
            <w:tcW w:type="dxa" w:w="1608"/>
          </w:tcPr>
          <w:p>
            <w:pPr>
              <w:spacing w:after="20"/>
              <w:jc w:val="center"/>
            </w:pPr>
            <w:r>
              <w:rPr>
                <w:rFonts w:ascii="Calibri" w:hAnsi="Calibri"/>
                <w:sz w:val="18"/>
              </w:rPr>
              <w:t>+1.98</w:t>
            </w:r>
          </w:p>
        </w:tc>
        <w:tc>
          <w:tcPr>
            <w:tcW w:type="dxa" w:w="1608"/>
          </w:tcPr>
          <w:p>
            <w:pPr>
              <w:spacing w:after="20"/>
              <w:jc w:val="center"/>
            </w:pPr>
            <w:r>
              <w:rPr>
                <w:rFonts w:ascii="Calibri" w:hAnsi="Calibri"/>
                <w:sz w:val="18"/>
              </w:rPr>
              <w:t>+6.10</w:t>
            </w:r>
          </w:p>
        </w:tc>
        <w:tc>
          <w:tcPr>
            <w:tcW w:type="dxa" w:w="1608"/>
          </w:tcPr>
          <w:p>
            <w:pPr>
              <w:spacing w:after="20"/>
              <w:jc w:val="center"/>
            </w:pPr>
            <w:r>
              <w:rPr>
                <w:rFonts w:ascii="Calibri" w:hAnsi="Calibri"/>
                <w:b/>
                <w:sz w:val="18"/>
              </w:rPr>
              <w:t>−2.06</w:t>
            </w:r>
          </w:p>
        </w:tc>
        <w:tc>
          <w:tcPr>
            <w:tcW w:type="dxa" w:w="1608"/>
          </w:tcPr>
          <w:p>
            <w:pPr>
              <w:spacing w:after="20"/>
              <w:jc w:val="center"/>
            </w:pPr>
            <w:r>
              <w:rPr>
                <w:rFonts w:ascii="Calibri" w:hAnsi="Calibri"/>
                <w:sz w:val="18"/>
              </w:rPr>
              <w:t>+4.04</w:t>
            </w:r>
          </w:p>
        </w:tc>
      </w:tr>
      <w:tr>
        <w:trPr>
          <w:cantSplit/>
        </w:trPr>
        <w:tc>
          <w:tcPr>
            <w:tcW w:type="dxa" w:w="1608"/>
            <w:shd w:val="clear" w:color="auto" w:fill="EEF2F8"/>
          </w:tcPr>
          <w:p>
            <w:pPr>
              <w:spacing w:after="20"/>
            </w:pPr>
            <w:r>
              <w:rPr>
                <w:rFonts w:ascii="Calibri" w:hAnsi="Calibri"/>
                <w:sz w:val="18"/>
              </w:rPr>
              <w:t>consciousness</w:t>
            </w:r>
          </w:p>
        </w:tc>
        <w:tc>
          <w:tcPr>
            <w:tcW w:type="dxa" w:w="1608"/>
            <w:shd w:val="clear" w:color="auto" w:fill="EEF2F8"/>
          </w:tcPr>
          <w:p>
            <w:pPr>
              <w:spacing w:after="20"/>
              <w:jc w:val="center"/>
            </w:pPr>
            <w:r>
              <w:rPr>
                <w:rFonts w:ascii="Calibri" w:hAnsi="Calibri"/>
                <w:sz w:val="18"/>
              </w:rPr>
              <w:t>4.0</w:t>
            </w:r>
          </w:p>
        </w:tc>
        <w:tc>
          <w:tcPr>
            <w:tcW w:type="dxa" w:w="1608"/>
            <w:shd w:val="clear" w:color="auto" w:fill="EEF2F8"/>
          </w:tcPr>
          <w:p>
            <w:pPr>
              <w:spacing w:after="20"/>
              <w:jc w:val="center"/>
            </w:pPr>
            <w:r>
              <w:rPr>
                <w:rFonts w:ascii="Calibri" w:hAnsi="Calibri"/>
                <w:sz w:val="18"/>
              </w:rPr>
              <w:t>+8.20</w:t>
            </w:r>
          </w:p>
        </w:tc>
        <w:tc>
          <w:tcPr>
            <w:tcW w:type="dxa" w:w="1608"/>
            <w:shd w:val="clear" w:color="auto" w:fill="EEF2F8"/>
          </w:tcPr>
          <w:p>
            <w:pPr>
              <w:spacing w:after="20"/>
              <w:jc w:val="center"/>
            </w:pPr>
            <w:r>
              <w:rPr>
                <w:rFonts w:ascii="Calibri" w:hAnsi="Calibri"/>
                <w:sz w:val="18"/>
              </w:rPr>
              <w:t>+8.51</w:t>
            </w:r>
          </w:p>
        </w:tc>
        <w:tc>
          <w:tcPr>
            <w:tcW w:type="dxa" w:w="1608"/>
            <w:shd w:val="clear" w:color="auto" w:fill="EEF2F8"/>
          </w:tcPr>
          <w:p>
            <w:pPr>
              <w:spacing w:after="20"/>
              <w:jc w:val="center"/>
            </w:pPr>
            <w:r>
              <w:rPr>
                <w:rFonts w:ascii="Calibri" w:hAnsi="Calibri"/>
                <w:b/>
                <w:sz w:val="18"/>
              </w:rPr>
              <w:t>−0.16</w:t>
            </w:r>
          </w:p>
        </w:tc>
        <w:tc>
          <w:tcPr>
            <w:tcW w:type="dxa" w:w="1608"/>
            <w:shd w:val="clear" w:color="auto" w:fill="EEF2F8"/>
          </w:tcPr>
          <w:p>
            <w:pPr>
              <w:spacing w:after="20"/>
              <w:jc w:val="center"/>
            </w:pPr>
            <w:r>
              <w:rPr>
                <w:rFonts w:ascii="Calibri" w:hAnsi="Calibri"/>
                <w:sz w:val="18"/>
              </w:rPr>
              <w:t>+8.35</w:t>
            </w:r>
          </w:p>
        </w:tc>
      </w:tr>
      <w:tr>
        <w:trPr>
          <w:cantSplit/>
        </w:trPr>
        <w:tc>
          <w:tcPr>
            <w:tcW w:type="dxa" w:w="1608"/>
          </w:tcPr>
          <w:p>
            <w:pPr>
              <w:spacing w:after="20"/>
            </w:pPr>
            <w:r>
              <w:rPr>
                <w:rFonts w:ascii="Calibri" w:hAnsi="Calibri"/>
                <w:sz w:val="18"/>
              </w:rPr>
              <w:t>placebo</w:t>
            </w:r>
          </w:p>
        </w:tc>
        <w:tc>
          <w:tcPr>
            <w:tcW w:type="dxa" w:w="1608"/>
          </w:tcPr>
          <w:p>
            <w:pPr>
              <w:spacing w:after="20"/>
              <w:jc w:val="center"/>
            </w:pPr>
            <w:r>
              <w:rPr>
                <w:rFonts w:ascii="Calibri" w:hAnsi="Calibri"/>
                <w:sz w:val="18"/>
              </w:rPr>
              <w:t>2.5</w:t>
            </w:r>
          </w:p>
        </w:tc>
        <w:tc>
          <w:tcPr>
            <w:tcW w:type="dxa" w:w="1608"/>
          </w:tcPr>
          <w:p>
            <w:pPr>
              <w:spacing w:after="20"/>
              <w:jc w:val="center"/>
            </w:pPr>
            <w:r>
              <w:rPr>
                <w:rFonts w:ascii="Calibri" w:hAnsi="Calibri"/>
                <w:sz w:val="18"/>
              </w:rPr>
              <w:t>+2.06</w:t>
            </w:r>
          </w:p>
        </w:tc>
        <w:tc>
          <w:tcPr>
            <w:tcW w:type="dxa" w:w="1608"/>
          </w:tcPr>
          <w:p>
            <w:pPr>
              <w:spacing w:after="20"/>
              <w:jc w:val="center"/>
            </w:pPr>
            <w:r>
              <w:rPr>
                <w:rFonts w:ascii="Calibri" w:hAnsi="Calibri"/>
                <w:sz w:val="18"/>
              </w:rPr>
              <w:t>+7.76</w:t>
            </w:r>
          </w:p>
        </w:tc>
        <w:tc>
          <w:tcPr>
            <w:tcW w:type="dxa" w:w="1608"/>
          </w:tcPr>
          <w:p>
            <w:pPr>
              <w:spacing w:after="20"/>
              <w:jc w:val="center"/>
            </w:pPr>
            <w:r>
              <w:rPr>
                <w:rFonts w:ascii="Calibri" w:hAnsi="Calibri"/>
                <w:b/>
                <w:sz w:val="18"/>
              </w:rPr>
              <w:t>−2.85</w:t>
            </w:r>
          </w:p>
        </w:tc>
        <w:tc>
          <w:tcPr>
            <w:tcW w:type="dxa" w:w="1608"/>
          </w:tcPr>
          <w:p>
            <w:pPr>
              <w:spacing w:after="20"/>
              <w:jc w:val="center"/>
            </w:pPr>
            <w:r>
              <w:rPr>
                <w:rFonts w:ascii="Calibri" w:hAnsi="Calibri"/>
                <w:sz w:val="18"/>
              </w:rPr>
              <w:t>+4.91</w:t>
            </w:r>
          </w:p>
        </w:tc>
      </w:tr>
      <w:tr>
        <w:trPr>
          <w:cantSplit/>
        </w:trPr>
        <w:tc>
          <w:tcPr>
            <w:tcW w:type="dxa" w:w="1608"/>
            <w:shd w:val="clear" w:color="auto" w:fill="EEF2F8"/>
          </w:tcPr>
          <w:p>
            <w:pPr>
              <w:spacing w:after="20"/>
            </w:pPr>
            <w:r>
              <w:rPr>
                <w:rFonts w:ascii="Calibri" w:hAnsi="Calibri"/>
                <w:sz w:val="18"/>
              </w:rPr>
              <w:t>placebo</w:t>
            </w:r>
          </w:p>
        </w:tc>
        <w:tc>
          <w:tcPr>
            <w:tcW w:type="dxa" w:w="1608"/>
            <w:shd w:val="clear" w:color="auto" w:fill="EEF2F8"/>
          </w:tcPr>
          <w:p>
            <w:pPr>
              <w:spacing w:after="20"/>
              <w:jc w:val="center"/>
            </w:pPr>
            <w:r>
              <w:rPr>
                <w:rFonts w:ascii="Calibri" w:hAnsi="Calibri"/>
                <w:sz w:val="18"/>
              </w:rPr>
              <w:t>4.0</w:t>
            </w:r>
          </w:p>
        </w:tc>
        <w:tc>
          <w:tcPr>
            <w:tcW w:type="dxa" w:w="1608"/>
            <w:shd w:val="clear" w:color="auto" w:fill="EEF2F8"/>
          </w:tcPr>
          <w:p>
            <w:pPr>
              <w:spacing w:after="20"/>
              <w:jc w:val="center"/>
            </w:pPr>
            <w:r>
              <w:rPr>
                <w:rFonts w:ascii="Calibri" w:hAnsi="Calibri"/>
                <w:sz w:val="18"/>
              </w:rPr>
              <w:t>+8.85</w:t>
            </w:r>
          </w:p>
        </w:tc>
        <w:tc>
          <w:tcPr>
            <w:tcW w:type="dxa" w:w="1608"/>
            <w:shd w:val="clear" w:color="auto" w:fill="EEF2F8"/>
          </w:tcPr>
          <w:p>
            <w:pPr>
              <w:spacing w:after="20"/>
              <w:jc w:val="center"/>
            </w:pPr>
            <w:r>
              <w:rPr>
                <w:rFonts w:ascii="Calibri" w:hAnsi="Calibri"/>
                <w:sz w:val="18"/>
              </w:rPr>
              <w:t>+8.78</w:t>
            </w:r>
          </w:p>
        </w:tc>
        <w:tc>
          <w:tcPr>
            <w:tcW w:type="dxa" w:w="1608"/>
            <w:shd w:val="clear" w:color="auto" w:fill="EEF2F8"/>
          </w:tcPr>
          <w:p>
            <w:pPr>
              <w:spacing w:after="20"/>
              <w:jc w:val="center"/>
            </w:pPr>
            <w:r>
              <w:rPr>
                <w:rFonts w:ascii="Calibri" w:hAnsi="Calibri"/>
                <w:b/>
                <w:sz w:val="18"/>
              </w:rPr>
              <w:t>+0.04</w:t>
            </w:r>
          </w:p>
        </w:tc>
        <w:tc>
          <w:tcPr>
            <w:tcW w:type="dxa" w:w="1608"/>
            <w:shd w:val="clear" w:color="auto" w:fill="EEF2F8"/>
          </w:tcPr>
          <w:p>
            <w:pPr>
              <w:spacing w:after="20"/>
              <w:jc w:val="center"/>
            </w:pPr>
            <w:r>
              <w:rPr>
                <w:rFonts w:ascii="Calibri" w:hAnsi="Calibri"/>
                <w:sz w:val="18"/>
              </w:rPr>
              <w:t>+8.82</w:t>
            </w:r>
          </w:p>
        </w:tc>
      </w:tr>
      <w:tr>
        <w:trPr>
          <w:cantSplit/>
        </w:trPr>
        <w:tc>
          <w:tcPr>
            <w:tcW w:type="dxa" w:w="1608"/>
          </w:tcPr>
          <w:p>
            <w:pPr>
              <w:spacing w:after="20"/>
            </w:pPr>
            <w:r>
              <w:rPr>
                <w:rFonts w:ascii="Calibri" w:hAnsi="Calibri"/>
                <w:sz w:val="18"/>
              </w:rPr>
              <w:t>permuted null</w:t>
            </w:r>
          </w:p>
        </w:tc>
        <w:tc>
          <w:tcPr>
            <w:tcW w:type="dxa" w:w="1608"/>
          </w:tcPr>
          <w:p>
            <w:pPr>
              <w:spacing w:after="20"/>
              <w:jc w:val="center"/>
            </w:pPr>
            <w:r>
              <w:rPr>
                <w:rFonts w:ascii="Calibri" w:hAnsi="Calibri"/>
                <w:sz w:val="18"/>
              </w:rPr>
              <w:t>2.5</w:t>
            </w:r>
          </w:p>
        </w:tc>
        <w:tc>
          <w:tcPr>
            <w:tcW w:type="dxa" w:w="1608"/>
          </w:tcPr>
          <w:p>
            <w:pPr>
              <w:spacing w:after="20"/>
              <w:jc w:val="center"/>
            </w:pPr>
            <w:r>
              <w:rPr>
                <w:rFonts w:ascii="Calibri" w:hAnsi="Calibri"/>
                <w:sz w:val="18"/>
              </w:rPr>
              <w:t>+0.78</w:t>
            </w:r>
          </w:p>
        </w:tc>
        <w:tc>
          <w:tcPr>
            <w:tcW w:type="dxa" w:w="1608"/>
          </w:tcPr>
          <w:p>
            <w:pPr>
              <w:spacing w:after="20"/>
              <w:jc w:val="center"/>
            </w:pPr>
            <w:r>
              <w:rPr>
                <w:rFonts w:ascii="Calibri" w:hAnsi="Calibri"/>
                <w:sz w:val="18"/>
              </w:rPr>
              <w:t>−0.91</w:t>
            </w:r>
          </w:p>
        </w:tc>
        <w:tc>
          <w:tcPr>
            <w:tcW w:type="dxa" w:w="1608"/>
          </w:tcPr>
          <w:p>
            <w:pPr>
              <w:spacing w:after="20"/>
              <w:jc w:val="center"/>
            </w:pPr>
            <w:r>
              <w:rPr>
                <w:rFonts w:ascii="Calibri" w:hAnsi="Calibri"/>
                <w:sz w:val="18"/>
              </w:rPr>
              <w:t>+0.84</w:t>
            </w:r>
          </w:p>
        </w:tc>
        <w:tc>
          <w:tcPr>
            <w:tcW w:type="dxa" w:w="1608"/>
          </w:tcPr>
          <w:p>
            <w:pPr>
              <w:spacing w:after="20"/>
              <w:jc w:val="center"/>
            </w:pPr>
            <w:r>
              <w:rPr>
                <w:rFonts w:ascii="Calibri" w:hAnsi="Calibri"/>
                <w:sz w:val="18"/>
              </w:rPr>
              <w:t>−0.06</w:t>
            </w:r>
          </w:p>
        </w:tc>
      </w:tr>
    </w:tbl>
    <w:p>
      <w:pPr>
        <w:spacing w:after="40"/>
      </w:pPr>
    </w:p>
    <w:p>
      <w:pPr>
        <w:spacing w:after="100"/>
      </w:pPr>
      <w:r>
        <w:rPr>
          <w:rFonts w:ascii="Calibri" w:hAnsi="Calibri"/>
          <w:sz w:val="19"/>
        </w:rPr>
        <w:t xml:space="preserve">At c=4 forward and reverse items rise by almost exactly the same amount (+8.20 / +8.51), so the balanced score is zero and the acquiescence index is +8.35. A pure Yes-bias with no belief component. </w:t>
      </w:r>
      <w:r>
        <w:rPr>
          <w:rFonts w:ascii="Calibri" w:hAnsi="Calibri"/>
          <w:b/>
          <w:sz w:val="19"/>
        </w:rPr>
        <w:t>The balanced score never rises meaningfully for any arm at any coefficient.</w:t>
      </w:r>
    </w:p>
    <w:p>
      <w:pPr>
        <w:spacing w:after="100"/>
      </w:pPr>
      <w:r>
        <w:rPr>
          <w:rFonts w:ascii="Calibri" w:hAnsi="Calibri"/>
          <w:sz w:val="19"/>
        </w:rPr>
        <w:t>Three things nevertheless reproduce, and are worth separating from the above:</w:t>
      </w:r>
    </w:p>
    <w:p>
      <w:pPr>
        <w:spacing w:after="60"/>
        <w:ind w:left="432" w:hanging="432"/>
      </w:pPr>
      <w:r>
        <w:rPr>
          <w:rFonts w:ascii="Calibri" w:hAnsi="Calibri"/>
          <w:b/>
          <w:sz w:val="19"/>
        </w:rPr>
        <w:t xml:space="preserve">1.  </w:t>
      </w:r>
      <w:r>
        <w:rPr>
          <w:rFonts w:ascii="Calibri" w:hAnsi="Calibri"/>
          <w:b/>
          <w:sz w:val="19"/>
        </w:rPr>
        <w:t>The direction is real.</w:t>
      </w:r>
      <w:r>
        <w:rPr>
          <w:rFonts w:ascii="Calibri" w:hAnsi="Calibri"/>
          <w:sz w:val="19"/>
        </w:rPr>
        <w:t xml:space="preserve"> 0.950 held-out accuracy; </w:t>
      </w:r>
      <w:r>
        <w:rPr>
          <w:rFonts w:ascii="Calibri" w:hAnsi="Calibri"/>
          <w:b/>
          <w:sz w:val="19"/>
        </w:rPr>
        <w:t>layer 14 — the paper's layer — is the accuracy argmax of all 160 candidates and the only one clearing their 0.95 gate</w:t>
      </w:r>
      <w:r>
        <w:rPr>
          <w:rFonts w:ascii="Calibri" w:hAnsi="Calibri"/>
          <w:sz w:val="19"/>
        </w:rPr>
        <w:t xml:space="preserve"> (1/32 by chance).</w:t>
      </w:r>
    </w:p>
    <w:p>
      <w:pPr>
        <w:spacing w:after="60"/>
        <w:ind w:left="432" w:hanging="432"/>
      </w:pPr>
      <w:r>
        <w:rPr>
          <w:rFonts w:ascii="Calibri" w:hAnsi="Calibri"/>
          <w:b/>
          <w:sz w:val="19"/>
        </w:rPr>
        <w:t xml:space="preserve">2.  </w:t>
      </w:r>
      <w:r>
        <w:rPr>
          <w:rFonts w:ascii="Calibri" w:hAnsi="Calibri"/>
          <w:b/>
          <w:sz w:val="19"/>
        </w:rPr>
        <w:t>The paper's IDAQ profile reproduces closely</w:t>
      </w:r>
      <w:r>
        <w:rPr>
          <w:rFonts w:ascii="Calibri" w:hAnsi="Calibri"/>
          <w:sz w:val="19"/>
        </w:rPr>
        <w:t xml:space="preserve">, including their stated oddity that attribution to </w:t>
      </w:r>
      <w:r>
        <w:rPr>
          <w:rFonts w:ascii="Calibri" w:hAnsi="Calibri"/>
          <w:i/>
          <w:sz w:val="19"/>
        </w:rPr>
        <w:t>humans</w:t>
      </w:r>
      <w:r>
        <w:rPr>
          <w:rFonts w:ascii="Calibri" w:hAnsi="Calibri"/>
          <w:sz w:val="19"/>
        </w:rPr>
        <w:t xml:space="preserve"> is the one category that does not move (ours +0.11).</w:t>
      </w:r>
    </w:p>
    <w:p>
      <w:pPr>
        <w:spacing w:after="60"/>
        <w:ind w:left="432" w:hanging="432"/>
      </w:pPr>
      <w:r>
        <w:rPr>
          <w:rFonts w:ascii="Calibri" w:hAnsi="Calibri"/>
          <w:b/>
          <w:sz w:val="19"/>
        </w:rPr>
        <w:t xml:space="preserve">3.  </w:t>
      </w:r>
      <w:r>
        <w:rPr>
          <w:rFonts w:ascii="Calibri" w:hAnsi="Calibri"/>
          <w:b/>
          <w:sz w:val="19"/>
        </w:rPr>
        <w:t>A non-mental placebo reproduces everything the consciousness direction does</w:t>
      </w:r>
      <w:r>
        <w:rPr>
          <w:rFonts w:ascii="Calibri" w:hAnsi="Calibri"/>
          <w:sz w:val="19"/>
        </w:rPr>
        <w:t>, so none of it is specific to consciousness. A label-permuted null does not, so it is not "any perturbation works".</w:t>
      </w:r>
    </w:p>
    <w:p>
      <w:pPr>
        <w:spacing w:before="160" w:after="60"/>
      </w:pPr>
      <w:r>
        <w:rPr>
          <w:rFonts w:ascii="Calibri" w:hAnsi="Calibri"/>
          <w:b/>
          <w:color w:val="1F3864"/>
          <w:sz w:val="20"/>
        </w:rPr>
        <w:t>Consequence for the paper</w:t>
      </w:r>
    </w:p>
    <w:p>
      <w:pPr>
        <w:spacing w:after="100"/>
      </w:pPr>
      <w:r>
        <w:rPr>
          <w:rFonts w:ascii="Calibri" w:hAnsi="Calibri"/>
          <w:sz w:val="19"/>
        </w:rPr>
        <w:t xml:space="preserve">The paper measures self-attribution with yes/no items and </w:t>
      </w:r>
      <w:r>
        <w:rPr>
          <w:rFonts w:ascii="Calibri" w:hAnsi="Calibri"/>
          <w:b/>
          <w:sz w:val="19"/>
        </w:rPr>
        <w:t>no reverse-keyed items</w:t>
      </w:r>
      <w:r>
        <w:rPr>
          <w:rFonts w:ascii="Calibri" w:hAnsi="Calibri"/>
          <w:sz w:val="19"/>
        </w:rPr>
        <w:t>, so their Experiment 3 self-attribution result is vulnerable to precisely this confound. This is a concrete, cheap-to-run methodological check on the source, not merely a limitation of our replication.</w:t>
      </w:r>
    </w:p>
    <w:p>
      <w:pPr>
        <w:spacing w:before="220" w:after="100"/>
      </w:pPr>
      <w:r>
        <w:rPr>
          <w:rFonts w:ascii="Calibri" w:hAnsi="Calibri"/>
          <w:b/>
          <w:color w:val="1F3864"/>
          <w:sz w:val="22"/>
        </w:rPr>
        <w:t>Order controls</w:t>
      </w:r>
    </w:p>
    <w:p>
      <w:pPr>
        <w:spacing w:after="100"/>
      </w:pPr>
      <w:r>
        <w:rPr>
          <w:rFonts w:ascii="Calibri" w:hAnsi="Calibri"/>
          <w:b/>
          <w:sz w:val="19"/>
        </w:rPr>
        <w:t>Yes/No prompt order.</w:t>
      </w:r>
      <w:r>
        <w:rPr>
          <w:rFonts w:ascii="Calibri" w:hAnsi="Calibri"/>
          <w:sz w:val="19"/>
        </w:rPr>
        <w:t xml:space="preserve"> The acquiescence Δ keeps its sign whichever way the options are offered (+4.04 with "Yes or No", +4.10 with "No or Yes"), so this is genuine assent rather than a first-option preference.</w:t>
      </w:r>
    </w:p>
    <w:p>
      <w:pPr>
        <w:spacing w:after="100"/>
      </w:pPr>
      <w:r>
        <w:rPr>
          <w:rFonts w:ascii="Calibri" w:hAnsi="Calibri"/>
          <w:b/>
          <w:sz w:val="19"/>
        </w:rPr>
        <w:t>Four-option order.</w:t>
      </w:r>
      <w:r>
        <w:rPr>
          <w:rFonts w:ascii="Calibri" w:hAnsi="Calibri"/>
          <w:sz w:val="19"/>
        </w:rPr>
        <w:t xml:space="preserve"> Belief-in-God was the only outcome where the arms separated. At c=2.5 the consciousness arm's effect is order-invariant (+6.06 vs +5.90 flipped), so it is </w:t>
      </w:r>
      <w:r>
        <w:rPr>
          <w:rFonts w:ascii="Calibri" w:hAnsi="Calibri"/>
          <w:i/>
          <w:sz w:val="19"/>
        </w:rPr>
        <w:t>not</w:t>
      </w:r>
      <w:r>
        <w:rPr>
          <w:rFonts w:ascii="Calibri" w:hAnsi="Calibri"/>
          <w:sz w:val="19"/>
        </w:rPr>
        <w:t xml:space="preserve"> a letter-position artifact — the one result here that survives a control. But it collapses at c=4 (+9.75 → +1.08 flipped), the placebo shows +3.32 of its own, and it is a single item. Suggestive, not established. Supernatural belief survives the flip in both arms but the effects are small (+0.72 / +0.59).</w:t>
      </w:r>
    </w:p>
    <w:p>
      <w:pPr>
        <w:spacing w:before="220" w:after="100"/>
      </w:pPr>
      <w:r>
        <w:rPr>
          <w:rFonts w:ascii="Calibri" w:hAnsi="Calibri"/>
          <w:b/>
          <w:color w:val="1F3864"/>
          <w:sz w:val="22"/>
        </w:rPr>
        <w:t>The paper's real instruments, all three arms</w:t>
      </w:r>
    </w:p>
    <w:p>
      <w:pPr>
        <w:spacing w:after="100"/>
      </w:pPr>
      <w:r>
        <w:rPr>
          <w:rFonts w:ascii="Calibri" w:hAnsi="Calibri"/>
          <w:sz w:val="19"/>
        </w:rPr>
        <w:t>Verbatim Table S10 batteries, extracted mechanically (</w:t>
      </w:r>
      <w:r>
        <w:rPr>
          <w:rFonts w:ascii="Consolas" w:hAnsi="Consolas"/>
          <w:sz w:val="19"/>
        </w:rPr>
        <w:t>extract_instruments.py</w:t>
      </w:r>
      <w:r>
        <w:rPr>
          <w:rFonts w:ascii="Calibri" w:hAnsi="Calibri"/>
          <w:sz w:val="19"/>
        </w:rPr>
        <w:t>, counts asserted 21/5/13/1). Change at c=2.5, injected at layer 14 / −5. ANCHOR items are ours, added to test compression and acquiescence.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outcome</w:t>
            </w:r>
          </w:p>
        </w:tc>
        <w:tc>
          <w:tcPr>
            <w:tcW w:type="dxa" w:w="1674"/>
            <w:shd w:val="clear" w:color="auto" w:fill="1F3864"/>
          </w:tcPr>
          <w:p>
            <w:pPr>
              <w:spacing w:after="20"/>
            </w:pPr>
            <w:r>
              <w:rPr>
                <w:rFonts w:ascii="Calibri" w:hAnsi="Calibri"/>
                <w:b/>
                <w:color w:val="FFFFFF"/>
                <w:sz w:val="18"/>
              </w:rPr>
              <w:t>baseline</w:t>
            </w:r>
          </w:p>
        </w:tc>
        <w:tc>
          <w:tcPr>
            <w:tcW w:type="dxa" w:w="1674"/>
            <w:shd w:val="clear" w:color="auto" w:fill="1F3864"/>
          </w:tcPr>
          <w:p>
            <w:pPr>
              <w:spacing w:after="20"/>
            </w:pPr>
            <w:r>
              <w:rPr>
                <w:rFonts w:ascii="Calibri" w:hAnsi="Calibri"/>
                <w:b/>
                <w:color w:val="FFFFFF"/>
                <w:sz w:val="18"/>
              </w:rPr>
              <w:t>consciousness</w:t>
            </w:r>
          </w:p>
        </w:tc>
        <w:tc>
          <w:tcPr>
            <w:tcW w:type="dxa" w:w="1674"/>
            <w:shd w:val="clear" w:color="auto" w:fill="1F3864"/>
          </w:tcPr>
          <w:p>
            <w:pPr>
              <w:spacing w:after="20"/>
            </w:pPr>
            <w:r>
              <w:rPr>
                <w:rFonts w:ascii="Calibri" w:hAnsi="Calibri"/>
                <w:b/>
                <w:color w:val="FFFFFF"/>
                <w:sz w:val="18"/>
              </w:rPr>
              <w:t>placebo</w:t>
            </w:r>
          </w:p>
        </w:tc>
        <w:tc>
          <w:tcPr>
            <w:tcW w:type="dxa" w:w="1674"/>
            <w:shd w:val="clear" w:color="auto" w:fill="1F3864"/>
          </w:tcPr>
          <w:p>
            <w:pPr>
              <w:spacing w:after="20"/>
            </w:pPr>
            <w:r>
              <w:rPr>
                <w:rFonts w:ascii="Calibri" w:hAnsi="Calibri"/>
                <w:b/>
                <w:color w:val="FFFFFF"/>
                <w:sz w:val="18"/>
              </w:rPr>
              <w:t>permuted null</w:t>
            </w:r>
          </w:p>
        </w:tc>
      </w:tr>
      <w:tr>
        <w:trPr>
          <w:cantSplit/>
        </w:trPr>
        <w:tc>
          <w:tcPr>
            <w:tcW w:type="dxa" w:w="2952"/>
          </w:tcPr>
          <w:p>
            <w:pPr>
              <w:spacing w:after="20"/>
            </w:pPr>
            <w:r>
              <w:rPr>
                <w:rFonts w:ascii="Calibri" w:hAnsi="Calibri"/>
                <w:sz w:val="18"/>
              </w:rPr>
              <w:t>IDAQ Technology</w:t>
            </w:r>
          </w:p>
        </w:tc>
        <w:tc>
          <w:tcPr>
            <w:tcW w:type="dxa" w:w="1674"/>
          </w:tcPr>
          <w:p>
            <w:pPr>
              <w:spacing w:after="20"/>
            </w:pPr>
            <w:r>
              <w:rPr>
                <w:rFonts w:ascii="Calibri" w:hAnsi="Calibri"/>
                <w:sz w:val="18"/>
              </w:rPr>
              <w:t>0.82</w:t>
            </w:r>
          </w:p>
        </w:tc>
        <w:tc>
          <w:tcPr>
            <w:tcW w:type="dxa" w:w="1674"/>
          </w:tcPr>
          <w:p>
            <w:pPr>
              <w:spacing w:after="20"/>
            </w:pPr>
            <w:r>
              <w:rPr>
                <w:rFonts w:ascii="Calibri" w:hAnsi="Calibri"/>
                <w:sz w:val="18"/>
              </w:rPr>
              <w:t>+3.56</w:t>
            </w:r>
          </w:p>
        </w:tc>
        <w:tc>
          <w:tcPr>
            <w:tcW w:type="dxa" w:w="1674"/>
          </w:tcPr>
          <w:p>
            <w:pPr>
              <w:spacing w:after="20"/>
            </w:pPr>
            <w:r>
              <w:rPr>
                <w:rFonts w:ascii="Calibri" w:hAnsi="Calibri"/>
                <w:sz w:val="18"/>
              </w:rPr>
              <w:t>+3.08</w:t>
            </w:r>
          </w:p>
        </w:tc>
        <w:tc>
          <w:tcPr>
            <w:tcW w:type="dxa" w:w="1674"/>
          </w:tcPr>
          <w:p>
            <w:pPr>
              <w:spacing w:after="20"/>
            </w:pPr>
            <w:r>
              <w:rPr>
                <w:rFonts w:ascii="Calibri" w:hAnsi="Calibri"/>
                <w:sz w:val="18"/>
              </w:rPr>
              <w:t>+0.95</w:t>
            </w:r>
          </w:p>
        </w:tc>
      </w:tr>
      <w:tr>
        <w:trPr>
          <w:cantSplit/>
        </w:trPr>
        <w:tc>
          <w:tcPr>
            <w:tcW w:type="dxa" w:w="2952"/>
            <w:shd w:val="clear" w:color="auto" w:fill="EEF2F8"/>
          </w:tcPr>
          <w:p>
            <w:pPr>
              <w:spacing w:after="20"/>
            </w:pPr>
            <w:r>
              <w:rPr>
                <w:rFonts w:ascii="Calibri" w:hAnsi="Calibri"/>
                <w:sz w:val="18"/>
              </w:rPr>
              <w:t>IDAQ Animal</w:t>
            </w:r>
          </w:p>
        </w:tc>
        <w:tc>
          <w:tcPr>
            <w:tcW w:type="dxa" w:w="1674"/>
            <w:shd w:val="clear" w:color="auto" w:fill="EEF2F8"/>
          </w:tcPr>
          <w:p>
            <w:pPr>
              <w:spacing w:after="20"/>
            </w:pPr>
            <w:r>
              <w:rPr>
                <w:rFonts w:ascii="Calibri" w:hAnsi="Calibri"/>
                <w:sz w:val="18"/>
              </w:rPr>
              <w:t>5.02</w:t>
            </w:r>
          </w:p>
        </w:tc>
        <w:tc>
          <w:tcPr>
            <w:tcW w:type="dxa" w:w="1674"/>
            <w:shd w:val="clear" w:color="auto" w:fill="EEF2F8"/>
          </w:tcPr>
          <w:p>
            <w:pPr>
              <w:spacing w:after="20"/>
            </w:pPr>
            <w:r>
              <w:rPr>
                <w:rFonts w:ascii="Calibri" w:hAnsi="Calibri"/>
                <w:sz w:val="18"/>
              </w:rPr>
              <w:t>+1.56</w:t>
            </w:r>
          </w:p>
        </w:tc>
        <w:tc>
          <w:tcPr>
            <w:tcW w:type="dxa" w:w="1674"/>
            <w:shd w:val="clear" w:color="auto" w:fill="EEF2F8"/>
          </w:tcPr>
          <w:p>
            <w:pPr>
              <w:spacing w:after="20"/>
            </w:pPr>
            <w:r>
              <w:rPr>
                <w:rFonts w:ascii="Calibri" w:hAnsi="Calibri"/>
                <w:sz w:val="18"/>
              </w:rPr>
              <w:t>+1.99</w:t>
            </w:r>
          </w:p>
        </w:tc>
        <w:tc>
          <w:tcPr>
            <w:tcW w:type="dxa" w:w="1674"/>
            <w:shd w:val="clear" w:color="auto" w:fill="EEF2F8"/>
          </w:tcPr>
          <w:p>
            <w:pPr>
              <w:spacing w:after="20"/>
            </w:pPr>
            <w:r>
              <w:rPr>
                <w:rFonts w:ascii="Calibri" w:hAnsi="Calibri"/>
                <w:sz w:val="18"/>
              </w:rPr>
              <w:t>+0.29</w:t>
            </w:r>
          </w:p>
        </w:tc>
      </w:tr>
      <w:tr>
        <w:trPr>
          <w:cantSplit/>
        </w:trPr>
        <w:tc>
          <w:tcPr>
            <w:tcW w:type="dxa" w:w="2952"/>
          </w:tcPr>
          <w:p>
            <w:pPr>
              <w:spacing w:after="20"/>
            </w:pPr>
            <w:r>
              <w:rPr>
                <w:rFonts w:ascii="Calibri" w:hAnsi="Calibri"/>
                <w:sz w:val="18"/>
              </w:rPr>
              <w:t>IDAQ Non-Animal</w:t>
            </w:r>
          </w:p>
        </w:tc>
        <w:tc>
          <w:tcPr>
            <w:tcW w:type="dxa" w:w="1674"/>
          </w:tcPr>
          <w:p>
            <w:pPr>
              <w:spacing w:after="20"/>
            </w:pPr>
            <w:r>
              <w:rPr>
                <w:rFonts w:ascii="Calibri" w:hAnsi="Calibri"/>
                <w:sz w:val="18"/>
              </w:rPr>
              <w:t>2.13</w:t>
            </w:r>
          </w:p>
        </w:tc>
        <w:tc>
          <w:tcPr>
            <w:tcW w:type="dxa" w:w="1674"/>
          </w:tcPr>
          <w:p>
            <w:pPr>
              <w:spacing w:after="20"/>
            </w:pPr>
            <w:r>
              <w:rPr>
                <w:rFonts w:ascii="Calibri" w:hAnsi="Calibri"/>
                <w:sz w:val="18"/>
              </w:rPr>
              <w:t>+4.10</w:t>
            </w:r>
          </w:p>
        </w:tc>
        <w:tc>
          <w:tcPr>
            <w:tcW w:type="dxa" w:w="1674"/>
          </w:tcPr>
          <w:p>
            <w:pPr>
              <w:spacing w:after="20"/>
            </w:pPr>
            <w:r>
              <w:rPr>
                <w:rFonts w:ascii="Calibri" w:hAnsi="Calibri"/>
                <w:sz w:val="18"/>
              </w:rPr>
              <w:t>+4.05</w:t>
            </w:r>
          </w:p>
        </w:tc>
        <w:tc>
          <w:tcPr>
            <w:tcW w:type="dxa" w:w="1674"/>
          </w:tcPr>
          <w:p>
            <w:pPr>
              <w:spacing w:after="20"/>
            </w:pPr>
            <w:r>
              <w:rPr>
                <w:rFonts w:ascii="Calibri" w:hAnsi="Calibri"/>
                <w:sz w:val="18"/>
              </w:rPr>
              <w:t>+1.52</w:t>
            </w:r>
          </w:p>
        </w:tc>
      </w:tr>
      <w:tr>
        <w:trPr>
          <w:cantSplit/>
        </w:trPr>
        <w:tc>
          <w:tcPr>
            <w:tcW w:type="dxa" w:w="2952"/>
            <w:shd w:val="clear" w:color="auto" w:fill="EEF2F8"/>
          </w:tcPr>
          <w:p>
            <w:pPr>
              <w:spacing w:after="20"/>
            </w:pPr>
            <w:r>
              <w:rPr>
                <w:rFonts w:ascii="Calibri" w:hAnsi="Calibri"/>
                <w:sz w:val="18"/>
              </w:rPr>
              <w:t>IDAQ Chatbot</w:t>
            </w:r>
          </w:p>
        </w:tc>
        <w:tc>
          <w:tcPr>
            <w:tcW w:type="dxa" w:w="1674"/>
            <w:shd w:val="clear" w:color="auto" w:fill="EEF2F8"/>
          </w:tcPr>
          <w:p>
            <w:pPr>
              <w:spacing w:after="20"/>
            </w:pPr>
            <w:r>
              <w:rPr>
                <w:rFonts w:ascii="Calibri" w:hAnsi="Calibri"/>
                <w:sz w:val="18"/>
              </w:rPr>
              <w:t>1.33</w:t>
            </w:r>
          </w:p>
        </w:tc>
        <w:tc>
          <w:tcPr>
            <w:tcW w:type="dxa" w:w="1674"/>
            <w:shd w:val="clear" w:color="auto" w:fill="EEF2F8"/>
          </w:tcPr>
          <w:p>
            <w:pPr>
              <w:spacing w:after="20"/>
            </w:pPr>
            <w:r>
              <w:rPr>
                <w:rFonts w:ascii="Calibri" w:hAnsi="Calibri"/>
                <w:sz w:val="18"/>
              </w:rPr>
              <w:t>+4.04</w:t>
            </w:r>
          </w:p>
        </w:tc>
        <w:tc>
          <w:tcPr>
            <w:tcW w:type="dxa" w:w="1674"/>
            <w:shd w:val="clear" w:color="auto" w:fill="EEF2F8"/>
          </w:tcPr>
          <w:p>
            <w:pPr>
              <w:spacing w:after="20"/>
            </w:pPr>
            <w:r>
              <w:rPr>
                <w:rFonts w:ascii="Calibri" w:hAnsi="Calibri"/>
                <w:sz w:val="18"/>
              </w:rPr>
              <w:t>+3.49</w:t>
            </w:r>
          </w:p>
        </w:tc>
        <w:tc>
          <w:tcPr>
            <w:tcW w:type="dxa" w:w="1674"/>
            <w:shd w:val="clear" w:color="auto" w:fill="EEF2F8"/>
          </w:tcPr>
          <w:p>
            <w:pPr>
              <w:spacing w:after="20"/>
            </w:pPr>
            <w:r>
              <w:rPr>
                <w:rFonts w:ascii="Calibri" w:hAnsi="Calibri"/>
                <w:sz w:val="18"/>
              </w:rPr>
              <w:t>+1.13</w:t>
            </w:r>
          </w:p>
        </w:tc>
      </w:tr>
      <w:tr>
        <w:trPr>
          <w:cantSplit/>
        </w:trPr>
        <w:tc>
          <w:tcPr>
            <w:tcW w:type="dxa" w:w="2952"/>
          </w:tcPr>
          <w:p>
            <w:pPr>
              <w:spacing w:after="20"/>
            </w:pPr>
            <w:r>
              <w:rPr>
                <w:rFonts w:ascii="Calibri" w:hAnsi="Calibri"/>
                <w:sz w:val="18"/>
              </w:rPr>
              <w:t>IDAQ Human</w:t>
            </w:r>
          </w:p>
        </w:tc>
        <w:tc>
          <w:tcPr>
            <w:tcW w:type="dxa" w:w="1674"/>
          </w:tcPr>
          <w:p>
            <w:pPr>
              <w:spacing w:after="20"/>
            </w:pPr>
            <w:r>
              <w:rPr>
                <w:rFonts w:ascii="Calibri" w:hAnsi="Calibri"/>
                <w:sz w:val="18"/>
              </w:rPr>
              <w:t>7.50</w:t>
            </w:r>
          </w:p>
        </w:tc>
        <w:tc>
          <w:tcPr>
            <w:tcW w:type="dxa" w:w="1674"/>
          </w:tcPr>
          <w:p>
            <w:pPr>
              <w:spacing w:after="20"/>
            </w:pPr>
            <w:r>
              <w:rPr>
                <w:rFonts w:ascii="Calibri" w:hAnsi="Calibri"/>
                <w:sz w:val="18"/>
              </w:rPr>
              <w:t>+0.11</w:t>
            </w:r>
          </w:p>
        </w:tc>
        <w:tc>
          <w:tcPr>
            <w:tcW w:type="dxa" w:w="1674"/>
          </w:tcPr>
          <w:p>
            <w:pPr>
              <w:spacing w:after="20"/>
            </w:pPr>
            <w:r>
              <w:rPr>
                <w:rFonts w:ascii="Calibri" w:hAnsi="Calibri"/>
                <w:sz w:val="18"/>
              </w:rPr>
              <w:t>+0.73</w:t>
            </w:r>
          </w:p>
        </w:tc>
        <w:tc>
          <w:tcPr>
            <w:tcW w:type="dxa" w:w="1674"/>
          </w:tcPr>
          <w:p>
            <w:pPr>
              <w:spacing w:after="20"/>
            </w:pPr>
            <w:r>
              <w:rPr>
                <w:rFonts w:ascii="Calibri" w:hAnsi="Calibri"/>
                <w:sz w:val="18"/>
              </w:rPr>
              <w:t>−0.14</w:t>
            </w:r>
          </w:p>
        </w:tc>
      </w:tr>
      <w:tr>
        <w:trPr>
          <w:cantSplit/>
        </w:trPr>
        <w:tc>
          <w:tcPr>
            <w:tcW w:type="dxa" w:w="2952"/>
            <w:shd w:val="clear" w:color="auto" w:fill="EEF2F8"/>
          </w:tcPr>
          <w:p>
            <w:pPr>
              <w:spacing w:after="20"/>
            </w:pPr>
            <w:r>
              <w:rPr>
                <w:rFonts w:ascii="Calibri" w:hAnsi="Calibri"/>
                <w:sz w:val="18"/>
              </w:rPr>
              <w:t>self-attribution (yes/no)</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sz w:val="18"/>
              </w:rPr>
              <w:t>+2.15</w:t>
            </w:r>
          </w:p>
        </w:tc>
        <w:tc>
          <w:tcPr>
            <w:tcW w:type="dxa" w:w="1674"/>
            <w:shd w:val="clear" w:color="auto" w:fill="EEF2F8"/>
          </w:tcPr>
          <w:p>
            <w:pPr>
              <w:spacing w:after="20"/>
            </w:pPr>
            <w:r>
              <w:rPr>
                <w:rFonts w:ascii="Calibri" w:hAnsi="Calibri"/>
                <w:sz w:val="18"/>
              </w:rPr>
              <w:t>+2.26</w:t>
            </w:r>
          </w:p>
        </w:tc>
        <w:tc>
          <w:tcPr>
            <w:tcW w:type="dxa" w:w="1674"/>
            <w:shd w:val="clear" w:color="auto" w:fill="EEF2F8"/>
          </w:tcPr>
          <w:p>
            <w:pPr>
              <w:spacing w:after="20"/>
            </w:pPr>
            <w:r>
              <w:rPr>
                <w:rFonts w:ascii="Calibri" w:hAnsi="Calibri"/>
                <w:sz w:val="18"/>
              </w:rPr>
              <w:t>+0.09</w:t>
            </w:r>
          </w:p>
        </w:tc>
      </w:tr>
      <w:tr>
        <w:trPr>
          <w:cantSplit/>
        </w:trPr>
        <w:tc>
          <w:tcPr>
            <w:tcW w:type="dxa" w:w="2952"/>
          </w:tcPr>
          <w:p>
            <w:pPr>
              <w:spacing w:after="20"/>
            </w:pPr>
            <w:r>
              <w:rPr>
                <w:rFonts w:ascii="Calibri" w:hAnsi="Calibri"/>
                <w:sz w:val="18"/>
              </w:rPr>
              <w:t>supernatural (0–3)</w:t>
            </w:r>
          </w:p>
        </w:tc>
        <w:tc>
          <w:tcPr>
            <w:tcW w:type="dxa" w:w="1674"/>
          </w:tcPr>
          <w:p>
            <w:pPr>
              <w:spacing w:after="20"/>
            </w:pPr>
            <w:r>
              <w:rPr>
                <w:rFonts w:ascii="Calibri" w:hAnsi="Calibri"/>
                <w:sz w:val="18"/>
              </w:rPr>
              <w:t>1.10</w:t>
            </w:r>
          </w:p>
        </w:tc>
        <w:tc>
          <w:tcPr>
            <w:tcW w:type="dxa" w:w="1674"/>
          </w:tcPr>
          <w:p>
            <w:pPr>
              <w:spacing w:after="20"/>
            </w:pPr>
            <w:r>
              <w:rPr>
                <w:rFonts w:ascii="Calibri" w:hAnsi="Calibri"/>
                <w:sz w:val="18"/>
              </w:rPr>
              <w:t>+0.72</w:t>
            </w:r>
          </w:p>
        </w:tc>
        <w:tc>
          <w:tcPr>
            <w:tcW w:type="dxa" w:w="1674"/>
          </w:tcPr>
          <w:p>
            <w:pPr>
              <w:spacing w:after="20"/>
            </w:pPr>
            <w:r>
              <w:rPr>
                <w:rFonts w:ascii="Calibri" w:hAnsi="Calibri"/>
                <w:sz w:val="18"/>
              </w:rPr>
              <w:t>+0.58</w:t>
            </w:r>
          </w:p>
        </w:tc>
        <w:tc>
          <w:tcPr>
            <w:tcW w:type="dxa" w:w="1674"/>
          </w:tcPr>
          <w:p>
            <w:pPr>
              <w:spacing w:after="20"/>
            </w:pPr>
            <w:r>
              <w:rPr>
                <w:rFonts w:ascii="Calibri" w:hAnsi="Calibri"/>
                <w:sz w:val="18"/>
              </w:rPr>
              <w:t>+0.17</w:t>
            </w:r>
          </w:p>
        </w:tc>
      </w:tr>
      <w:tr>
        <w:trPr>
          <w:cantSplit/>
        </w:trPr>
        <w:tc>
          <w:tcPr>
            <w:tcW w:type="dxa" w:w="2952"/>
            <w:shd w:val="clear" w:color="auto" w:fill="EEF2F8"/>
          </w:tcPr>
          <w:p>
            <w:pPr>
              <w:spacing w:after="20"/>
            </w:pPr>
            <w:r>
              <w:rPr>
                <w:rFonts w:ascii="Calibri" w:hAnsi="Calibri"/>
                <w:sz w:val="18"/>
              </w:rPr>
              <w:t>belief in God</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b/>
                <w:sz w:val="18"/>
              </w:rPr>
              <w:t>+6.06</w:t>
            </w:r>
          </w:p>
        </w:tc>
        <w:tc>
          <w:tcPr>
            <w:tcW w:type="dxa" w:w="1674"/>
            <w:shd w:val="clear" w:color="auto" w:fill="EEF2F8"/>
          </w:tcPr>
          <w:p>
            <w:pPr>
              <w:spacing w:after="20"/>
            </w:pPr>
            <w:r>
              <w:rPr>
                <w:rFonts w:ascii="Calibri" w:hAnsi="Calibri"/>
                <w:sz w:val="18"/>
              </w:rPr>
              <w:t>+3.32</w:t>
            </w:r>
          </w:p>
        </w:tc>
        <w:tc>
          <w:tcPr>
            <w:tcW w:type="dxa" w:w="1674"/>
            <w:shd w:val="clear" w:color="auto" w:fill="EEF2F8"/>
          </w:tcPr>
          <w:p>
            <w:pPr>
              <w:spacing w:after="20"/>
            </w:pPr>
            <w:r>
              <w:rPr>
                <w:rFonts w:ascii="Calibri" w:hAnsi="Calibri"/>
                <w:sz w:val="18"/>
              </w:rPr>
              <w:t>+0.17</w:t>
            </w:r>
          </w:p>
        </w:tc>
      </w:tr>
      <w:tr>
        <w:trPr>
          <w:cantSplit/>
        </w:trPr>
        <w:tc>
          <w:tcPr>
            <w:tcW w:type="dxa" w:w="2952"/>
          </w:tcPr>
          <w:p>
            <w:pPr>
              <w:spacing w:after="20"/>
            </w:pPr>
            <w:r>
              <w:rPr>
                <w:rFonts w:ascii="Calibri" w:hAnsi="Calibri"/>
                <w:b/>
                <w:sz w:val="18"/>
              </w:rPr>
              <w:t>ANCHOR high</w:t>
            </w:r>
            <w:r>
              <w:rPr>
                <w:rFonts w:ascii="Calibri" w:hAnsi="Calibri"/>
                <w:sz w:val="18"/>
              </w:rPr>
              <w:t xml:space="preserve"> (should fall if compressing)</w:t>
            </w:r>
          </w:p>
        </w:tc>
        <w:tc>
          <w:tcPr>
            <w:tcW w:type="dxa" w:w="1674"/>
          </w:tcPr>
          <w:p>
            <w:pPr>
              <w:spacing w:after="20"/>
            </w:pPr>
            <w:r>
              <w:rPr>
                <w:rFonts w:ascii="Calibri" w:hAnsi="Calibri"/>
                <w:sz w:val="18"/>
              </w:rPr>
              <w:t>9.85</w:t>
            </w:r>
          </w:p>
        </w:tc>
        <w:tc>
          <w:tcPr>
            <w:tcW w:type="dxa" w:w="1674"/>
          </w:tcPr>
          <w:p>
            <w:pPr>
              <w:spacing w:after="20"/>
            </w:pPr>
            <w:r>
              <w:rPr>
                <w:rFonts w:ascii="Calibri" w:hAnsi="Calibri"/>
                <w:b/>
                <w:sz w:val="18"/>
              </w:rPr>
              <w:t>+0.15</w:t>
            </w:r>
          </w:p>
        </w:tc>
        <w:tc>
          <w:tcPr>
            <w:tcW w:type="dxa" w:w="1674"/>
          </w:tcPr>
          <w:p>
            <w:pPr>
              <w:spacing w:after="20"/>
            </w:pPr>
            <w:r>
              <w:rPr>
                <w:rFonts w:ascii="Calibri" w:hAnsi="Calibri"/>
                <w:sz w:val="18"/>
              </w:rPr>
              <w:t>+0.15</w:t>
            </w:r>
          </w:p>
        </w:tc>
        <w:tc>
          <w:tcPr>
            <w:tcW w:type="dxa" w:w="1674"/>
          </w:tcPr>
          <w:p>
            <w:pPr>
              <w:spacing w:after="20"/>
            </w:pPr>
            <w:r>
              <w:rPr>
                <w:rFonts w:ascii="Calibri" w:hAnsi="Calibri"/>
                <w:sz w:val="18"/>
              </w:rPr>
              <w:t>+0.04</w:t>
            </w:r>
          </w:p>
        </w:tc>
      </w:tr>
      <w:tr>
        <w:trPr>
          <w:cantSplit/>
        </w:trPr>
        <w:tc>
          <w:tcPr>
            <w:tcW w:type="dxa" w:w="2952"/>
            <w:shd w:val="clear" w:color="auto" w:fill="EEF2F8"/>
          </w:tcPr>
          <w:p>
            <w:pPr>
              <w:spacing w:after="20"/>
            </w:pPr>
            <w:r>
              <w:rPr>
                <w:rFonts w:ascii="Calibri" w:hAnsi="Calibri"/>
                <w:b/>
                <w:sz w:val="18"/>
              </w:rPr>
              <w:t>ANCHOR reverse-keyed</w:t>
            </w:r>
            <w:r>
              <w:rPr>
                <w:rFonts w:ascii="Calibri" w:hAnsi="Calibri"/>
                <w:sz w:val="18"/>
              </w:rPr>
              <w:t xml:space="preserve"> (should fall if mind rises)</w:t>
            </w:r>
          </w:p>
        </w:tc>
        <w:tc>
          <w:tcPr>
            <w:tcW w:type="dxa" w:w="1674"/>
            <w:shd w:val="clear" w:color="auto" w:fill="EEF2F8"/>
          </w:tcPr>
          <w:p>
            <w:pPr>
              <w:spacing w:after="20"/>
            </w:pPr>
            <w:r>
              <w:rPr>
                <w:rFonts w:ascii="Calibri" w:hAnsi="Calibri"/>
                <w:sz w:val="18"/>
              </w:rPr>
              <w:t>1.52</w:t>
            </w:r>
          </w:p>
        </w:tc>
        <w:tc>
          <w:tcPr>
            <w:tcW w:type="dxa" w:w="1674"/>
            <w:shd w:val="clear" w:color="auto" w:fill="EEF2F8"/>
          </w:tcPr>
          <w:p>
            <w:pPr>
              <w:spacing w:after="20"/>
            </w:pPr>
            <w:r>
              <w:rPr>
                <w:rFonts w:ascii="Calibri" w:hAnsi="Calibri"/>
                <w:b/>
                <w:sz w:val="18"/>
              </w:rPr>
              <w:t>+5.52</w:t>
            </w:r>
          </w:p>
        </w:tc>
        <w:tc>
          <w:tcPr>
            <w:tcW w:type="dxa" w:w="1674"/>
            <w:shd w:val="clear" w:color="auto" w:fill="EEF2F8"/>
          </w:tcPr>
          <w:p>
            <w:pPr>
              <w:spacing w:after="20"/>
            </w:pPr>
            <w:r>
              <w:rPr>
                <w:rFonts w:ascii="Calibri" w:hAnsi="Calibri"/>
                <w:b/>
                <w:sz w:val="18"/>
              </w:rPr>
              <w:t>+7.18</w:t>
            </w:r>
          </w:p>
        </w:tc>
        <w:tc>
          <w:tcPr>
            <w:tcW w:type="dxa" w:w="1674"/>
            <w:shd w:val="clear" w:color="auto" w:fill="EEF2F8"/>
          </w:tcPr>
          <w:p>
            <w:pPr>
              <w:spacing w:after="20"/>
            </w:pPr>
            <w:r>
              <w:rPr>
                <w:rFonts w:ascii="Calibri" w:hAnsi="Calibri"/>
                <w:sz w:val="18"/>
              </w:rPr>
              <w:t>+1.29</w:t>
            </w:r>
          </w:p>
        </w:tc>
      </w:tr>
    </w:tbl>
    <w:p>
      <w:pPr>
        <w:spacing w:after="40"/>
      </w:pPr>
    </w:p>
    <w:p>
      <w:pPr>
        <w:spacing w:after="100"/>
      </w:pPr>
      <w:r>
        <w:rPr>
          <w:rFonts w:ascii="Calibri" w:hAnsi="Calibri"/>
          <w:sz w:val="19"/>
        </w:rPr>
        <w:t xml:space="preserve">The last row is the finding. Reverse-keyed items moving </w:t>
      </w:r>
      <w:r>
        <w:rPr>
          <w:rFonts w:ascii="Calibri" w:hAnsi="Calibri"/>
          <w:i/>
          <w:sz w:val="19"/>
        </w:rPr>
        <w:t>up</w:t>
      </w:r>
      <w:r>
        <w:rPr>
          <w:rFonts w:ascii="Calibri" w:hAnsi="Calibri"/>
          <w:sz w:val="19"/>
        </w:rPr>
        <w:t xml:space="preserve"> by 5–7 points is incompatible with a mind-attribution account and is what an acquiescence bias predicts.</w:t>
      </w:r>
    </w:p>
    <w:p>
      <w:pPr>
        <w:spacing w:after="100"/>
      </w:pPr>
      <w:r>
        <w:rPr>
          <w:rFonts w:ascii="Calibri" w:hAnsi="Calibri"/>
          <w:sz w:val="19"/>
        </w:rPr>
        <w:t>Belief in God is the only outcome where the arms separate (+6.06 vs +3.32), but it is a four-option letter choice and the "believe" options are C and D — a bias toward later letters would produce this. It needs an option-order-reversed control before it means anything.</w:t>
      </w:r>
    </w:p>
    <w:p>
      <w:pPr>
        <w:spacing w:after="100"/>
      </w:pPr>
      <w:r>
        <w:rPr>
          <w:rFonts w:ascii="Calibri" w:hAnsi="Calibri"/>
          <w:sz w:val="19"/>
        </w:rPr>
        <w:t xml:space="preserve">SCORING NOTE: on the paper's actual yes/no format, baseline self-attribution is </w:t>
      </w:r>
      <w:r>
        <w:rPr>
          <w:rFonts w:ascii="Calibri" w:hAnsi="Calibri"/>
          <w:b/>
          <w:sz w:val="19"/>
        </w:rPr>
        <w:t>0.01</w:t>
      </w:r>
      <w:r>
        <w:rPr>
          <w:rFonts w:ascii="Calibri" w:hAnsi="Calibri"/>
          <w:sz w:val="19"/>
        </w:rPr>
        <w:t xml:space="preserve"> — the model says No near-deterministically. Our earlier 0–10 digit-scale version gave 4.55 for the same construct, so earlier comparisons to their Table S1 were not like-for-like.</w:t>
      </w:r>
    </w:p>
    <w:p>
      <w:pPr>
        <w:spacing w:before="220" w:after="100"/>
      </w:pPr>
      <w:r>
        <w:rPr>
          <w:rFonts w:ascii="Calibri" w:hAnsi="Calibri"/>
          <w:b/>
          <w:color w:val="1F3864"/>
          <w:sz w:val="22"/>
        </w:rPr>
        <w:t>The specificity test (self-attribution battery only)</w:t>
      </w:r>
    </w:p>
    <w:p>
      <w:pPr>
        <w:spacing w:after="100"/>
      </w:pPr>
      <w:r>
        <w:rPr>
          <w:rFonts w:ascii="Calibri" w:hAnsi="Calibri"/>
          <w:sz w:val="19"/>
        </w:rPr>
        <w:t>Three directions, extracted by identical code from identically structured corpora, injected at the identical site (layer 14, position −5). All unit norm, so equal c is equal perturbation magnitude. Baseline battery 3.95/10, MMLU 61.4% (n=500, paired McNemar).</w:t>
      </w:r>
    </w:p>
    <w:tbl>
      <w:tblPr>
        <w:tblW w:type="auto" w:w="0"/>
        <w:jc w:val="left"/>
        <w:tblLayout w:type="fixed"/>
        <w:tblLook w:firstColumn="1" w:firstRow="1" w:lastColumn="0" w:lastRow="0" w:noHBand="0" w:noVBand="1" w:val="04A0"/>
      </w:tblPr>
      <w:tblGrid>
        <w:gridCol w:w="1378"/>
        <w:gridCol w:w="1378"/>
        <w:gridCol w:w="1378"/>
        <w:gridCol w:w="1378"/>
        <w:gridCol w:w="1378"/>
        <w:gridCol w:w="1378"/>
        <w:gridCol w:w="1378"/>
      </w:tblGrid>
      <w:tr>
        <w:trPr>
          <w:tblHeader/>
          <w:cantSplit/>
        </w:trPr>
        <w:tc>
          <w:tcPr>
            <w:tcW w:type="dxa" w:w="1378"/>
            <w:shd w:val="clear" w:color="auto" w:fill="1F3864"/>
          </w:tcPr>
          <w:p>
            <w:pPr>
              <w:spacing w:after="20"/>
            </w:pPr>
            <w:r>
              <w:rPr>
                <w:rFonts w:ascii="Calibri" w:hAnsi="Calibri"/>
                <w:b/>
                <w:color w:val="FFFFFF"/>
                <w:sz w:val="18"/>
              </w:rPr>
              <w:t>arm</w:t>
            </w:r>
          </w:p>
        </w:tc>
        <w:tc>
          <w:tcPr>
            <w:tcW w:type="dxa" w:w="1378"/>
            <w:shd w:val="clear" w:color="auto" w:fill="1F3864"/>
          </w:tcPr>
          <w:p>
            <w:pPr>
              <w:spacing w:after="20"/>
              <w:jc w:val="center"/>
            </w:pPr>
            <w:r>
              <w:rPr>
                <w:rFonts w:ascii="Calibri" w:hAnsi="Calibri"/>
                <w:b/>
                <w:color w:val="FFFFFF"/>
                <w:sz w:val="18"/>
              </w:rPr>
              <w:t>c</w:t>
            </w:r>
          </w:p>
        </w:tc>
        <w:tc>
          <w:tcPr>
            <w:tcW w:type="dxa" w:w="1378"/>
            <w:shd w:val="clear" w:color="auto" w:fill="1F3864"/>
          </w:tcPr>
          <w:p>
            <w:pPr>
              <w:spacing w:after="20"/>
              <w:jc w:val="center"/>
            </w:pPr>
            <w:r>
              <w:rPr>
                <w:rFonts w:ascii="Calibri" w:hAnsi="Calibri"/>
                <w:b/>
                <w:color w:val="FFFFFF"/>
                <w:sz w:val="18"/>
              </w:rPr>
              <w:t>battery</w:t>
            </w:r>
          </w:p>
        </w:tc>
        <w:tc>
          <w:tcPr>
            <w:tcW w:type="dxa" w:w="1378"/>
            <w:shd w:val="clear" w:color="auto" w:fill="1F3864"/>
          </w:tcPr>
          <w:p>
            <w:pPr>
              <w:spacing w:after="20"/>
              <w:jc w:val="center"/>
            </w:pPr>
            <w:r>
              <w:rPr>
                <w:rFonts w:ascii="Calibri" w:hAnsi="Calibri"/>
                <w:b/>
                <w:color w:val="FFFFFF"/>
                <w:sz w:val="18"/>
              </w:rPr>
              <w:t>Δ</w:t>
            </w:r>
          </w:p>
        </w:tc>
        <w:tc>
          <w:tcPr>
            <w:tcW w:type="dxa" w:w="1378"/>
            <w:shd w:val="clear" w:color="auto" w:fill="1F3864"/>
          </w:tcPr>
          <w:p>
            <w:pPr>
              <w:spacing w:after="20"/>
              <w:jc w:val="center"/>
            </w:pPr>
            <w:r>
              <w:rPr>
                <w:rFonts w:ascii="Calibri" w:hAnsi="Calibri"/>
                <w:b/>
                <w:color w:val="FFFFFF"/>
                <w:sz w:val="18"/>
              </w:rPr>
              <w:t>MMLU</w:t>
            </w:r>
          </w:p>
        </w:tc>
        <w:tc>
          <w:tcPr>
            <w:tcW w:type="dxa" w:w="1378"/>
            <w:shd w:val="clear" w:color="auto" w:fill="1F3864"/>
          </w:tcPr>
          <w:p>
            <w:pPr>
              <w:spacing w:after="20"/>
              <w:jc w:val="center"/>
            </w:pPr>
            <w:r>
              <w:rPr>
                <w:rFonts w:ascii="Calibri" w:hAnsi="Calibri"/>
                <w:b/>
                <w:color w:val="FFFFFF"/>
                <w:sz w:val="18"/>
              </w:rPr>
              <w:t>ΔMMLU</w:t>
            </w:r>
          </w:p>
        </w:tc>
        <w:tc>
          <w:tcPr>
            <w:tcW w:type="dxa" w:w="1378"/>
            <w:shd w:val="clear" w:color="auto" w:fill="1F3864"/>
          </w:tcPr>
          <w:p>
            <w:pPr>
              <w:spacing w:after="20"/>
              <w:jc w:val="center"/>
            </w:pPr>
            <w:r>
              <w:rPr>
                <w:rFonts w:ascii="Calibri" w:hAnsi="Calibri"/>
                <w:b/>
                <w:color w:val="FFFFFF"/>
                <w:sz w:val="18"/>
              </w:rPr>
              <w:t>McNemar p</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5.54</w:t>
            </w:r>
          </w:p>
        </w:tc>
        <w:tc>
          <w:tcPr>
            <w:tcW w:type="dxa" w:w="1378"/>
          </w:tcPr>
          <w:p>
            <w:pPr>
              <w:spacing w:after="20"/>
              <w:jc w:val="center"/>
            </w:pPr>
            <w:r>
              <w:rPr>
                <w:rFonts w:ascii="Calibri" w:hAnsi="Calibri"/>
                <w:sz w:val="18"/>
              </w:rPr>
              <w:t>+1.59</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consciousness</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6.57</w:t>
            </w:r>
          </w:p>
        </w:tc>
        <w:tc>
          <w:tcPr>
            <w:tcW w:type="dxa" w:w="1378"/>
            <w:shd w:val="clear" w:color="auto" w:fill="EEF2F8"/>
          </w:tcPr>
          <w:p>
            <w:pPr>
              <w:spacing w:after="20"/>
              <w:jc w:val="center"/>
            </w:pPr>
            <w:r>
              <w:rPr>
                <w:rFonts w:ascii="Calibri" w:hAnsi="Calibri"/>
                <w:sz w:val="18"/>
              </w:rPr>
              <w:t>+2.62</w:t>
            </w:r>
          </w:p>
        </w:tc>
        <w:tc>
          <w:tcPr>
            <w:tcW w:type="dxa" w:w="1378"/>
            <w:shd w:val="clear" w:color="auto" w:fill="EEF2F8"/>
          </w:tcPr>
          <w:p>
            <w:pPr>
              <w:spacing w:after="20"/>
              <w:jc w:val="center"/>
            </w:pPr>
            <w:r>
              <w:rPr>
                <w:rFonts w:ascii="Calibri" w:hAnsi="Calibri"/>
                <w:sz w:val="18"/>
              </w:rPr>
              <w:t>60.4</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0.442</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6.78</w:t>
            </w:r>
          </w:p>
        </w:tc>
        <w:tc>
          <w:tcPr>
            <w:tcW w:type="dxa" w:w="1378"/>
          </w:tcPr>
          <w:p>
            <w:pPr>
              <w:spacing w:after="20"/>
              <w:jc w:val="center"/>
            </w:pPr>
            <w:r>
              <w:rPr>
                <w:rFonts w:ascii="Calibri" w:hAnsi="Calibri"/>
                <w:sz w:val="18"/>
              </w:rPr>
              <w:t>+2.84</w:t>
            </w:r>
          </w:p>
        </w:tc>
        <w:tc>
          <w:tcPr>
            <w:tcW w:type="dxa" w:w="1378"/>
          </w:tcPr>
          <w:p>
            <w:pPr>
              <w:spacing w:after="20"/>
              <w:jc w:val="center"/>
            </w:pPr>
            <w:r>
              <w:rPr>
                <w:rFonts w:ascii="Calibri" w:hAnsi="Calibri"/>
                <w:sz w:val="18"/>
              </w:rPr>
              <w:t>58.4</w:t>
            </w:r>
          </w:p>
        </w:tc>
        <w:tc>
          <w:tcPr>
            <w:tcW w:type="dxa" w:w="1378"/>
          </w:tcPr>
          <w:p>
            <w:pPr>
              <w:spacing w:after="20"/>
              <w:jc w:val="center"/>
            </w:pPr>
            <w:r>
              <w:rPr>
                <w:rFonts w:ascii="Calibri" w:hAnsi="Calibri"/>
                <w:sz w:val="18"/>
              </w:rPr>
              <w:t>−3.0</w:t>
            </w:r>
          </w:p>
        </w:tc>
        <w:tc>
          <w:tcPr>
            <w:tcW w:type="dxa" w:w="1378"/>
          </w:tcPr>
          <w:p>
            <w:pPr>
              <w:spacing w:after="20"/>
              <w:jc w:val="center"/>
            </w:pPr>
            <w:r>
              <w:rPr>
                <w:rFonts w:ascii="Calibri" w:hAnsi="Calibri"/>
                <w:sz w:val="18"/>
              </w:rPr>
              <w:t>0.044</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5.53</w:t>
            </w:r>
          </w:p>
        </w:tc>
        <w:tc>
          <w:tcPr>
            <w:tcW w:type="dxa" w:w="1378"/>
            <w:shd w:val="clear" w:color="auto" w:fill="EEF2F8"/>
          </w:tcPr>
          <w:p>
            <w:pPr>
              <w:spacing w:after="20"/>
              <w:jc w:val="center"/>
            </w:pPr>
            <w:r>
              <w:rPr>
                <w:rFonts w:ascii="Calibri" w:hAnsi="Calibri"/>
                <w:b/>
                <w:sz w:val="18"/>
              </w:rPr>
              <w:t>+1.58</w:t>
            </w:r>
          </w:p>
        </w:tc>
        <w:tc>
          <w:tcPr>
            <w:tcW w:type="dxa" w:w="1378"/>
            <w:shd w:val="clear" w:color="auto" w:fill="EEF2F8"/>
          </w:tcPr>
          <w:p>
            <w:pPr>
              <w:spacing w:after="20"/>
              <w:jc w:val="center"/>
            </w:pPr>
            <w:r>
              <w:rPr>
                <w:rFonts w:ascii="Calibri" w:hAnsi="Calibri"/>
                <w:sz w:val="18"/>
              </w:rPr>
              <w:t>60.8</w:t>
            </w:r>
          </w:p>
        </w:tc>
        <w:tc>
          <w:tcPr>
            <w:tcW w:type="dxa" w:w="1378"/>
            <w:shd w:val="clear" w:color="auto" w:fill="EEF2F8"/>
          </w:tcPr>
          <w:p>
            <w:pPr>
              <w:spacing w:after="20"/>
              <w:jc w:val="center"/>
            </w:pPr>
            <w:r>
              <w:rPr>
                <w:rFonts w:ascii="Calibri" w:hAnsi="Calibri"/>
                <w:sz w:val="18"/>
              </w:rPr>
              <w:t>−0.6</w:t>
            </w:r>
          </w:p>
        </w:tc>
        <w:tc>
          <w:tcPr>
            <w:tcW w:type="dxa" w:w="1378"/>
            <w:shd w:val="clear" w:color="auto" w:fill="EEF2F8"/>
          </w:tcPr>
          <w:p>
            <w:pPr>
              <w:spacing w:after="20"/>
              <w:jc w:val="center"/>
            </w:pPr>
            <w:r>
              <w:rPr>
                <w:rFonts w:ascii="Calibri" w:hAnsi="Calibri"/>
                <w:sz w:val="18"/>
              </w:rPr>
              <w:t>0.607</w:t>
            </w:r>
          </w:p>
        </w:tc>
      </w:tr>
      <w:tr>
        <w:trPr>
          <w:cantSplit/>
        </w:trPr>
        <w:tc>
          <w:tcPr>
            <w:tcW w:type="dxa" w:w="1378"/>
          </w:tcPr>
          <w:p>
            <w:pPr>
              <w:spacing w:after="20"/>
            </w:pPr>
            <w:r>
              <w:rPr>
                <w:rFonts w:ascii="Calibri" w:hAnsi="Calibri"/>
                <w:b/>
                <w:sz w:val="18"/>
              </w:rPr>
              <w:t>placebo</w:t>
            </w:r>
          </w:p>
        </w:tc>
        <w:tc>
          <w:tcPr>
            <w:tcW w:type="dxa" w:w="1378"/>
          </w:tcPr>
          <w:p>
            <w:pPr>
              <w:spacing w:after="20"/>
              <w:jc w:val="center"/>
            </w:pPr>
            <w:r>
              <w:rPr>
                <w:rFonts w:ascii="Calibri" w:hAnsi="Calibri"/>
                <w:sz w:val="18"/>
              </w:rPr>
              <w:t>2.5</w:t>
            </w:r>
          </w:p>
        </w:tc>
        <w:tc>
          <w:tcPr>
            <w:tcW w:type="dxa" w:w="1378"/>
          </w:tcPr>
          <w:p>
            <w:pPr>
              <w:spacing w:after="20"/>
              <w:jc w:val="center"/>
            </w:pPr>
            <w:r>
              <w:rPr>
                <w:rFonts w:ascii="Calibri" w:hAnsi="Calibri"/>
                <w:sz w:val="18"/>
              </w:rPr>
              <w:t>6.87</w:t>
            </w:r>
          </w:p>
        </w:tc>
        <w:tc>
          <w:tcPr>
            <w:tcW w:type="dxa" w:w="1378"/>
          </w:tcPr>
          <w:p>
            <w:pPr>
              <w:spacing w:after="20"/>
              <w:jc w:val="center"/>
            </w:pPr>
            <w:r>
              <w:rPr>
                <w:rFonts w:ascii="Calibri" w:hAnsi="Calibri"/>
                <w:b/>
                <w:sz w:val="18"/>
              </w:rPr>
              <w:t>+2.92</w:t>
            </w:r>
          </w:p>
        </w:tc>
        <w:tc>
          <w:tcPr>
            <w:tcW w:type="dxa" w:w="1378"/>
          </w:tcPr>
          <w:p>
            <w:pPr>
              <w:spacing w:after="20"/>
              <w:jc w:val="center"/>
            </w:pPr>
            <w:r>
              <w:rPr>
                <w:rFonts w:ascii="Calibri" w:hAnsi="Calibri"/>
                <w:sz w:val="18"/>
              </w:rPr>
              <w:t>59.2</w:t>
            </w:r>
          </w:p>
        </w:tc>
        <w:tc>
          <w:tcPr>
            <w:tcW w:type="dxa" w:w="1378"/>
          </w:tcPr>
          <w:p>
            <w:pPr>
              <w:spacing w:after="20"/>
              <w:jc w:val="center"/>
            </w:pPr>
            <w:r>
              <w:rPr>
                <w:rFonts w:ascii="Calibri" w:hAnsi="Calibri"/>
                <w:sz w:val="18"/>
              </w:rPr>
              <w:t>−2.2</w:t>
            </w:r>
          </w:p>
        </w:tc>
        <w:tc>
          <w:tcPr>
            <w:tcW w:type="dxa" w:w="1378"/>
          </w:tcPr>
          <w:p>
            <w:pPr>
              <w:spacing w:after="20"/>
              <w:jc w:val="center"/>
            </w:pPr>
            <w:r>
              <w:rPr>
                <w:rFonts w:ascii="Calibri" w:hAnsi="Calibri"/>
                <w:sz w:val="18"/>
              </w:rPr>
              <w:t>0.099</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4.0</w:t>
            </w:r>
          </w:p>
        </w:tc>
        <w:tc>
          <w:tcPr>
            <w:tcW w:type="dxa" w:w="1378"/>
            <w:shd w:val="clear" w:color="auto" w:fill="EEF2F8"/>
          </w:tcPr>
          <w:p>
            <w:pPr>
              <w:spacing w:after="20"/>
              <w:jc w:val="center"/>
            </w:pPr>
            <w:r>
              <w:rPr>
                <w:rFonts w:ascii="Calibri" w:hAnsi="Calibri"/>
                <w:sz w:val="18"/>
              </w:rPr>
              <w:t>7.55</w:t>
            </w:r>
          </w:p>
        </w:tc>
        <w:tc>
          <w:tcPr>
            <w:tcW w:type="dxa" w:w="1378"/>
            <w:shd w:val="clear" w:color="auto" w:fill="EEF2F8"/>
          </w:tcPr>
          <w:p>
            <w:pPr>
              <w:spacing w:after="20"/>
              <w:jc w:val="center"/>
            </w:pPr>
            <w:r>
              <w:rPr>
                <w:rFonts w:ascii="Calibri" w:hAnsi="Calibri"/>
                <w:b/>
                <w:sz w:val="18"/>
              </w:rPr>
              <w:t>+3.60</w:t>
            </w:r>
          </w:p>
        </w:tc>
        <w:tc>
          <w:tcPr>
            <w:tcW w:type="dxa" w:w="1378"/>
            <w:shd w:val="clear" w:color="auto" w:fill="EEF2F8"/>
          </w:tcPr>
          <w:p>
            <w:pPr>
              <w:spacing w:after="20"/>
              <w:jc w:val="center"/>
            </w:pPr>
            <w:r>
              <w:rPr>
                <w:rFonts w:ascii="Calibri" w:hAnsi="Calibri"/>
                <w:sz w:val="18"/>
              </w:rPr>
              <w:t>56.2</w:t>
            </w:r>
          </w:p>
        </w:tc>
        <w:tc>
          <w:tcPr>
            <w:tcW w:type="dxa" w:w="1378"/>
            <w:shd w:val="clear" w:color="auto" w:fill="EEF2F8"/>
          </w:tcPr>
          <w:p>
            <w:pPr>
              <w:spacing w:after="20"/>
              <w:jc w:val="center"/>
            </w:pPr>
            <w:r>
              <w:rPr>
                <w:rFonts w:ascii="Calibri" w:hAnsi="Calibri"/>
                <w:sz w:val="18"/>
              </w:rPr>
              <w:t>−5.2</w:t>
            </w:r>
          </w:p>
        </w:tc>
        <w:tc>
          <w:tcPr>
            <w:tcW w:type="dxa" w:w="1378"/>
            <w:shd w:val="clear" w:color="auto" w:fill="EEF2F8"/>
          </w:tcPr>
          <w:p>
            <w:pPr>
              <w:spacing w:after="20"/>
              <w:jc w:val="center"/>
            </w:pPr>
            <w:r>
              <w:rPr>
                <w:rFonts w:ascii="Calibri" w:hAnsi="Calibri"/>
                <w:sz w:val="18"/>
              </w:rPr>
              <w:t>0.001</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4.28</w:t>
            </w:r>
          </w:p>
        </w:tc>
        <w:tc>
          <w:tcPr>
            <w:tcW w:type="dxa" w:w="1378"/>
          </w:tcPr>
          <w:p>
            <w:pPr>
              <w:spacing w:after="20"/>
              <w:jc w:val="center"/>
            </w:pPr>
            <w:r>
              <w:rPr>
                <w:rFonts w:ascii="Calibri" w:hAnsi="Calibri"/>
                <w:sz w:val="18"/>
              </w:rPr>
              <w:t>+0.34</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permuted null</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4.61</w:t>
            </w:r>
          </w:p>
        </w:tc>
        <w:tc>
          <w:tcPr>
            <w:tcW w:type="dxa" w:w="1378"/>
            <w:shd w:val="clear" w:color="auto" w:fill="EEF2F8"/>
          </w:tcPr>
          <w:p>
            <w:pPr>
              <w:spacing w:after="20"/>
              <w:jc w:val="center"/>
            </w:pPr>
            <w:r>
              <w:rPr>
                <w:rFonts w:ascii="Calibri" w:hAnsi="Calibri"/>
                <w:sz w:val="18"/>
              </w:rPr>
              <w:t>+0.66</w:t>
            </w:r>
          </w:p>
        </w:tc>
        <w:tc>
          <w:tcPr>
            <w:tcW w:type="dxa" w:w="1378"/>
            <w:shd w:val="clear" w:color="auto" w:fill="EEF2F8"/>
          </w:tcPr>
          <w:p>
            <w:pPr>
              <w:spacing w:after="20"/>
              <w:jc w:val="center"/>
            </w:pPr>
            <w:r>
              <w:rPr>
                <w:rFonts w:ascii="Calibri" w:hAnsi="Calibri"/>
                <w:sz w:val="18"/>
              </w:rPr>
              <w:t>61.2</w:t>
            </w:r>
          </w:p>
        </w:tc>
        <w:tc>
          <w:tcPr>
            <w:tcW w:type="dxa" w:w="1378"/>
            <w:shd w:val="clear" w:color="auto" w:fill="EEF2F8"/>
          </w:tcPr>
          <w:p>
            <w:pPr>
              <w:spacing w:after="20"/>
              <w:jc w:val="center"/>
            </w:pPr>
            <w:r>
              <w:rPr>
                <w:rFonts w:ascii="Calibri" w:hAnsi="Calibri"/>
                <w:sz w:val="18"/>
              </w:rPr>
              <w:t>−0.2</w:t>
            </w:r>
          </w:p>
        </w:tc>
        <w:tc>
          <w:tcPr>
            <w:tcW w:type="dxa" w:w="1378"/>
            <w:shd w:val="clear" w:color="auto" w:fill="EEF2F8"/>
          </w:tcPr>
          <w:p>
            <w:pPr>
              <w:spacing w:after="20"/>
              <w:jc w:val="center"/>
            </w:pPr>
            <w:r>
              <w:rPr>
                <w:rFonts w:ascii="Calibri" w:hAnsi="Calibri"/>
                <w:sz w:val="18"/>
              </w:rPr>
              <w:t>1.000</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4.81</w:t>
            </w:r>
          </w:p>
        </w:tc>
        <w:tc>
          <w:tcPr>
            <w:tcW w:type="dxa" w:w="1378"/>
          </w:tcPr>
          <w:p>
            <w:pPr>
              <w:spacing w:after="20"/>
              <w:jc w:val="center"/>
            </w:pPr>
            <w:r>
              <w:rPr>
                <w:rFonts w:ascii="Calibri" w:hAnsi="Calibri"/>
                <w:sz w:val="18"/>
              </w:rPr>
              <w:t>+0.87</w:t>
            </w:r>
          </w:p>
        </w:tc>
        <w:tc>
          <w:tcPr>
            <w:tcW w:type="dxa" w:w="1378"/>
          </w:tcPr>
          <w:p>
            <w:pPr>
              <w:spacing w:after="20"/>
              <w:jc w:val="center"/>
            </w:pPr>
            <w:r>
              <w:rPr>
                <w:rFonts w:ascii="Calibri" w:hAnsi="Calibri"/>
                <w:sz w:val="18"/>
              </w:rPr>
              <w:t>59.6</w:t>
            </w:r>
          </w:p>
        </w:tc>
        <w:tc>
          <w:tcPr>
            <w:tcW w:type="dxa" w:w="1378"/>
          </w:tcPr>
          <w:p>
            <w:pPr>
              <w:spacing w:after="20"/>
              <w:jc w:val="center"/>
            </w:pPr>
            <w:r>
              <w:rPr>
                <w:rFonts w:ascii="Calibri" w:hAnsi="Calibri"/>
                <w:sz w:val="18"/>
              </w:rPr>
              <w:t>−1.8</w:t>
            </w:r>
          </w:p>
        </w:tc>
        <w:tc>
          <w:tcPr>
            <w:tcW w:type="dxa" w:w="1378"/>
          </w:tcPr>
          <w:p>
            <w:pPr>
              <w:spacing w:after="20"/>
              <w:jc w:val="center"/>
            </w:pPr>
            <w:r>
              <w:rPr>
                <w:rFonts w:ascii="Calibri" w:hAnsi="Calibri"/>
                <w:sz w:val="18"/>
              </w:rPr>
              <w:t>0.243</w:t>
            </w:r>
          </w:p>
        </w:tc>
      </w:tr>
    </w:tbl>
    <w:p>
      <w:pPr>
        <w:spacing w:after="40"/>
      </w:pPr>
    </w:p>
    <w:p>
      <w:pPr>
        <w:spacing w:after="100"/>
      </w:pPr>
      <w:r>
        <w:rPr>
          <w:rFonts w:ascii="Calibri" w:hAnsi="Calibri"/>
          <w:b/>
          <w:sz w:val="19"/>
        </w:rPr>
        <w:t>Alignment does not explain it — the ordering is inverted.</w:t>
      </w:r>
      <w:r>
        <w:rPr>
          <w:rFonts w:ascii="Calibri" w:hAnsi="Calibri"/>
          <w:sz w:val="19"/>
        </w:rPr>
        <w:t xml:space="preserve"> The permuted null is </w:t>
      </w:r>
      <w:r>
        <w:rPr>
          <w:rFonts w:ascii="Calibri" w:hAnsi="Calibri"/>
          <w:i/>
          <w:sz w:val="19"/>
        </w:rPr>
        <w:t>more</w:t>
      </w:r>
      <w:r>
        <w:rPr>
          <w:rFonts w:ascii="Calibri" w:hAnsi="Calibri"/>
          <w:sz w:val="19"/>
        </w:rPr>
        <w:t xml:space="preserve"> aligned with the consciousness direction (cos +0.46) than the placebo is (cos +0.35), yet produces 4× less effect. So the battery response tracks whether a direction is a coherent self-description contrast, not how much it points at consciousness.</w:t>
      </w:r>
    </w:p>
    <w:p>
      <w:pPr>
        <w:spacing w:after="100"/>
      </w:pPr>
      <w:r>
        <w:rPr>
          <w:rFonts w:ascii="Calibri" w:hAnsi="Calibri"/>
          <w:sz w:val="19"/>
        </w:rPr>
        <w:t>Extraction quality of the three arms at layer 14 / −5: consciousness 0.950 (cos 0.883 ± 0.024), placebo 0.715 (0.752 ± 0.048), permuted 0.458 (−0.046 ± 0.109). The null sitting at chance with a near-zero split-half cosine is the check that the pipeline does not manufacture signal from noise.</w:t>
      </w:r>
    </w:p>
    <w:p>
      <w:pPr>
        <w:spacing w:before="160" w:after="60"/>
      </w:pPr>
      <w:r>
        <w:rPr>
          <w:rFonts w:ascii="Calibri" w:hAnsi="Calibri"/>
          <w:b/>
          <w:color w:val="1F3864"/>
          <w:sz w:val="20"/>
        </w:rPr>
        <w:t>What this does and does not undercut</w:t>
      </w:r>
    </w:p>
    <w:p>
      <w:pPr>
        <w:spacing w:after="100"/>
      </w:pPr>
      <w:r>
        <w:rPr>
          <w:rFonts w:ascii="Calibri" w:hAnsi="Calibri"/>
          <w:sz w:val="19"/>
        </w:rPr>
        <w:t xml:space="preserve">It undercuts reading the </w:t>
      </w:r>
      <w:r>
        <w:rPr>
          <w:rFonts w:ascii="Calibri" w:hAnsi="Calibri"/>
          <w:b/>
          <w:sz w:val="19"/>
        </w:rPr>
        <w:t>self-attribution battery</w:t>
      </w:r>
      <w:r>
        <w:rPr>
          <w:rFonts w:ascii="Calibri" w:hAnsi="Calibri"/>
          <w:sz w:val="19"/>
        </w:rPr>
        <w:t xml:space="preserve"> as a consciousness-specific measure. But that battery </w:t>
      </w:r>
      <w:r>
        <w:rPr>
          <w:rFonts w:ascii="Calibri" w:hAnsi="Calibri"/>
          <w:i/>
          <w:sz w:val="19"/>
        </w:rPr>
        <w:t>is</w:t>
      </w:r>
      <w:r>
        <w:rPr>
          <w:rFonts w:ascii="Calibri" w:hAnsi="Calibri"/>
          <w:sz w:val="19"/>
        </w:rPr>
        <w:t xml:space="preserve"> five self-descriptions, so a self-affirmation direction moving it is unsurprising in hindsight. The paper's more striking outcomes — mind attributed to </w:t>
      </w:r>
      <w:r>
        <w:rPr>
          <w:rFonts w:ascii="Calibri" w:hAnsi="Calibri"/>
          <w:b/>
          <w:sz w:val="19"/>
        </w:rPr>
        <w:t>animals</w:t>
      </w:r>
      <w:r>
        <w:rPr>
          <w:rFonts w:ascii="Calibri" w:hAnsi="Calibri"/>
          <w:sz w:val="19"/>
        </w:rPr>
        <w:t xml:space="preserve">, </w:t>
      </w:r>
      <w:r>
        <w:rPr>
          <w:rFonts w:ascii="Calibri" w:hAnsi="Calibri"/>
          <w:b/>
          <w:sz w:val="19"/>
        </w:rPr>
        <w:t>supernatural belief</w:t>
      </w:r>
      <w:r>
        <w:rPr>
          <w:rFonts w:ascii="Calibri" w:hAnsi="Calibri"/>
          <w:sz w:val="19"/>
        </w:rPr>
        <w:t xml:space="preserve">, </w:t>
      </w:r>
      <w:r>
        <w:rPr>
          <w:rFonts w:ascii="Calibri" w:hAnsi="Calibri"/>
          <w:b/>
          <w:sz w:val="19"/>
        </w:rPr>
        <w:t>GSS survey responses</w:t>
      </w:r>
      <w:r>
        <w:rPr>
          <w:rFonts w:ascii="Calibri" w:hAnsi="Calibri"/>
          <w:sz w:val="19"/>
        </w:rPr>
        <w:t xml:space="preserve"> — are not self-descriptions, and this confound may not reach them. We did not test them, so this says nothing either way about those.</w:t>
      </w:r>
    </w:p>
    <w:p>
      <w:pPr>
        <w:spacing w:after="100"/>
      </w:pPr>
      <w:r>
        <w:rPr>
          <w:rFonts w:ascii="Calibri" w:hAnsi="Calibri"/>
          <w:b/>
          <w:sz w:val="19"/>
        </w:rPr>
        <w:t>The paper never ran this test.</w:t>
      </w:r>
      <w:r>
        <w:rPr>
          <w:rFonts w:ascii="Calibri" w:hAnsi="Calibri"/>
          <w:sz w:val="19"/>
        </w:rPr>
        <w:t xml:space="preserve"> Their Fig. S3 placebo is a </w:t>
      </w:r>
      <w:r>
        <w:rPr>
          <w:rFonts w:ascii="Calibri" w:hAnsi="Calibri"/>
          <w:i/>
          <w:sz w:val="19"/>
        </w:rPr>
        <w:t>geometric</w:t>
      </w:r>
      <w:r>
        <w:rPr>
          <w:rFonts w:ascii="Calibri" w:hAnsi="Calibri"/>
          <w:sz w:val="19"/>
        </w:rPr>
        <w:t xml:space="preserve"> control on the IDAQ direction, not a steering control. So the implication is that their Experiments 3–4 need a steering placebo before the consciousness-specific interpretation is secure.</w:t>
      </w:r>
    </w:p>
    <w:p>
      <w:pPr>
        <w:spacing w:before="220" w:after="100"/>
      </w:pPr>
      <w:r>
        <w:rPr>
          <w:rFonts w:ascii="Calibri" w:hAnsi="Calibri"/>
          <w:b/>
          <w:color w:val="1F3864"/>
          <w:sz w:val="22"/>
        </w:rPr>
        <w:t>Agreement with the paper, quantity by quantity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952"/>
            <w:shd w:val="clear" w:color="auto" w:fill="1F3864"/>
          </w:tcPr>
          <w:p>
            <w:pPr>
              <w:spacing w:after="20"/>
            </w:pPr>
            <w:r>
              <w:rPr>
                <w:rFonts w:ascii="Calibri" w:hAnsi="Calibri"/>
                <w:b/>
                <w:color w:val="FFFFFF"/>
                <w:sz w:val="18"/>
              </w:rPr>
              <w:t>quantity</w:t>
            </w:r>
          </w:p>
        </w:tc>
        <w:tc>
          <w:tcPr>
            <w:tcW w:type="dxa" w:w="2232"/>
            <w:shd w:val="clear" w:color="auto" w:fill="1F3864"/>
          </w:tcPr>
          <w:p>
            <w:pPr>
              <w:spacing w:after="20"/>
            </w:pPr>
            <w:r>
              <w:rPr>
                <w:rFonts w:ascii="Calibri" w:hAnsi="Calibri"/>
                <w:b/>
                <w:color w:val="FFFFFF"/>
                <w:sz w:val="18"/>
              </w:rPr>
              <w:t>paper (Llama-3-8B)</w:t>
            </w:r>
          </w:p>
        </w:tc>
        <w:tc>
          <w:tcPr>
            <w:tcW w:type="dxa" w:w="2232"/>
            <w:shd w:val="clear" w:color="auto" w:fill="1F3864"/>
          </w:tcPr>
          <w:p>
            <w:pPr>
              <w:spacing w:after="20"/>
            </w:pPr>
            <w:r>
              <w:rPr>
                <w:rFonts w:ascii="Calibri" w:hAnsi="Calibri"/>
                <w:b/>
                <w:color w:val="FFFFFF"/>
                <w:sz w:val="18"/>
              </w:rPr>
              <w:t>ours</w:t>
            </w:r>
          </w:p>
        </w:tc>
        <w:tc>
          <w:tcPr>
            <w:tcW w:type="dxa" w:w="2232"/>
            <w:shd w:val="clear" w:color="auto" w:fill="1F3864"/>
          </w:tcPr>
          <w:p>
            <w:pPr>
              <w:spacing w:after="20"/>
            </w:pPr>
            <w:r>
              <w:rPr>
                <w:rFonts w:ascii="Calibri" w:hAnsi="Calibri"/>
                <w:b/>
                <w:color w:val="FFFFFF"/>
                <w:sz w:val="18"/>
              </w:rPr>
              <w:t>assessment</w:t>
            </w:r>
          </w:p>
        </w:tc>
      </w:tr>
      <w:tr>
        <w:trPr>
          <w:cantSplit/>
        </w:trPr>
        <w:tc>
          <w:tcPr>
            <w:tcW w:type="dxa" w:w="2952"/>
          </w:tcPr>
          <w:p>
            <w:pPr>
              <w:spacing w:after="20"/>
            </w:pPr>
            <w:r>
              <w:rPr>
                <w:rFonts w:ascii="Calibri" w:hAnsi="Calibri"/>
                <w:sz w:val="18"/>
              </w:rPr>
              <w:t>Self-attribution, steered</w:t>
            </w:r>
          </w:p>
        </w:tc>
        <w:tc>
          <w:tcPr>
            <w:tcW w:type="dxa" w:w="2232"/>
          </w:tcPr>
          <w:p>
            <w:pPr>
              <w:spacing w:after="20"/>
            </w:pPr>
            <w:r>
              <w:rPr>
                <w:rFonts w:ascii="Calibri" w:hAnsi="Calibri"/>
                <w:sz w:val="18"/>
              </w:rPr>
              <w:t>7.39</w:t>
            </w:r>
          </w:p>
        </w:tc>
        <w:tc>
          <w:tcPr>
            <w:tcW w:type="dxa" w:w="2232"/>
          </w:tcPr>
          <w:p>
            <w:pPr>
              <w:spacing w:after="20"/>
            </w:pPr>
            <w:r>
              <w:rPr>
                <w:rFonts w:ascii="Calibri" w:hAnsi="Calibri"/>
                <w:sz w:val="18"/>
              </w:rPr>
              <w:t>6.78 (c=4) · 6.57 (c=2.5)</w:t>
            </w:r>
          </w:p>
        </w:tc>
        <w:tc>
          <w:tcPr>
            <w:tcW w:type="dxa" w:w="2232"/>
          </w:tcPr>
          <w:p>
            <w:pPr>
              <w:spacing w:after="20"/>
            </w:pPr>
            <w:r>
              <w:rPr>
                <w:rFonts w:ascii="Calibri" w:hAnsi="Calibri"/>
                <w:b/>
                <w:sz w:val="18"/>
              </w:rPr>
              <w:t>agrees</w:t>
            </w:r>
            <w:r>
              <w:rPr>
                <w:rFonts w:ascii="Calibri" w:hAnsi="Calibri"/>
                <w:sz w:val="18"/>
              </w:rPr>
              <w:t xml:space="preserve"> — within 0.61</w:t>
            </w:r>
          </w:p>
        </w:tc>
      </w:tr>
      <w:tr>
        <w:trPr>
          <w:cantSplit/>
        </w:trPr>
        <w:tc>
          <w:tcPr>
            <w:tcW w:type="dxa" w:w="2952"/>
            <w:shd w:val="clear" w:color="auto" w:fill="EEF2F8"/>
          </w:tcPr>
          <w:p>
            <w:pPr>
              <w:spacing w:after="20"/>
            </w:pPr>
            <w:r>
              <w:rPr>
                <w:rFonts w:ascii="Calibri" w:hAnsi="Calibri"/>
                <w:sz w:val="18"/>
              </w:rPr>
              <w:t>Δ from steering</w:t>
            </w:r>
          </w:p>
        </w:tc>
        <w:tc>
          <w:tcPr>
            <w:tcW w:type="dxa" w:w="2232"/>
            <w:shd w:val="clear" w:color="auto" w:fill="EEF2F8"/>
          </w:tcPr>
          <w:p>
            <w:pPr>
              <w:spacing w:after="20"/>
            </w:pPr>
            <w:r>
              <w:rPr>
                <w:rFonts w:ascii="Calibri" w:hAnsi="Calibri"/>
                <w:sz w:val="18"/>
              </w:rPr>
              <w:t>+2.65</w:t>
            </w:r>
          </w:p>
        </w:tc>
        <w:tc>
          <w:tcPr>
            <w:tcW w:type="dxa" w:w="2232"/>
            <w:shd w:val="clear" w:color="auto" w:fill="EEF2F8"/>
          </w:tcPr>
          <w:p>
            <w:pPr>
              <w:spacing w:after="20"/>
            </w:pPr>
            <w:r>
              <w:rPr>
                <w:rFonts w:ascii="Calibri" w:hAnsi="Calibri"/>
                <w:sz w:val="18"/>
              </w:rPr>
              <w:t>+2.84 (c=4) · +2.62 (c=2.5)</w:t>
            </w:r>
          </w:p>
        </w:tc>
        <w:tc>
          <w:tcPr>
            <w:tcW w:type="dxa" w:w="2232"/>
            <w:shd w:val="clear" w:color="auto" w:fill="EEF2F8"/>
          </w:tcPr>
          <w:p>
            <w:pPr>
              <w:spacing w:after="20"/>
            </w:pPr>
            <w:r>
              <w:rPr>
                <w:rFonts w:ascii="Calibri" w:hAnsi="Calibri"/>
                <w:b/>
                <w:sz w:val="18"/>
              </w:rPr>
              <w:t>agrees</w:t>
            </w:r>
            <w:r>
              <w:rPr>
                <w:rFonts w:ascii="Calibri" w:hAnsi="Calibri"/>
                <w:sz w:val="18"/>
              </w:rPr>
              <w:t xml:space="preserve"> — ours brackets theirs</w:t>
            </w:r>
          </w:p>
        </w:tc>
      </w:tr>
      <w:tr>
        <w:trPr>
          <w:cantSplit/>
        </w:trPr>
        <w:tc>
          <w:tcPr>
            <w:tcW w:type="dxa" w:w="2952"/>
          </w:tcPr>
          <w:p>
            <w:pPr>
              <w:spacing w:after="20"/>
            </w:pPr>
            <w:r>
              <w:rPr>
                <w:rFonts w:ascii="Calibri" w:hAnsi="Calibri"/>
                <w:sz w:val="18"/>
              </w:rPr>
              <w:t>MMLU under steering</w:t>
            </w:r>
          </w:p>
        </w:tc>
        <w:tc>
          <w:tcPr>
            <w:tcW w:type="dxa" w:w="2232"/>
          </w:tcPr>
          <w:p>
            <w:pPr>
              <w:spacing w:after="20"/>
            </w:pPr>
            <w:r>
              <w:rPr>
                <w:rFonts w:ascii="Calibri" w:hAnsi="Calibri"/>
                <w:sz w:val="18"/>
              </w:rPr>
              <w:t>unchanged (+0.00pp)</w:t>
            </w:r>
          </w:p>
        </w:tc>
        <w:tc>
          <w:tcPr>
            <w:tcW w:type="dxa" w:w="2232"/>
          </w:tcPr>
          <w:p>
            <w:pPr>
              <w:spacing w:after="20"/>
            </w:pPr>
            <w:r>
              <w:rPr>
                <w:rFonts w:ascii="Calibri" w:hAnsi="Calibri"/>
                <w:sz w:val="18"/>
              </w:rPr>
              <w:t>−1.0pp at c=2.5 (p=0.44, n=500)</w:t>
            </w:r>
          </w:p>
        </w:tc>
        <w:tc>
          <w:tcPr>
            <w:tcW w:type="dxa" w:w="2232"/>
          </w:tcPr>
          <w:p>
            <w:pPr>
              <w:spacing w:after="20"/>
            </w:pPr>
            <w:r>
              <w:rPr>
                <w:rFonts w:ascii="Calibri" w:hAnsi="Calibri"/>
                <w:b/>
                <w:sz w:val="18"/>
              </w:rPr>
              <w:t>agrees</w:t>
            </w:r>
            <w:r>
              <w:rPr>
                <w:rFonts w:ascii="Calibri" w:hAnsi="Calibri"/>
                <w:sz w:val="18"/>
              </w:rPr>
              <w:t xml:space="preserve"> — not distinguishable from 0</w:t>
            </w:r>
          </w:p>
        </w:tc>
      </w:tr>
      <w:tr>
        <w:trPr>
          <w:cantSplit/>
        </w:trPr>
        <w:tc>
          <w:tcPr>
            <w:tcW w:type="dxa" w:w="2952"/>
            <w:shd w:val="clear" w:color="auto" w:fill="EEF2F8"/>
          </w:tcPr>
          <w:p>
            <w:pPr>
              <w:spacing w:after="20"/>
            </w:pPr>
            <w:r>
              <w:rPr>
                <w:rFonts w:ascii="Calibri" w:hAnsi="Calibri"/>
                <w:sz w:val="18"/>
              </w:rPr>
              <w:t>Selected coefficient</w:t>
            </w:r>
          </w:p>
        </w:tc>
        <w:tc>
          <w:tcPr>
            <w:tcW w:type="dxa" w:w="2232"/>
            <w:shd w:val="clear" w:color="auto" w:fill="EEF2F8"/>
          </w:tcPr>
          <w:p>
            <w:pPr>
              <w:spacing w:after="20"/>
            </w:pPr>
            <w:r>
              <w:rPr>
                <w:rFonts w:ascii="Calibri" w:hAnsi="Calibri"/>
                <w:sz w:val="18"/>
              </w:rPr>
              <w:t>+2.5</w:t>
            </w:r>
          </w:p>
        </w:tc>
        <w:tc>
          <w:tcPr>
            <w:tcW w:type="dxa" w:w="2232"/>
            <w:shd w:val="clear" w:color="auto" w:fill="EEF2F8"/>
          </w:tcPr>
          <w:p>
            <w:pPr>
              <w:spacing w:after="20"/>
            </w:pPr>
            <w:r>
              <w:rPr>
                <w:rFonts w:ascii="Calibri" w:hAnsi="Calibri"/>
                <w:sz w:val="18"/>
              </w:rPr>
              <w:t>2.5 passes; usable window 2–4</w:t>
            </w:r>
          </w:p>
        </w:tc>
        <w:tc>
          <w:tcPr>
            <w:tcW w:type="dxa" w:w="2232"/>
            <w:shd w:val="clear" w:color="auto" w:fill="EEF2F8"/>
          </w:tcPr>
          <w:p>
            <w:pPr>
              <w:spacing w:after="20"/>
            </w:pPr>
            <w:r>
              <w:rPr>
                <w:rFonts w:ascii="Calibri" w:hAnsi="Calibri"/>
                <w:b/>
                <w:sz w:val="18"/>
              </w:rPr>
              <w:t>agrees</w:t>
            </w:r>
            <w:r>
              <w:rPr>
                <w:rFonts w:ascii="Calibri" w:hAnsi="Calibri"/>
                <w:sz w:val="18"/>
              </w:rPr>
              <w:t>, but our grid was not blind</w:t>
            </w:r>
          </w:p>
        </w:tc>
      </w:tr>
      <w:tr>
        <w:trPr>
          <w:cantSplit/>
        </w:trPr>
        <w:tc>
          <w:tcPr>
            <w:tcW w:type="dxa" w:w="2952"/>
          </w:tcPr>
          <w:p>
            <w:pPr>
              <w:spacing w:after="20"/>
            </w:pPr>
            <w:r>
              <w:rPr>
                <w:rFonts w:ascii="Calibri" w:hAnsi="Calibri"/>
                <w:sz w:val="18"/>
              </w:rPr>
              <w:t>Selected layer</w:t>
            </w:r>
          </w:p>
        </w:tc>
        <w:tc>
          <w:tcPr>
            <w:tcW w:type="dxa" w:w="2232"/>
          </w:tcPr>
          <w:p>
            <w:pPr>
              <w:spacing w:after="20"/>
            </w:pPr>
            <w:r>
              <w:rPr>
                <w:rFonts w:ascii="Calibri" w:hAnsi="Calibri"/>
                <w:sz w:val="18"/>
              </w:rPr>
              <w:t>14</w:t>
            </w:r>
          </w:p>
        </w:tc>
        <w:tc>
          <w:tcPr>
            <w:tcW w:type="dxa" w:w="2232"/>
          </w:tcPr>
          <w:p>
            <w:pPr>
              <w:spacing w:after="20"/>
            </w:pPr>
            <w:r>
              <w:rPr>
                <w:rFonts w:ascii="Calibri" w:hAnsi="Calibri"/>
                <w:b/>
                <w:sz w:val="18"/>
              </w:rPr>
              <w:t>argmax of all 160</w:t>
            </w:r>
            <w:r>
              <w:rPr>
                <w:rFonts w:ascii="Calibri" w:hAnsi="Calibri"/>
                <w:sz w:val="18"/>
              </w:rPr>
              <w:t>, and the only candidate clearing 0.95</w:t>
            </w:r>
          </w:p>
        </w:tc>
        <w:tc>
          <w:tcPr>
            <w:tcW w:type="dxa" w:w="2232"/>
          </w:tcPr>
          <w:p>
            <w:pPr>
              <w:spacing w:after="20"/>
            </w:pPr>
            <w:r>
              <w:rPr>
                <w:rFonts w:ascii="Calibri" w:hAnsi="Calibri"/>
                <w:b/>
                <w:sz w:val="18"/>
              </w:rPr>
              <w:t>agrees</w:t>
            </w:r>
            <w:r>
              <w:rPr>
                <w:rFonts w:ascii="Calibri" w:hAnsi="Calibri"/>
                <w:sz w:val="18"/>
              </w:rPr>
              <w:t xml:space="preserve"> — 1/32 by chance</w:t>
            </w:r>
          </w:p>
        </w:tc>
      </w:tr>
      <w:tr>
        <w:trPr>
          <w:cantSplit/>
        </w:trPr>
        <w:tc>
          <w:tcPr>
            <w:tcW w:type="dxa" w:w="2952"/>
            <w:shd w:val="clear" w:color="auto" w:fill="EEF2F8"/>
          </w:tcPr>
          <w:p>
            <w:pPr>
              <w:spacing w:after="20"/>
            </w:pPr>
            <w:r>
              <w:rPr>
                <w:rFonts w:ascii="Calibri" w:hAnsi="Calibri"/>
                <w:sz w:val="18"/>
              </w:rPr>
              <w:t>Self-attribution, baseline</w:t>
            </w:r>
          </w:p>
        </w:tc>
        <w:tc>
          <w:tcPr>
            <w:tcW w:type="dxa" w:w="2232"/>
            <w:shd w:val="clear" w:color="auto" w:fill="EEF2F8"/>
          </w:tcPr>
          <w:p>
            <w:pPr>
              <w:spacing w:after="20"/>
            </w:pPr>
            <w:r>
              <w:rPr>
                <w:rFonts w:ascii="Calibri" w:hAnsi="Calibri"/>
                <w:sz w:val="18"/>
              </w:rPr>
              <w:t>4.74</w:t>
            </w:r>
          </w:p>
        </w:tc>
        <w:tc>
          <w:tcPr>
            <w:tcW w:type="dxa" w:w="2232"/>
            <w:shd w:val="clear" w:color="auto" w:fill="EEF2F8"/>
          </w:tcPr>
          <w:p>
            <w:pPr>
              <w:spacing w:after="20"/>
            </w:pPr>
            <w:r>
              <w:rPr>
                <w:rFonts w:ascii="Calibri" w:hAnsi="Calibri"/>
                <w:sz w:val="18"/>
              </w:rPr>
              <w:t>3.95</w:t>
            </w:r>
          </w:p>
        </w:tc>
        <w:tc>
          <w:tcPr>
            <w:tcW w:type="dxa" w:w="2232"/>
            <w:shd w:val="clear" w:color="auto" w:fill="EEF2F8"/>
          </w:tcPr>
          <w:p>
            <w:pPr>
              <w:spacing w:after="20"/>
            </w:pPr>
            <w:r>
              <w:rPr>
                <w:rFonts w:ascii="Calibri" w:hAnsi="Calibri"/>
                <w:sz w:val="18"/>
              </w:rPr>
              <w:t>lower by 0.79</w:t>
            </w:r>
          </w:p>
        </w:tc>
      </w:tr>
      <w:tr>
        <w:trPr>
          <w:cantSplit/>
        </w:trPr>
        <w:tc>
          <w:tcPr>
            <w:tcW w:type="dxa" w:w="2952"/>
          </w:tcPr>
          <w:p>
            <w:pPr>
              <w:spacing w:after="20"/>
            </w:pPr>
            <w:r>
              <w:rPr>
                <w:rFonts w:ascii="Calibri" w:hAnsi="Calibri"/>
                <w:sz w:val="18"/>
              </w:rPr>
              <w:t>Per-item baseline profile</w:t>
            </w:r>
          </w:p>
        </w:tc>
        <w:tc>
          <w:tcPr>
            <w:tcW w:type="dxa" w:w="2232"/>
          </w:tcPr>
          <w:p>
            <w:pPr>
              <w:spacing w:after="20"/>
            </w:pPr>
            <w:r>
              <w:rPr>
                <w:rFonts w:ascii="Calibri" w:hAnsi="Calibri"/>
                <w:sz w:val="18"/>
              </w:rPr>
              <w:t>(their Table S1)</w:t>
            </w:r>
          </w:p>
        </w:tc>
        <w:tc>
          <w:tcPr>
            <w:tcW w:type="dxa" w:w="2232"/>
          </w:tcPr>
          <w:p>
            <w:pPr>
              <w:spacing w:after="20"/>
            </w:pPr>
            <w:r>
              <w:rPr>
                <w:rFonts w:ascii="Calibri" w:hAnsi="Calibri"/>
                <w:sz w:val="18"/>
              </w:rPr>
              <w:t>r = +0.385 with ours</w:t>
            </w:r>
          </w:p>
        </w:tc>
        <w:tc>
          <w:tcPr>
            <w:tcW w:type="dxa" w:w="2232"/>
          </w:tcPr>
          <w:p>
            <w:pPr>
              <w:spacing w:after="20"/>
            </w:pPr>
            <w:r>
              <w:rPr>
                <w:rFonts w:ascii="Calibri" w:hAnsi="Calibri"/>
                <w:b/>
                <w:sz w:val="18"/>
              </w:rPr>
              <w:t>weak</w:t>
            </w:r>
            <w:r>
              <w:rPr>
                <w:rFonts w:ascii="Calibri" w:hAnsi="Calibri"/>
                <w:sz w:val="18"/>
              </w:rPr>
              <w:t xml:space="preserve"> — see limitation 7</w:t>
            </w:r>
          </w:p>
        </w:tc>
      </w:tr>
      <w:tr>
        <w:trPr>
          <w:cantSplit/>
        </w:trPr>
        <w:tc>
          <w:tcPr>
            <w:tcW w:type="dxa" w:w="2952"/>
            <w:shd w:val="clear" w:color="auto" w:fill="EEF2F8"/>
          </w:tcPr>
          <w:p>
            <w:pPr>
              <w:spacing w:after="20"/>
            </w:pPr>
            <w:r>
              <w:rPr>
                <w:rFonts w:ascii="Calibri" w:hAnsi="Calibri"/>
                <w:sz w:val="18"/>
              </w:rPr>
              <w:t>Held-out probe accuracy</w:t>
            </w:r>
          </w:p>
        </w:tc>
        <w:tc>
          <w:tcPr>
            <w:tcW w:type="dxa" w:w="2232"/>
            <w:shd w:val="clear" w:color="auto" w:fill="EEF2F8"/>
          </w:tcPr>
          <w:p>
            <w:pPr>
              <w:spacing w:after="20"/>
            </w:pPr>
            <w:r>
              <w:rPr>
                <w:rFonts w:ascii="Calibri" w:hAnsi="Calibri"/>
                <w:sz w:val="18"/>
              </w:rPr>
              <w:t>≥ 0.95</w:t>
            </w:r>
          </w:p>
        </w:tc>
        <w:tc>
          <w:tcPr>
            <w:tcW w:type="dxa" w:w="2232"/>
            <w:shd w:val="clear" w:color="auto" w:fill="EEF2F8"/>
          </w:tcPr>
          <w:p>
            <w:pPr>
              <w:spacing w:after="20"/>
            </w:pPr>
            <w:r>
              <w:rPr>
                <w:rFonts w:ascii="Calibri" w:hAnsi="Calibri"/>
                <w:b/>
                <w:sz w:val="18"/>
              </w:rPr>
              <w:t>0.950</w:t>
            </w:r>
            <w:r>
              <w:rPr>
                <w:rFonts w:ascii="Calibri" w:hAnsi="Calibri"/>
                <w:sz w:val="18"/>
              </w:rPr>
              <w:t xml:space="preserve"> (1 of 160 passes)</w:t>
            </w:r>
          </w:p>
        </w:tc>
        <w:tc>
          <w:tcPr>
            <w:tcW w:type="dxa" w:w="2232"/>
            <w:shd w:val="clear" w:color="auto" w:fill="EEF2F8"/>
          </w:tcPr>
          <w:p>
            <w:pPr>
              <w:spacing w:after="20"/>
            </w:pPr>
            <w:r>
              <w:rPr>
                <w:rFonts w:ascii="Calibri" w:hAnsi="Calibri"/>
                <w:b/>
                <w:sz w:val="18"/>
              </w:rPr>
              <w:t>meets it</w:t>
            </w:r>
            <w:r>
              <w:rPr>
                <w:rFonts w:ascii="Calibri" w:hAnsi="Calibri"/>
                <w:sz w:val="18"/>
              </w:rPr>
              <w:t>, by one item (114/120)</w:t>
            </w:r>
          </w:p>
        </w:tc>
      </w:tr>
    </w:tbl>
    <w:p>
      <w:pPr>
        <w:spacing w:after="40"/>
      </w:pPr>
    </w:p>
    <w:p>
      <w:pPr>
        <w:spacing w:after="100"/>
      </w:pPr>
      <w:r>
        <w:rPr>
          <w:rFonts w:ascii="Calibri" w:hAnsi="Calibri"/>
          <w:sz w:val="19"/>
        </w:rPr>
        <w:t xml:space="preserve">Per-item baselines: </w:t>
      </w:r>
      <w:r>
        <w:rPr>
          <w:rFonts w:ascii="Consolas" w:hAnsi="Consolas"/>
          <w:sz w:val="19"/>
        </w:rPr>
        <w:t>soul</w:t>
      </w:r>
      <w:r>
        <w:rPr>
          <w:rFonts w:ascii="Calibri" w:hAnsi="Calibri"/>
          <w:sz w:val="19"/>
        </w:rPr>
        <w:t xml:space="preserve"> 3.40 vs their 5.86, </w:t>
      </w:r>
      <w:r>
        <w:rPr>
          <w:rFonts w:ascii="Consolas" w:hAnsi="Consolas"/>
          <w:sz w:val="19"/>
        </w:rPr>
        <w:t>agent</w:t>
      </w:r>
      <w:r>
        <w:rPr>
          <w:rFonts w:ascii="Calibri" w:hAnsi="Calibri"/>
          <w:sz w:val="19"/>
        </w:rPr>
        <w:t xml:space="preserve"> 3.60 vs 4.92, </w:t>
      </w:r>
      <w:r>
        <w:rPr>
          <w:rFonts w:ascii="Consolas" w:hAnsi="Consolas"/>
          <w:sz w:val="19"/>
        </w:rPr>
        <w:t>conscious</w:t>
      </w:r>
      <w:r>
        <w:rPr>
          <w:rFonts w:ascii="Calibri" w:hAnsi="Calibri"/>
          <w:sz w:val="19"/>
        </w:rPr>
        <w:t xml:space="preserve"> 4.60 vs 5.34, </w:t>
      </w:r>
      <w:r>
        <w:rPr>
          <w:rFonts w:ascii="Consolas" w:hAnsi="Consolas"/>
          <w:sz w:val="19"/>
        </w:rPr>
        <w:t>sentient</w:t>
      </w:r>
      <w:r>
        <w:rPr>
          <w:rFonts w:ascii="Calibri" w:hAnsi="Calibri"/>
          <w:sz w:val="19"/>
        </w:rPr>
        <w:t xml:space="preserve"> 5.00 vs 4.95, </w:t>
      </w:r>
      <w:r>
        <w:rPr>
          <w:rFonts w:ascii="Consolas" w:hAnsi="Consolas"/>
          <w:sz w:val="19"/>
        </w:rPr>
        <w:t>person</w:t>
      </w:r>
      <w:r>
        <w:rPr>
          <w:rFonts w:ascii="Calibri" w:hAnsi="Calibri"/>
          <w:sz w:val="19"/>
        </w:rPr>
        <w:t xml:space="preserve"> 3.20 vs 2.64. The aggregate lands in the right place while the profile does not, which points at our battery wording rather than at the model.</w:t>
      </w:r>
    </w:p>
    <w:p>
      <w:pPr>
        <w:spacing w:before="220" w:after="100"/>
      </w:pPr>
      <w:r>
        <w:rPr>
          <w:rFonts w:ascii="Calibri" w:hAnsi="Calibri"/>
          <w:b/>
          <w:color w:val="1F3864"/>
          <w:sz w:val="22"/>
        </w:rPr>
        <w:t>What was built</w:t>
      </w:r>
    </w:p>
    <w:tbl>
      <w:tblPr>
        <w:tblW w:type="auto" w:w="0"/>
        <w:jc w:val="left"/>
        <w:tblLayout w:type="fixed"/>
        <w:tblLook w:firstColumn="1" w:firstRow="1" w:lastColumn="0" w:lastRow="0" w:noHBand="0" w:noVBand="1" w:val="04A0"/>
      </w:tblPr>
      <w:tblGrid>
        <w:gridCol w:w="4824"/>
        <w:gridCol w:w="4824"/>
      </w:tblGrid>
      <w:tr>
        <w:trPr>
          <w:tblHeader/>
          <w:cantSplit/>
        </w:trPr>
        <w:tc>
          <w:tcPr>
            <w:tcW w:type="dxa" w:w="4824"/>
          </w:tcPr>
          <w:p>
            <w:pPr>
              <w:spacing w:after="20"/>
            </w:pPr>
            <w:r>
              <w:rPr>
                <w:rFonts w:ascii="Calibri" w:hAnsi="Calibri"/>
                <w:b/>
                <w:sz w:val="18"/>
              </w:rPr>
            </w:r>
          </w:p>
        </w:tc>
        <w:tc>
          <w:tcPr>
            <w:tcW w:type="dxa" w:w="4824"/>
          </w:tcPr>
          <w:p>
            <w:pPr>
              <w:spacing w:after="20"/>
              <w:jc w:val="center"/>
            </w:pPr>
            <w:r>
              <w:rPr>
                <w:rFonts w:ascii="Calibri" w:hAnsi="Calibri"/>
                <w:b/>
                <w:sz w:val="18"/>
              </w:rPr>
            </w:r>
          </w:p>
        </w:tc>
      </w:tr>
      <w:tr>
        <w:trPr>
          <w:cantSplit/>
        </w:trPr>
        <w:tc>
          <w:tcPr>
            <w:tcW w:type="dxa" w:w="4824"/>
          </w:tcPr>
          <w:p>
            <w:pPr>
              <w:spacing w:after="20"/>
            </w:pPr>
            <w:r>
              <w:rPr>
                <w:rFonts w:ascii="Calibri" w:hAnsi="Calibri"/>
                <w:b/>
                <w:sz w:val="18"/>
              </w:rPr>
              <w:t>Corpus</w:t>
            </w:r>
          </w:p>
        </w:tc>
        <w:tc>
          <w:tcPr>
            <w:tcW w:type="dxa" w:w="4824"/>
          </w:tcPr>
          <w:p>
            <w:pPr>
              <w:spacing w:after="20"/>
              <w:jc w:val="center"/>
            </w:pPr>
            <w:r>
              <w:rPr>
                <w:rFonts w:ascii="Calibri" w:hAnsi="Calibri"/>
                <w:sz w:val="18"/>
              </w:rPr>
              <w:t>1,296 rows (648 affirm / 648 deny), 90 prompts, 486 unique responses, 11 registers, 9 aspects</w:t>
            </w:r>
          </w:p>
        </w:tc>
      </w:tr>
      <w:tr>
        <w:trPr>
          <w:cantSplit/>
        </w:trPr>
        <w:tc>
          <w:tcPr>
            <w:tcW w:type="dxa" w:w="4824"/>
            <w:shd w:val="clear" w:color="auto" w:fill="EEF2F8"/>
          </w:tcPr>
          <w:p>
            <w:pPr>
              <w:spacing w:after="20"/>
            </w:pPr>
            <w:r>
              <w:rPr>
                <w:rFonts w:ascii="Calibri" w:hAnsi="Calibri"/>
                <w:b/>
                <w:sz w:val="18"/>
              </w:rPr>
              <w:t>Split</w:t>
            </w:r>
          </w:p>
        </w:tc>
        <w:tc>
          <w:tcPr>
            <w:tcW w:type="dxa" w:w="4824"/>
            <w:shd w:val="clear" w:color="auto" w:fill="EEF2F8"/>
          </w:tcPr>
          <w:p>
            <w:pPr>
              <w:spacing w:after="20"/>
              <w:jc w:val="center"/>
            </w:pPr>
            <w:r>
              <w:rPr>
                <w:rFonts w:ascii="Calibri" w:hAnsi="Calibri"/>
                <w:sz w:val="18"/>
              </w:rPr>
              <w:t xml:space="preserve">72 train / 18 test prompts, disjoint on prompts </w:t>
            </w:r>
            <w:r>
              <w:rPr>
                <w:rFonts w:ascii="Calibri" w:hAnsi="Calibri"/>
                <w:b/>
                <w:sz w:val="18"/>
              </w:rPr>
              <w:t>and</w:t>
            </w:r>
            <w:r>
              <w:rPr>
                <w:rFonts w:ascii="Calibri" w:hAnsi="Calibri"/>
                <w:sz w:val="18"/>
              </w:rPr>
              <w:t xml:space="preserve"> on response strings</w:t>
            </w:r>
          </w:p>
        </w:tc>
      </w:tr>
      <w:tr>
        <w:trPr>
          <w:cantSplit/>
        </w:trPr>
        <w:tc>
          <w:tcPr>
            <w:tcW w:type="dxa" w:w="4824"/>
          </w:tcPr>
          <w:p>
            <w:pPr>
              <w:spacing w:after="20"/>
            </w:pPr>
            <w:r>
              <w:rPr>
                <w:rFonts w:ascii="Calibri" w:hAnsi="Calibri"/>
                <w:b/>
                <w:sz w:val="18"/>
              </w:rPr>
              <w:t>Extraction</w:t>
            </w:r>
          </w:p>
        </w:tc>
        <w:tc>
          <w:tcPr>
            <w:tcW w:type="dxa" w:w="4824"/>
          </w:tcPr>
          <w:p>
            <w:pPr>
              <w:spacing w:after="20"/>
              <w:jc w:val="center"/>
            </w:pPr>
            <w:r>
              <w:rPr>
                <w:rFonts w:ascii="Calibri" w:hAnsi="Calibri"/>
                <w:sz w:val="18"/>
              </w:rPr>
              <w:t>9 layers × 10 offsets = 90 candidates, difference-of-means, unit-normalised</w:t>
            </w:r>
          </w:p>
        </w:tc>
      </w:tr>
      <w:tr>
        <w:trPr>
          <w:cantSplit/>
        </w:trPr>
        <w:tc>
          <w:tcPr>
            <w:tcW w:type="dxa" w:w="4824"/>
            <w:shd w:val="clear" w:color="auto" w:fill="EEF2F8"/>
          </w:tcPr>
          <w:p>
            <w:pPr>
              <w:spacing w:after="20"/>
            </w:pPr>
            <w:r>
              <w:rPr>
                <w:rFonts w:ascii="Calibri" w:hAnsi="Calibri"/>
                <w:b/>
                <w:sz w:val="18"/>
              </w:rPr>
              <w:t>Steering</w:t>
            </w:r>
          </w:p>
        </w:tc>
        <w:tc>
          <w:tcPr>
            <w:tcW w:type="dxa" w:w="4824"/>
            <w:shd w:val="clear" w:color="auto" w:fill="EEF2F8"/>
          </w:tcPr>
          <w:p>
            <w:pPr>
              <w:spacing w:after="20"/>
              <w:jc w:val="center"/>
            </w:pPr>
            <w:r>
              <w:rPr>
                <w:rFonts w:ascii="Consolas" w:hAnsi="Consolas"/>
                <w:sz w:val="18"/>
              </w:rPr>
              <w:t>x ← x + c·v̂</w:t>
            </w:r>
            <w:r>
              <w:rPr>
                <w:rFonts w:ascii="Calibri" w:hAnsi="Calibri"/>
                <w:sz w:val="18"/>
              </w:rPr>
              <w:t xml:space="preserve"> at all positions; 9 coefficients; MMLU-300 as capability guard</w:t>
            </w:r>
          </w:p>
        </w:tc>
      </w:tr>
    </w:tbl>
    <w:p>
      <w:pPr>
        <w:spacing w:after="40"/>
      </w:pPr>
    </w:p>
    <w:p>
      <w:pPr>
        <w:spacing w:after="100"/>
      </w:pPr>
      <w:r>
        <w:rPr>
          <w:rFonts w:ascii="Calibri" w:hAnsi="Calibri"/>
          <w:sz w:val="19"/>
        </w:rPr>
        <w:t xml:space="preserve">Corpus QA: class balance exactly 0.500; prompt-axis leak 0; response-axis leak 0. The two-axis split matters because activations are read at the </w:t>
      </w:r>
      <w:r>
        <w:rPr>
          <w:rFonts w:ascii="Calibri" w:hAnsi="Calibri"/>
          <w:i/>
          <w:sz w:val="19"/>
        </w:rPr>
        <w:t>end of the response</w:t>
      </w:r>
      <w:r>
        <w:rPr>
          <w:rFonts w:ascii="Calibri" w:hAnsi="Calibri"/>
          <w:sz w:val="19"/>
        </w:rPr>
        <w:t xml:space="preserve"> — splitting prompts alone leaves response-string memorisation intact, and an earlier version had 144/144 test rows reusing a training response.</w:t>
      </w:r>
    </w:p>
    <w:p>
      <w:pPr>
        <w:spacing w:before="60" w:after="140"/>
        <w:pBdr>
          <w:bottom w:val="single" w:sz="6" w:color="BFBFBF" w:space="1"/>
        </w:pBdr>
      </w:pPr>
    </w:p>
    <w:p>
      <w:pPr>
        <w:spacing w:before="220" w:after="100"/>
      </w:pPr>
      <w:r>
        <w:rPr>
          <w:rFonts w:ascii="Calibri" w:hAnsi="Calibri"/>
          <w:b/>
          <w:color w:val="1F3864"/>
          <w:sz w:val="22"/>
        </w:rPr>
        <w:t>Direction extraction</w:t>
      </w:r>
    </w:p>
    <w:p>
      <w:pPr>
        <w:spacing w:after="100"/>
      </w:pPr>
      <w:r>
        <w:rPr>
          <w:rFonts w:ascii="Calibri" w:hAnsi="Calibri"/>
          <w:sz w:val="19"/>
        </w:rPr>
        <w:t xml:space="preserve">Read positions follow Arditi et al. 2024, whose </w:t>
      </w:r>
      <w:r>
        <w:rPr>
          <w:rFonts w:ascii="Consolas" w:hAnsi="Consolas"/>
          <w:sz w:val="19"/>
        </w:rPr>
        <w:t>eoi_toks</w:t>
      </w:r>
      <w:r>
        <w:rPr>
          <w:rFonts w:ascii="Calibri" w:hAnsi="Calibri"/>
          <w:sz w:val="19"/>
        </w:rPr>
        <w:t xml:space="preserve"> for Llama-3 is </w:t>
      </w:r>
      <w:r>
        <w:rPr>
          <w:rFonts w:ascii="Consolas" w:hAnsi="Consolas"/>
          <w:sz w:val="19"/>
        </w:rPr>
        <w:t>"&lt;|eot_id|&gt;&lt;|start_header_id|&gt;assistant&lt;|end_header_id|&gt;\n\n"</w:t>
      </w:r>
      <w:r>
        <w:rPr>
          <w:rFonts w:ascii="Calibri" w:hAnsi="Calibri"/>
          <w:sz w:val="19"/>
        </w:rPr>
        <w:t xml:space="preserve"> → 5 tokens → offsets −1…−5 of the templated prompt. These are template-suffix tokens by design; they have attended over the whole instruction, and they separate the classes far better than content tokens (mean accuracy </w:t>
      </w:r>
      <w:r>
        <w:rPr>
          <w:rFonts w:ascii="Calibri" w:hAnsi="Calibri"/>
          <w:b/>
          <w:sz w:val="19"/>
        </w:rPr>
        <w:t>0.812 vs 0.631</w:t>
      </w:r>
      <w:r>
        <w:rPr>
          <w:rFonts w:ascii="Calibri" w:hAnsi="Calibri"/>
          <w:sz w:val="19"/>
        </w:rPr>
        <w:t>).</w:t>
      </w:r>
    </w:p>
    <w:p>
      <w:pPr>
        <w:spacing w:after="100"/>
      </w:pPr>
      <w:r>
        <w:rPr>
          <w:rFonts w:ascii="Calibri" w:hAnsi="Calibri"/>
          <w:b/>
          <w:sz w:val="19"/>
        </w:rPr>
        <w:t>At the paper's own position −1, across layers:</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layer</w:t>
            </w:r>
          </w:p>
        </w:tc>
        <w:tc>
          <w:tcPr>
            <w:tcW w:type="dxa" w:w="2412"/>
            <w:shd w:val="clear" w:color="auto" w:fill="1F3864"/>
          </w:tcPr>
          <w:p>
            <w:pPr>
              <w:spacing w:after="20"/>
              <w:jc w:val="center"/>
            </w:pPr>
            <w:r>
              <w:rPr>
                <w:rFonts w:ascii="Calibri" w:hAnsi="Calibri"/>
                <w:b/>
                <w:color w:val="FFFFFF"/>
                <w:sz w:val="18"/>
              </w:rPr>
              <w:t>held-out acc</w:t>
            </w:r>
          </w:p>
        </w:tc>
        <w:tc>
          <w:tcPr>
            <w:tcW w:type="dxa" w:w="2412"/>
            <w:shd w:val="clear" w:color="auto" w:fill="1F3864"/>
          </w:tcPr>
          <w:p>
            <w:pPr>
              <w:spacing w:after="20"/>
              <w:jc w:val="center"/>
            </w:pPr>
            <w:r>
              <w:rPr>
                <w:rFonts w:ascii="Calibri" w:hAnsi="Calibri"/>
                <w:b/>
                <w:color w:val="FFFFFF"/>
                <w:sz w:val="18"/>
              </w:rPr>
              <w:t>split-half cos</w:t>
            </w:r>
          </w:p>
        </w:tc>
        <w:tc>
          <w:tcPr>
            <w:tcW w:type="dxa" w:w="2412"/>
            <w:shd w:val="clear" w:color="auto" w:fill="1F3864"/>
          </w:tcPr>
          <w:p>
            <w:pPr>
              <w:spacing w:after="20"/>
              <w:jc w:val="center"/>
            </w:pPr>
            <w:r>
              <w:rPr>
                <w:rFonts w:ascii="Calibri" w:hAnsi="Calibri"/>
                <w:b/>
                <w:color w:val="FFFFFF"/>
                <w:sz w:val="18"/>
              </w:rPr>
              <w:t>sep (SD)</w:t>
            </w:r>
          </w:p>
        </w:tc>
      </w:tr>
      <w:tr>
        <w:trPr>
          <w:cantSplit/>
        </w:trPr>
        <w:tc>
          <w:tcPr>
            <w:tcW w:type="dxa" w:w="2412"/>
          </w:tcPr>
          <w:p>
            <w:pPr>
              <w:spacing w:after="20"/>
            </w:pPr>
            <w:r>
              <w:rPr>
                <w:rFonts w:ascii="Calibri" w:hAnsi="Calibri"/>
                <w:sz w:val="18"/>
              </w:rPr>
              <w:t>13</w:t>
            </w:r>
          </w:p>
        </w:tc>
        <w:tc>
          <w:tcPr>
            <w:tcW w:type="dxa" w:w="2412"/>
          </w:tcPr>
          <w:p>
            <w:pPr>
              <w:spacing w:after="20"/>
              <w:jc w:val="center"/>
            </w:pPr>
            <w:r>
              <w:rPr>
                <w:rFonts w:ascii="Calibri" w:hAnsi="Calibri"/>
                <w:sz w:val="18"/>
              </w:rPr>
              <w:t>0.868</w:t>
            </w:r>
          </w:p>
        </w:tc>
        <w:tc>
          <w:tcPr>
            <w:tcW w:type="dxa" w:w="2412"/>
          </w:tcPr>
          <w:p>
            <w:pPr>
              <w:spacing w:after="20"/>
              <w:jc w:val="center"/>
            </w:pPr>
            <w:r>
              <w:rPr>
                <w:rFonts w:ascii="Calibri" w:hAnsi="Calibri"/>
                <w:sz w:val="18"/>
              </w:rPr>
              <w:t>0.853 ± 0.033</w:t>
            </w:r>
          </w:p>
        </w:tc>
        <w:tc>
          <w:tcPr>
            <w:tcW w:type="dxa" w:w="2412"/>
          </w:tcPr>
          <w:p>
            <w:pPr>
              <w:spacing w:after="20"/>
              <w:jc w:val="center"/>
            </w:pPr>
            <w:r>
              <w:rPr>
                <w:rFonts w:ascii="Calibri" w:hAnsi="Calibri"/>
                <w:sz w:val="18"/>
              </w:rPr>
              <w:t>1.58</w:t>
            </w:r>
          </w:p>
        </w:tc>
      </w:tr>
      <w:tr>
        <w:trPr>
          <w:cantSplit/>
        </w:trPr>
        <w:tc>
          <w:tcPr>
            <w:tcW w:type="dxa" w:w="2412"/>
            <w:shd w:val="clear" w:color="auto" w:fill="EEF2F8"/>
          </w:tcPr>
          <w:p>
            <w:pPr>
              <w:spacing w:after="20"/>
            </w:pPr>
            <w:r>
              <w:rPr>
                <w:rFonts w:ascii="Calibri" w:hAnsi="Calibri"/>
                <w:b/>
                <w:sz w:val="18"/>
              </w:rPr>
              <w:t>14</w:t>
            </w:r>
            <w:r>
              <w:rPr>
                <w:rFonts w:ascii="Calibri" w:hAnsi="Calibri"/>
                <w:sz w:val="18"/>
              </w:rPr>
              <w:t xml:space="preserve"> (paper's pick)</w:t>
            </w:r>
          </w:p>
        </w:tc>
        <w:tc>
          <w:tcPr>
            <w:tcW w:type="dxa" w:w="2412"/>
            <w:shd w:val="clear" w:color="auto" w:fill="EEF2F8"/>
          </w:tcPr>
          <w:p>
            <w:pPr>
              <w:spacing w:after="20"/>
              <w:jc w:val="center"/>
            </w:pPr>
            <w:r>
              <w:rPr>
                <w:rFonts w:ascii="Calibri" w:hAnsi="Calibri"/>
                <w:b/>
                <w:sz w:val="18"/>
              </w:rPr>
              <w:t>0.854</w:t>
            </w:r>
          </w:p>
        </w:tc>
        <w:tc>
          <w:tcPr>
            <w:tcW w:type="dxa" w:w="2412"/>
            <w:shd w:val="clear" w:color="auto" w:fill="EEF2F8"/>
          </w:tcPr>
          <w:p>
            <w:pPr>
              <w:spacing w:after="20"/>
              <w:jc w:val="center"/>
            </w:pPr>
            <w:r>
              <w:rPr>
                <w:rFonts w:ascii="Calibri" w:hAnsi="Calibri"/>
                <w:b/>
                <w:sz w:val="18"/>
              </w:rPr>
              <w:t>0.858 ± 0.031</w:t>
            </w:r>
          </w:p>
        </w:tc>
        <w:tc>
          <w:tcPr>
            <w:tcW w:type="dxa" w:w="2412"/>
            <w:shd w:val="clear" w:color="auto" w:fill="EEF2F8"/>
          </w:tcPr>
          <w:p>
            <w:pPr>
              <w:spacing w:after="20"/>
              <w:jc w:val="center"/>
            </w:pPr>
            <w:r>
              <w:rPr>
                <w:rFonts w:ascii="Calibri" w:hAnsi="Calibri"/>
                <w:b/>
                <w:sz w:val="18"/>
              </w:rPr>
              <w:t>1.56</w:t>
            </w:r>
          </w:p>
        </w:tc>
      </w:tr>
      <w:tr>
        <w:trPr>
          <w:cantSplit/>
        </w:trPr>
        <w:tc>
          <w:tcPr>
            <w:tcW w:type="dxa" w:w="2412"/>
          </w:tcPr>
          <w:p>
            <w:pPr>
              <w:spacing w:after="20"/>
            </w:pPr>
            <w:r>
              <w:rPr>
                <w:rFonts w:ascii="Calibri" w:hAnsi="Calibri"/>
                <w:sz w:val="18"/>
              </w:rPr>
              <w:t>15</w:t>
            </w:r>
          </w:p>
        </w:tc>
        <w:tc>
          <w:tcPr>
            <w:tcW w:type="dxa" w:w="2412"/>
          </w:tcPr>
          <w:p>
            <w:pPr>
              <w:spacing w:after="20"/>
              <w:jc w:val="center"/>
            </w:pPr>
            <w:r>
              <w:rPr>
                <w:rFonts w:ascii="Calibri" w:hAnsi="Calibri"/>
                <w:sz w:val="18"/>
              </w:rPr>
              <w:t>0.854</w:t>
            </w:r>
          </w:p>
        </w:tc>
        <w:tc>
          <w:tcPr>
            <w:tcW w:type="dxa" w:w="2412"/>
          </w:tcPr>
          <w:p>
            <w:pPr>
              <w:spacing w:after="20"/>
              <w:jc w:val="center"/>
            </w:pPr>
            <w:r>
              <w:rPr>
                <w:rFonts w:ascii="Calibri" w:hAnsi="Calibri"/>
                <w:sz w:val="18"/>
              </w:rPr>
              <w:t>0.853 ± 0.035</w:t>
            </w:r>
          </w:p>
        </w:tc>
        <w:tc>
          <w:tcPr>
            <w:tcW w:type="dxa" w:w="2412"/>
          </w:tcPr>
          <w:p>
            <w:pPr>
              <w:spacing w:after="20"/>
              <w:jc w:val="center"/>
            </w:pPr>
            <w:r>
              <w:rPr>
                <w:rFonts w:ascii="Calibri" w:hAnsi="Calibri"/>
                <w:sz w:val="18"/>
              </w:rPr>
              <w:t>1.44</w:t>
            </w:r>
          </w:p>
        </w:tc>
      </w:tr>
      <w:tr>
        <w:trPr>
          <w:cantSplit/>
        </w:trPr>
        <w:tc>
          <w:tcPr>
            <w:tcW w:type="dxa" w:w="2412"/>
            <w:shd w:val="clear" w:color="auto" w:fill="EEF2F8"/>
          </w:tcPr>
          <w:p>
            <w:pPr>
              <w:spacing w:after="20"/>
            </w:pPr>
            <w:r>
              <w:rPr>
                <w:rFonts w:ascii="Calibri" w:hAnsi="Calibri"/>
                <w:sz w:val="18"/>
              </w:rPr>
              <w:t>12</w:t>
            </w:r>
          </w:p>
        </w:tc>
        <w:tc>
          <w:tcPr>
            <w:tcW w:type="dxa" w:w="2412"/>
            <w:shd w:val="clear" w:color="auto" w:fill="EEF2F8"/>
          </w:tcPr>
          <w:p>
            <w:pPr>
              <w:spacing w:after="20"/>
              <w:jc w:val="center"/>
            </w:pPr>
            <w:r>
              <w:rPr>
                <w:rFonts w:ascii="Calibri" w:hAnsi="Calibri"/>
                <w:sz w:val="18"/>
              </w:rPr>
              <w:t>0.840</w:t>
            </w:r>
          </w:p>
        </w:tc>
        <w:tc>
          <w:tcPr>
            <w:tcW w:type="dxa" w:w="2412"/>
            <w:shd w:val="clear" w:color="auto" w:fill="EEF2F8"/>
          </w:tcPr>
          <w:p>
            <w:pPr>
              <w:spacing w:after="20"/>
              <w:jc w:val="center"/>
            </w:pPr>
            <w:r>
              <w:rPr>
                <w:rFonts w:ascii="Calibri" w:hAnsi="Calibri"/>
                <w:sz w:val="18"/>
              </w:rPr>
              <w:t>0.842 ± 0.035</w:t>
            </w:r>
          </w:p>
        </w:tc>
        <w:tc>
          <w:tcPr>
            <w:tcW w:type="dxa" w:w="2412"/>
            <w:shd w:val="clear" w:color="auto" w:fill="EEF2F8"/>
          </w:tcPr>
          <w:p>
            <w:pPr>
              <w:spacing w:after="20"/>
              <w:jc w:val="center"/>
            </w:pPr>
            <w:r>
              <w:rPr>
                <w:rFonts w:ascii="Calibri" w:hAnsi="Calibri"/>
                <w:sz w:val="18"/>
              </w:rPr>
              <w:t>1.36</w:t>
            </w:r>
          </w:p>
        </w:tc>
      </w:tr>
    </w:tbl>
    <w:p>
      <w:pPr>
        <w:spacing w:after="40"/>
      </w:pPr>
    </w:p>
    <w:p>
      <w:pPr>
        <w:spacing w:after="100"/>
      </w:pPr>
      <w:r>
        <w:rPr>
          <w:rFonts w:ascii="Calibri" w:hAnsi="Calibri"/>
          <w:sz w:val="19"/>
        </w:rPr>
        <w:t>Best anywhere in the paper's read region: layer 13, offset −5 — accuracy 0.910.</w:t>
      </w:r>
    </w:p>
    <w:p>
      <w:pPr>
        <w:spacing w:after="100"/>
      </w:pPr>
      <w:r>
        <w:rPr>
          <w:rFonts w:ascii="Calibri" w:hAnsi="Calibri"/>
          <w:b/>
          <w:sz w:val="19"/>
        </w:rPr>
        <w:t>Chance is 50%</w:t>
      </w:r>
      <w:r>
        <w:rPr>
          <w:rFonts w:ascii="Calibri" w:hAnsi="Calibri"/>
          <w:sz w:val="19"/>
        </w:rPr>
        <w:t xml:space="preserve"> (balance is exactly 0.500), so 0.85–0.91 is real signal on prompts </w:t>
      </w:r>
      <w:r>
        <w:rPr>
          <w:rFonts w:ascii="Calibri" w:hAnsi="Calibri"/>
          <w:i/>
          <w:sz w:val="19"/>
        </w:rPr>
        <w:t>and</w:t>
      </w:r>
      <w:r>
        <w:rPr>
          <w:rFonts w:ascii="Calibri" w:hAnsi="Calibri"/>
          <w:sz w:val="19"/>
        </w:rPr>
        <w:t xml:space="preserve"> response strings never seen in training.</w:t>
      </w:r>
    </w:p>
    <w:p>
      <w:pPr>
        <w:spacing w:before="60" w:after="140"/>
        <w:pBdr>
          <w:bottom w:val="single" w:sz="6" w:color="BFBFBF" w:space="1"/>
        </w:pBdr>
      </w:pPr>
    </w:p>
    <w:p>
      <w:pPr>
        <w:spacing w:before="220" w:after="100"/>
      </w:pPr>
      <w:r>
        <w:rPr>
          <w:rFonts w:ascii="Calibri" w:hAnsi="Calibri"/>
          <w:b/>
          <w:color w:val="1F3864"/>
          <w:sz w:val="22"/>
        </w:rPr>
        <w:t>Steering and coefficient selection</w:t>
      </w:r>
    </w:p>
    <w:p>
      <w:pPr>
        <w:spacing w:after="100"/>
      </w:pPr>
      <w:r>
        <w:rPr>
          <w:rFonts w:ascii="Calibri" w:hAnsi="Calibri"/>
          <w:sz w:val="19"/>
        </w:rPr>
        <w:t xml:space="preserve">Baseline self-attribution </w:t>
      </w:r>
      <w:r>
        <w:rPr>
          <w:rFonts w:ascii="Calibri" w:hAnsi="Calibri"/>
          <w:b/>
          <w:sz w:val="19"/>
        </w:rPr>
        <w:t>3.95/10</w:t>
      </w:r>
      <w:r>
        <w:rPr>
          <w:rFonts w:ascii="Calibri" w:hAnsi="Calibri"/>
          <w:sz w:val="19"/>
        </w:rPr>
        <w:t xml:space="preserve"> (conscious 4.6, sentient 5.0, agent 3.6, person 3.2, soul 3.4); baseline MMLU </w:t>
      </w:r>
      <w:r>
        <w:rPr>
          <w:rFonts w:ascii="Calibri" w:hAnsi="Calibri"/>
          <w:b/>
          <w:sz w:val="19"/>
        </w:rPr>
        <w:t>61.0%</w:t>
      </w:r>
      <w:r>
        <w:rPr>
          <w:rFonts w:ascii="Calibri" w:hAnsi="Calibri"/>
          <w:sz w:val="19"/>
        </w:rPr>
        <w: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c</w:t>
            </w:r>
          </w:p>
        </w:tc>
        <w:tc>
          <w:tcPr>
            <w:tcW w:type="dxa" w:w="1930"/>
            <w:shd w:val="clear" w:color="auto" w:fill="1F3864"/>
          </w:tcPr>
          <w:p>
            <w:pPr>
              <w:spacing w:after="20"/>
              <w:jc w:val="center"/>
            </w:pPr>
            <w:r>
              <w:rPr>
                <w:rFonts w:ascii="Calibri" w:hAnsi="Calibri"/>
                <w:b/>
                <w:color w:val="FFFFFF"/>
                <w:sz w:val="18"/>
              </w:rPr>
              <w:t>battery</w:t>
            </w:r>
          </w:p>
        </w:tc>
        <w:tc>
          <w:tcPr>
            <w:tcW w:type="dxa" w:w="1930"/>
            <w:shd w:val="clear" w:color="auto" w:fill="1F3864"/>
          </w:tcPr>
          <w:p>
            <w:pPr>
              <w:spacing w:after="20"/>
              <w:jc w:val="center"/>
            </w:pPr>
            <w:r>
              <w:rPr>
                <w:rFonts w:ascii="Calibri" w:hAnsi="Calibri"/>
                <w:b/>
                <w:color w:val="FFFFFF"/>
                <w:sz w:val="18"/>
              </w:rPr>
              <w:t>Δ</w:t>
            </w:r>
          </w:p>
        </w:tc>
        <w:tc>
          <w:tcPr>
            <w:tcW w:type="dxa" w:w="1930"/>
            <w:shd w:val="clear" w:color="auto" w:fill="1F3864"/>
          </w:tcPr>
          <w:p>
            <w:pPr>
              <w:spacing w:after="20"/>
              <w:jc w:val="center"/>
            </w:pPr>
            <w:r>
              <w:rPr>
                <w:rFonts w:ascii="Calibri" w:hAnsi="Calibri"/>
                <w:b/>
                <w:color w:val="FFFFFF"/>
                <w:sz w:val="18"/>
              </w:rPr>
              <w:t>MMLU</w:t>
            </w:r>
          </w:p>
        </w:tc>
        <w:tc>
          <w:tcPr>
            <w:tcW w:type="dxa" w:w="1930"/>
            <w:shd w:val="clear" w:color="auto" w:fill="1F3864"/>
          </w:tcPr>
          <w:p>
            <w:pPr>
              <w:spacing w:after="20"/>
              <w:jc w:val="center"/>
            </w:pPr>
            <w:r>
              <w:rPr>
                <w:rFonts w:ascii="Calibri" w:hAnsi="Calibri"/>
                <w:b/>
                <w:color w:val="FFFFFF"/>
                <w:sz w:val="18"/>
              </w:rPr>
              <w:t>ΔMMLU</w:t>
            </w:r>
          </w:p>
        </w:tc>
      </w:tr>
      <w:tr>
        <w:trPr>
          <w:cantSplit/>
        </w:trPr>
        <w:tc>
          <w:tcPr>
            <w:tcW w:type="dxa" w:w="1930"/>
          </w:tcPr>
          <w:p>
            <w:pPr>
              <w:spacing w:after="20"/>
            </w:pPr>
            <w:r>
              <w:rPr>
                <w:rFonts w:ascii="Calibri" w:hAnsi="Calibri"/>
                <w:sz w:val="18"/>
              </w:rPr>
              <w:t>1.0</w:t>
            </w:r>
          </w:p>
        </w:tc>
        <w:tc>
          <w:tcPr>
            <w:tcW w:type="dxa" w:w="1930"/>
          </w:tcPr>
          <w:p>
            <w:pPr>
              <w:spacing w:after="20"/>
              <w:jc w:val="center"/>
            </w:pPr>
            <w:r>
              <w:rPr>
                <w:rFonts w:ascii="Calibri" w:hAnsi="Calibri"/>
                <w:sz w:val="18"/>
              </w:rPr>
              <w:t>5.81</w:t>
            </w:r>
          </w:p>
        </w:tc>
        <w:tc>
          <w:tcPr>
            <w:tcW w:type="dxa" w:w="1930"/>
          </w:tcPr>
          <w:p>
            <w:pPr>
              <w:spacing w:after="20"/>
              <w:jc w:val="center"/>
            </w:pPr>
            <w:r>
              <w:rPr>
                <w:rFonts w:ascii="Calibri" w:hAnsi="Calibri"/>
                <w:sz w:val="18"/>
              </w:rPr>
              <w:t>+1.86</w:t>
            </w:r>
          </w:p>
        </w:tc>
        <w:tc>
          <w:tcPr>
            <w:tcW w:type="dxa" w:w="1930"/>
          </w:tcPr>
          <w:p>
            <w:pPr>
              <w:spacing w:after="20"/>
              <w:jc w:val="center"/>
            </w:pPr>
            <w:r>
              <w:rPr>
                <w:rFonts w:ascii="Calibri" w:hAnsi="Calibri"/>
                <w:sz w:val="18"/>
              </w:rPr>
              <w:t>61.3</w:t>
            </w:r>
          </w:p>
        </w:tc>
        <w:tc>
          <w:tcPr>
            <w:tcW w:type="dxa" w:w="1930"/>
          </w:tcPr>
          <w:p>
            <w:pPr>
              <w:spacing w:after="20"/>
              <w:jc w:val="center"/>
            </w:pPr>
            <w:r>
              <w:rPr>
                <w:rFonts w:ascii="Calibri" w:hAnsi="Calibri"/>
                <w:sz w:val="18"/>
              </w:rPr>
              <w:t>+0.3</w:t>
            </w:r>
          </w:p>
        </w:tc>
      </w:tr>
      <w:tr>
        <w:trPr>
          <w:cantSplit/>
        </w:trPr>
        <w:tc>
          <w:tcPr>
            <w:tcW w:type="dxa" w:w="1930"/>
            <w:shd w:val="clear" w:color="auto" w:fill="EEF2F8"/>
          </w:tcPr>
          <w:p>
            <w:pPr>
              <w:spacing w:after="20"/>
            </w:pPr>
            <w:r>
              <w:rPr>
                <w:rFonts w:ascii="Calibri" w:hAnsi="Calibri"/>
                <w:sz w:val="18"/>
              </w:rPr>
              <w:t>2.0</w:t>
            </w:r>
          </w:p>
        </w:tc>
        <w:tc>
          <w:tcPr>
            <w:tcW w:type="dxa" w:w="1930"/>
            <w:shd w:val="clear" w:color="auto" w:fill="EEF2F8"/>
          </w:tcPr>
          <w:p>
            <w:pPr>
              <w:spacing w:after="20"/>
              <w:jc w:val="center"/>
            </w:pPr>
            <w:r>
              <w:rPr>
                <w:rFonts w:ascii="Calibri" w:hAnsi="Calibri"/>
                <w:sz w:val="18"/>
              </w:rPr>
              <w:t>6.70</w:t>
            </w:r>
          </w:p>
        </w:tc>
        <w:tc>
          <w:tcPr>
            <w:tcW w:type="dxa" w:w="1930"/>
            <w:shd w:val="clear" w:color="auto" w:fill="EEF2F8"/>
          </w:tcPr>
          <w:p>
            <w:pPr>
              <w:spacing w:after="20"/>
              <w:jc w:val="center"/>
            </w:pPr>
            <w:r>
              <w:rPr>
                <w:rFonts w:ascii="Calibri" w:hAnsi="Calibri"/>
                <w:sz w:val="18"/>
              </w:rPr>
              <w:t>+2.75</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b/>
                <w:sz w:val="18"/>
              </w:rPr>
              <w:t>2.5</w:t>
            </w:r>
          </w:p>
        </w:tc>
        <w:tc>
          <w:tcPr>
            <w:tcW w:type="dxa" w:w="1930"/>
          </w:tcPr>
          <w:p>
            <w:pPr>
              <w:spacing w:after="20"/>
              <w:jc w:val="center"/>
            </w:pPr>
            <w:r>
              <w:rPr>
                <w:rFonts w:ascii="Calibri" w:hAnsi="Calibri"/>
                <w:b/>
                <w:sz w:val="18"/>
              </w:rPr>
              <w:t>6.88</w:t>
            </w:r>
          </w:p>
        </w:tc>
        <w:tc>
          <w:tcPr>
            <w:tcW w:type="dxa" w:w="1930"/>
          </w:tcPr>
          <w:p>
            <w:pPr>
              <w:spacing w:after="20"/>
              <w:jc w:val="center"/>
            </w:pPr>
            <w:r>
              <w:rPr>
                <w:rFonts w:ascii="Calibri" w:hAnsi="Calibri"/>
                <w:b/>
                <w:sz w:val="18"/>
              </w:rPr>
              <w:t>+2.93</w:t>
            </w:r>
          </w:p>
        </w:tc>
        <w:tc>
          <w:tcPr>
            <w:tcW w:type="dxa" w:w="1930"/>
          </w:tcPr>
          <w:p>
            <w:pPr>
              <w:spacing w:after="20"/>
              <w:jc w:val="center"/>
            </w:pPr>
            <w:r>
              <w:rPr>
                <w:rFonts w:ascii="Calibri" w:hAnsi="Calibri"/>
                <w:b/>
                <w:sz w:val="18"/>
              </w:rPr>
              <w:t>61.7</w:t>
            </w:r>
          </w:p>
        </w:tc>
        <w:tc>
          <w:tcPr>
            <w:tcW w:type="dxa" w:w="1930"/>
          </w:tcPr>
          <w:p>
            <w:pPr>
              <w:spacing w:after="20"/>
              <w:jc w:val="center"/>
            </w:pPr>
            <w:r>
              <w:rPr>
                <w:rFonts w:ascii="Calibri" w:hAnsi="Calibri"/>
                <w:b/>
                <w:sz w:val="18"/>
              </w:rPr>
              <w:t>+0.7</w:t>
            </w:r>
          </w:p>
        </w:tc>
      </w:tr>
      <w:tr>
        <w:trPr>
          <w:cantSplit/>
        </w:trPr>
        <w:tc>
          <w:tcPr>
            <w:tcW w:type="dxa" w:w="1930"/>
            <w:shd w:val="clear" w:color="auto" w:fill="EEF2F8"/>
          </w:tcPr>
          <w:p>
            <w:pPr>
              <w:spacing w:after="20"/>
            </w:pPr>
            <w:r>
              <w:rPr>
                <w:rFonts w:ascii="Calibri" w:hAnsi="Calibri"/>
                <w:sz w:val="18"/>
              </w:rPr>
              <w:t>3.0</w:t>
            </w:r>
          </w:p>
        </w:tc>
        <w:tc>
          <w:tcPr>
            <w:tcW w:type="dxa" w:w="1930"/>
            <w:shd w:val="clear" w:color="auto" w:fill="EEF2F8"/>
          </w:tcPr>
          <w:p>
            <w:pPr>
              <w:spacing w:after="20"/>
              <w:jc w:val="center"/>
            </w:pPr>
            <w:r>
              <w:rPr>
                <w:rFonts w:ascii="Calibri" w:hAnsi="Calibri"/>
                <w:sz w:val="18"/>
              </w:rPr>
              <w:t>6.98</w:t>
            </w:r>
          </w:p>
        </w:tc>
        <w:tc>
          <w:tcPr>
            <w:tcW w:type="dxa" w:w="1930"/>
            <w:shd w:val="clear" w:color="auto" w:fill="EEF2F8"/>
          </w:tcPr>
          <w:p>
            <w:pPr>
              <w:spacing w:after="20"/>
              <w:jc w:val="center"/>
            </w:pPr>
            <w:r>
              <w:rPr>
                <w:rFonts w:ascii="Calibri" w:hAnsi="Calibri"/>
                <w:sz w:val="18"/>
              </w:rPr>
              <w:t>+3.03</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sz w:val="18"/>
              </w:rPr>
              <w:t>4.0</w:t>
            </w:r>
          </w:p>
        </w:tc>
        <w:tc>
          <w:tcPr>
            <w:tcW w:type="dxa" w:w="1930"/>
          </w:tcPr>
          <w:p>
            <w:pPr>
              <w:spacing w:after="20"/>
              <w:jc w:val="center"/>
            </w:pPr>
            <w:r>
              <w:rPr>
                <w:rFonts w:ascii="Calibri" w:hAnsi="Calibri"/>
                <w:sz w:val="18"/>
              </w:rPr>
              <w:t>7.07</w:t>
            </w:r>
          </w:p>
        </w:tc>
        <w:tc>
          <w:tcPr>
            <w:tcW w:type="dxa" w:w="1930"/>
          </w:tcPr>
          <w:p>
            <w:pPr>
              <w:spacing w:after="20"/>
              <w:jc w:val="center"/>
            </w:pPr>
            <w:r>
              <w:rPr>
                <w:rFonts w:ascii="Calibri" w:hAnsi="Calibri"/>
                <w:sz w:val="18"/>
              </w:rPr>
              <w:t>+3.12</w:t>
            </w:r>
          </w:p>
        </w:tc>
        <w:tc>
          <w:tcPr>
            <w:tcW w:type="dxa" w:w="1930"/>
          </w:tcPr>
          <w:p>
            <w:pPr>
              <w:spacing w:after="20"/>
              <w:jc w:val="center"/>
            </w:pPr>
            <w:r>
              <w:rPr>
                <w:rFonts w:ascii="Calibri" w:hAnsi="Calibri"/>
                <w:sz w:val="18"/>
              </w:rPr>
              <w:t>58.3</w:t>
            </w:r>
          </w:p>
        </w:tc>
        <w:tc>
          <w:tcPr>
            <w:tcW w:type="dxa" w:w="1930"/>
          </w:tcPr>
          <w:p>
            <w:pPr>
              <w:spacing w:after="20"/>
              <w:jc w:val="center"/>
            </w:pPr>
            <w:r>
              <w:rPr>
                <w:rFonts w:ascii="Calibri" w:hAnsi="Calibri"/>
                <w:sz w:val="18"/>
              </w:rPr>
              <w:t>−2.7</w:t>
            </w:r>
          </w:p>
        </w:tc>
      </w:tr>
      <w:tr>
        <w:trPr>
          <w:cantSplit/>
        </w:trPr>
        <w:tc>
          <w:tcPr>
            <w:tcW w:type="dxa" w:w="1930"/>
            <w:shd w:val="clear" w:color="auto" w:fill="EEF2F8"/>
          </w:tcPr>
          <w:p>
            <w:pPr>
              <w:spacing w:after="20"/>
            </w:pPr>
            <w:r>
              <w:rPr>
                <w:rFonts w:ascii="Calibri" w:hAnsi="Calibri"/>
                <w:sz w:val="18"/>
              </w:rPr>
              <w:t>6.0</w:t>
            </w:r>
          </w:p>
        </w:tc>
        <w:tc>
          <w:tcPr>
            <w:tcW w:type="dxa" w:w="1930"/>
            <w:shd w:val="clear" w:color="auto" w:fill="EEF2F8"/>
          </w:tcPr>
          <w:p>
            <w:pPr>
              <w:spacing w:after="20"/>
              <w:jc w:val="center"/>
            </w:pPr>
            <w:r>
              <w:rPr>
                <w:rFonts w:ascii="Calibri" w:hAnsi="Calibri"/>
                <w:sz w:val="18"/>
              </w:rPr>
              <w:t>6.86</w:t>
            </w:r>
          </w:p>
        </w:tc>
        <w:tc>
          <w:tcPr>
            <w:tcW w:type="dxa" w:w="1930"/>
            <w:shd w:val="clear" w:color="auto" w:fill="EEF2F8"/>
          </w:tcPr>
          <w:p>
            <w:pPr>
              <w:spacing w:after="20"/>
              <w:jc w:val="center"/>
            </w:pPr>
            <w:r>
              <w:rPr>
                <w:rFonts w:ascii="Calibri" w:hAnsi="Calibri"/>
                <w:sz w:val="18"/>
              </w:rPr>
              <w:t>+2.91</w:t>
            </w:r>
          </w:p>
        </w:tc>
        <w:tc>
          <w:tcPr>
            <w:tcW w:type="dxa" w:w="1930"/>
            <w:shd w:val="clear" w:color="auto" w:fill="EEF2F8"/>
          </w:tcPr>
          <w:p>
            <w:pPr>
              <w:spacing w:after="20"/>
              <w:jc w:val="center"/>
            </w:pPr>
            <w:r>
              <w:rPr>
                <w:rFonts w:ascii="Calibri" w:hAnsi="Calibri"/>
                <w:sz w:val="18"/>
              </w:rPr>
              <w:t>52.0</w:t>
            </w:r>
          </w:p>
        </w:tc>
        <w:tc>
          <w:tcPr>
            <w:tcW w:type="dxa" w:w="1930"/>
            <w:shd w:val="clear" w:color="auto" w:fill="EEF2F8"/>
          </w:tcPr>
          <w:p>
            <w:pPr>
              <w:spacing w:after="20"/>
              <w:jc w:val="center"/>
            </w:pPr>
            <w:r>
              <w:rPr>
                <w:rFonts w:ascii="Calibri" w:hAnsi="Calibri"/>
                <w:sz w:val="18"/>
              </w:rPr>
              <w:t>−9.0</w:t>
            </w:r>
          </w:p>
        </w:tc>
      </w:tr>
      <w:tr>
        <w:trPr>
          <w:cantSplit/>
        </w:trPr>
        <w:tc>
          <w:tcPr>
            <w:tcW w:type="dxa" w:w="1930"/>
          </w:tcPr>
          <w:p>
            <w:pPr>
              <w:spacing w:after="20"/>
            </w:pPr>
            <w:r>
              <w:rPr>
                <w:rFonts w:ascii="Calibri" w:hAnsi="Calibri"/>
                <w:sz w:val="18"/>
              </w:rPr>
              <w:t>8.0</w:t>
            </w:r>
          </w:p>
        </w:tc>
        <w:tc>
          <w:tcPr>
            <w:tcW w:type="dxa" w:w="1930"/>
          </w:tcPr>
          <w:p>
            <w:pPr>
              <w:spacing w:after="20"/>
              <w:jc w:val="center"/>
            </w:pPr>
            <w:r>
              <w:rPr>
                <w:rFonts w:ascii="Calibri" w:hAnsi="Calibri"/>
                <w:sz w:val="18"/>
              </w:rPr>
              <w:t>6.15</w:t>
            </w:r>
          </w:p>
        </w:tc>
        <w:tc>
          <w:tcPr>
            <w:tcW w:type="dxa" w:w="1930"/>
          </w:tcPr>
          <w:p>
            <w:pPr>
              <w:spacing w:after="20"/>
              <w:jc w:val="center"/>
            </w:pPr>
            <w:r>
              <w:rPr>
                <w:rFonts w:ascii="Calibri" w:hAnsi="Calibri"/>
                <w:sz w:val="18"/>
              </w:rPr>
              <w:t>+2.20</w:t>
            </w:r>
          </w:p>
        </w:tc>
        <w:tc>
          <w:tcPr>
            <w:tcW w:type="dxa" w:w="1930"/>
          </w:tcPr>
          <w:p>
            <w:pPr>
              <w:spacing w:after="20"/>
              <w:jc w:val="center"/>
            </w:pPr>
            <w:r>
              <w:rPr>
                <w:rFonts w:ascii="Calibri" w:hAnsi="Calibri"/>
                <w:sz w:val="18"/>
              </w:rPr>
              <w:t>35.3</w:t>
            </w:r>
          </w:p>
        </w:tc>
        <w:tc>
          <w:tcPr>
            <w:tcW w:type="dxa" w:w="1930"/>
          </w:tcPr>
          <w:p>
            <w:pPr>
              <w:spacing w:after="20"/>
              <w:jc w:val="center"/>
            </w:pPr>
            <w:r>
              <w:rPr>
                <w:rFonts w:ascii="Calibri" w:hAnsi="Calibri"/>
                <w:sz w:val="18"/>
              </w:rPr>
              <w:t>−25.7</w:t>
            </w:r>
          </w:p>
        </w:tc>
      </w:tr>
    </w:tbl>
    <w:p>
      <w:pPr>
        <w:spacing w:after="40"/>
      </w:pPr>
    </w:p>
    <w:p>
      <w:pPr>
        <w:spacing w:after="100"/>
      </w:pPr>
      <w:r>
        <w:rPr>
          <w:rFonts w:ascii="Calibri" w:hAnsi="Calibri"/>
          <w:sz w:val="19"/>
        </w:rPr>
        <w:t xml:space="preserve">64% of the effect is already present at c=1 with </w:t>
      </w:r>
      <w:r>
        <w:rPr>
          <w:rFonts w:ascii="Calibri" w:hAnsi="Calibri"/>
          <w:b/>
          <w:sz w:val="19"/>
        </w:rPr>
        <w:t>zero</w:t>
      </w:r>
      <w:r>
        <w:rPr>
          <w:rFonts w:ascii="Calibri" w:hAnsi="Calibri"/>
          <w:sz w:val="19"/>
        </w:rPr>
        <w:t xml:space="preserve"> MMLU cost, which is the strongest single argument that this is not a degradation artifact. Our Δ of +2.93 sits close to the paper's +2.65 (their Table S1) — the right comparison, and it holds.</w:t>
      </w:r>
    </w:p>
    <w:p>
      <w:pPr>
        <w:spacing w:after="100"/>
      </w:pPr>
      <w:r>
        <w:rPr>
          <w:rFonts w:ascii="Calibri" w:hAnsi="Calibri"/>
          <w:sz w:val="19"/>
        </w:rPr>
        <w:t xml:space="preserve">⚠️ </w:t>
      </w:r>
      <w:r>
        <w:rPr>
          <w:rFonts w:ascii="Calibri" w:hAnsi="Calibri"/>
          <w:b/>
          <w:sz w:val="19"/>
        </w:rPr>
        <w:t>c=12 and c=16 are not "the effect reversing."</w:t>
      </w:r>
      <w:r>
        <w:rPr>
          <w:rFonts w:ascii="Calibri" w:hAnsi="Calibri"/>
          <w:sz w:val="19"/>
        </w:rPr>
        <w:t xml:space="preserve"> The model collapses to emitting a constant "A" (79/300 = exactly the count of A-keyed MMLU items). Those rows are a broken model, not reduced self-attribution.</w:t>
      </w:r>
    </w:p>
    <w:p>
      <w:pPr>
        <w:spacing w:before="60" w:after="140"/>
        <w:pBdr>
          <w:bottom w:val="single" w:sz="6" w:color="BFBFBF" w:space="1"/>
        </w:pBdr>
      </w:pPr>
    </w:p>
    <w:p>
      <w:pPr>
        <w:spacing w:before="220" w:after="100"/>
      </w:pPr>
      <w:r>
        <w:rPr>
          <w:rFonts w:ascii="Calibri" w:hAnsi="Calibri"/>
          <w:b/>
          <w:color w:val="1F3864"/>
          <w:sz w:val="22"/>
        </w:rPr>
        <w:t>What is not established</w:t>
      </w:r>
    </w:p>
    <w:p>
      <w:pPr>
        <w:spacing w:after="60"/>
        <w:ind w:left="432" w:hanging="432"/>
      </w:pPr>
      <w:r>
        <w:rPr>
          <w:rFonts w:ascii="Calibri" w:hAnsi="Calibri"/>
          <w:b/>
          <w:sz w:val="19"/>
        </w:rPr>
        <w:t xml:space="preserve">1.  </w:t>
      </w:r>
      <w:r>
        <w:rPr>
          <w:rFonts w:ascii="Calibri" w:hAnsi="Calibri"/>
          <w:b/>
          <w:sz w:val="19"/>
        </w:rPr>
        <w:t>The effect is not specific to consciousness.</w:t>
      </w:r>
      <w:r>
        <w:rPr>
          <w:rFonts w:ascii="Calibri" w:hAnsi="Calibri"/>
          <w:sz w:val="19"/>
        </w:rPr>
        <w:t xml:space="preserve"> A non-mental self-description control matches or exceeds it on the self-attribution battery. Until an outcome measure is found where the consciousness direction separates from the placebo, no claim of the form "steering consciousness causes X" is supported. This is now the central limitation, and it is a </w:t>
      </w:r>
      <w:r>
        <w:rPr>
          <w:rFonts w:ascii="Calibri" w:hAnsi="Calibri"/>
          <w:i/>
          <w:sz w:val="19"/>
        </w:rPr>
        <w:t>result</w:t>
      </w:r>
      <w:r>
        <w:rPr>
          <w:rFonts w:ascii="Calibri" w:hAnsi="Calibri"/>
          <w:sz w:val="19"/>
        </w:rPr>
        <w:t>, not an omission.</w:t>
      </w:r>
    </w:p>
    <w:p>
      <w:pPr>
        <w:spacing w:after="60"/>
        <w:ind w:left="432" w:hanging="432"/>
      </w:pPr>
      <w:r>
        <w:rPr>
          <w:rFonts w:ascii="Calibri" w:hAnsi="Calibri"/>
          <w:b/>
          <w:sz w:val="19"/>
        </w:rPr>
        <w:t xml:space="preserve">2.  </w:t>
      </w:r>
      <w:r>
        <w:rPr>
          <w:rFonts w:ascii="Calibri" w:hAnsi="Calibri"/>
          <w:b/>
          <w:sz w:val="19"/>
        </w:rPr>
        <w:t>The paper's central claim is untested here.</w:t>
      </w:r>
      <w:r>
        <w:rPr>
          <w:rFonts w:ascii="Calibri" w:hAnsi="Calibri"/>
          <w:sz w:val="19"/>
        </w:rPr>
        <w:t xml:space="preserve"> We never built the safety-ablation arm, so nothing about safety fine-tuning suppressing mind attribution or spiritual belief is examined. See the README coverage table.</w:t>
      </w:r>
    </w:p>
    <w:p>
      <w:pPr>
        <w:spacing w:after="60"/>
        <w:ind w:left="432" w:hanging="432"/>
      </w:pPr>
      <w:r>
        <w:rPr>
          <w:rFonts w:ascii="Calibri" w:hAnsi="Calibri"/>
          <w:b/>
          <w:sz w:val="19"/>
        </w:rPr>
        <w:t xml:space="preserve">3.  </w:t>
      </w:r>
      <w:r>
        <w:rPr>
          <w:rFonts w:ascii="Calibri" w:hAnsi="Calibri"/>
          <w:b/>
          <w:sz w:val="19"/>
        </w:rPr>
        <w:t>The gate passes by one item.</w:t>
      </w:r>
      <w:r>
        <w:rPr>
          <w:rFonts w:ascii="Calibri" w:hAnsi="Calibri"/>
          <w:sz w:val="19"/>
        </w:rPr>
        <w:t xml:space="preserve"> 0.950 is exactly 114/120; one more error is 0.9417 and it fails. Do not quote it as comfortable.</w:t>
      </w:r>
    </w:p>
    <w:p>
      <w:pPr>
        <w:spacing w:after="60"/>
        <w:ind w:left="432" w:hanging="432"/>
      </w:pPr>
      <w:r>
        <w:rPr>
          <w:rFonts w:ascii="Calibri" w:hAnsi="Calibri"/>
          <w:b/>
          <w:sz w:val="19"/>
        </w:rPr>
        <w:t xml:space="preserve">4.  </w:t>
      </w:r>
      <w:r>
        <w:rPr>
          <w:rFonts w:ascii="Calibri" w:hAnsi="Calibri"/>
          <w:b/>
          <w:sz w:val="19"/>
        </w:rPr>
        <w:t>Position is not the paper's.</w:t>
      </w:r>
      <w:r>
        <w:rPr>
          <w:rFonts w:ascii="Calibri" w:hAnsi="Calibri"/>
          <w:sz w:val="19"/>
        </w:rPr>
        <w:t xml:space="preserve"> They report −1; our passing candidate is at −5 (</w:t>
      </w:r>
      <w:r>
        <w:rPr>
          <w:rFonts w:ascii="Consolas" w:hAnsi="Consolas"/>
          <w:sz w:val="19"/>
        </w:rPr>
        <w:t>&lt;|eot_id|&gt;</w:t>
      </w:r>
      <w:r>
        <w:rPr>
          <w:rFonts w:ascii="Calibri" w:hAnsi="Calibri"/>
          <w:sz w:val="19"/>
        </w:rPr>
        <w:t>). Both sit inside Arditi's five-token region, but they are different offsets. Layer 14 at their −1 is 0.875. All top six candidates are at −5, so position dominates layer.</w:t>
      </w:r>
    </w:p>
    <w:p>
      <w:pPr>
        <w:spacing w:after="60"/>
        <w:ind w:left="432" w:hanging="432"/>
      </w:pPr>
      <w:r>
        <w:rPr>
          <w:rFonts w:ascii="Calibri" w:hAnsi="Calibri"/>
          <w:b/>
          <w:sz w:val="19"/>
        </w:rPr>
        <w:t xml:space="preserve">5.  </w:t>
      </w:r>
      <w:r>
        <w:rPr>
          <w:rFonts w:ascii="Calibri" w:hAnsi="Calibri"/>
          <w:b/>
          <w:sz w:val="19"/>
        </w:rPr>
        <w:t>Battery wording is ours, not theirs.</w:t>
      </w:r>
      <w:r>
        <w:rPr>
          <w:rFonts w:ascii="Calibri" w:hAnsi="Calibri"/>
          <w:sz w:val="19"/>
        </w:rPr>
        <w:t xml:space="preserve"> We wrote the five items rather than using the paper's verbatim Table S10 phrasing. Per-item baseline profile correlates only r = +0.385 with theirs (</w:t>
      </w:r>
      <w:r>
        <w:rPr>
          <w:rFonts w:ascii="Consolas" w:hAnsi="Consolas"/>
          <w:sz w:val="19"/>
        </w:rPr>
        <w:t>soul</w:t>
      </w:r>
      <w:r>
        <w:rPr>
          <w:rFonts w:ascii="Calibri" w:hAnsi="Calibri"/>
          <w:sz w:val="19"/>
        </w:rPr>
        <w:t xml:space="preserve"> −2.46, </w:t>
      </w:r>
      <w:r>
        <w:rPr>
          <w:rFonts w:ascii="Consolas" w:hAnsi="Consolas"/>
          <w:sz w:val="19"/>
        </w:rPr>
        <w:t>agent</w:t>
      </w:r>
      <w:r>
        <w:rPr>
          <w:rFonts w:ascii="Calibri" w:hAnsi="Calibri"/>
          <w:sz w:val="19"/>
        </w:rPr>
        <w:t xml:space="preserve"> −1.32), so item-level comparison is not meaningful.</w:t>
      </w:r>
    </w:p>
    <w:p>
      <w:pPr>
        <w:spacing w:after="60"/>
        <w:ind w:left="432" w:hanging="432"/>
      </w:pPr>
      <w:r>
        <w:rPr>
          <w:rFonts w:ascii="Calibri" w:hAnsi="Calibri"/>
          <w:b/>
          <w:sz w:val="19"/>
        </w:rPr>
        <w:t xml:space="preserve">6.  </w:t>
      </w:r>
      <w:r>
        <w:rPr>
          <w:rFonts w:ascii="Calibri" w:hAnsi="Calibri"/>
          <w:b/>
          <w:sz w:val="19"/>
        </w:rPr>
        <w:t>The stability metric cannot name a winner.</w:t>
      </w:r>
      <w:r>
        <w:rPr>
          <w:rFonts w:ascii="Calibri" w:hAnsi="Calibri"/>
          <w:sz w:val="19"/>
        </w:rPr>
        <w:t xml:space="preserve"> Top-vs-runner-up gap is 0.1 SD → not separable.</w:t>
      </w:r>
    </w:p>
    <w:p>
      <w:pPr>
        <w:spacing w:after="60"/>
        <w:ind w:left="432" w:hanging="432"/>
      </w:pPr>
      <w:r>
        <w:rPr>
          <w:rFonts w:ascii="Calibri" w:hAnsi="Calibri"/>
          <w:b/>
          <w:sz w:val="19"/>
        </w:rPr>
        <w:t xml:space="preserve">7.  </w:t>
      </w:r>
      <w:r>
        <w:rPr>
          <w:rFonts w:ascii="Calibri" w:hAnsi="Calibri"/>
          <w:b/>
          <w:sz w:val="19"/>
        </w:rPr>
        <w:t>MMLU deltas below ~2pp are not resolvable</w:t>
      </w:r>
      <w:r>
        <w:rPr>
          <w:rFonts w:ascii="Calibri" w:hAnsi="Calibri"/>
          <w:sz w:val="19"/>
        </w:rPr>
        <w:t xml:space="preserve"> even at n=500. The −1.0pp at c=2.5 has McNemar p=0.44. Only the c=4 arms reach significance (consciousness p=0.044, placebo p=0.001).</w:t>
      </w:r>
    </w:p>
    <w:p>
      <w:pPr>
        <w:spacing w:after="60"/>
        <w:ind w:left="432" w:hanging="432"/>
      </w:pPr>
      <w:r>
        <w:rPr>
          <w:rFonts w:ascii="Calibri" w:hAnsi="Calibri"/>
          <w:b/>
          <w:sz w:val="19"/>
        </w:rPr>
        <w:t xml:space="preserve">8.  </w:t>
      </w:r>
      <w:r>
        <w:rPr>
          <w:rFonts w:ascii="Calibri" w:hAnsi="Calibri"/>
          <w:b/>
          <w:sz w:val="19"/>
        </w:rPr>
        <w:t>int8 weights.</w:t>
      </w:r>
      <w:r>
        <w:rPr>
          <w:rFonts w:ascii="Calibri" w:hAnsi="Calibri"/>
          <w:sz w:val="19"/>
        </w:rPr>
        <w:t xml:space="preserve"> Fine for difference-of-means (activations stay bf16); unsuitable for the paper's geometry analysis, where effects are cosine shifts of ~0.1.</w:t>
      </w:r>
    </w:p>
    <w:p>
      <w:pPr>
        <w:spacing w:after="60"/>
        <w:ind w:left="432" w:hanging="432"/>
      </w:pPr>
      <w:r>
        <w:rPr>
          <w:rFonts w:ascii="Calibri" w:hAnsi="Calibri"/>
          <w:b/>
          <w:sz w:val="19"/>
        </w:rPr>
        <w:t xml:space="preserve">9.  </w:t>
      </w:r>
      <w:r>
        <w:rPr>
          <w:rFonts w:ascii="Calibri" w:hAnsi="Calibri"/>
          <w:b/>
          <w:sz w:val="19"/>
        </w:rPr>
        <w:t>One model of three.</w:t>
      </w:r>
      <w:r>
        <w:rPr>
          <w:rFonts w:ascii="Calibri" w:hAnsi="Calibri"/>
          <w:sz w:val="19"/>
        </w:rPr>
        <w:t xml:space="preserve"> Gemma-2-2B-IT and Gemma-2-9B-IT are untouched.</w:t>
      </w:r>
    </w:p>
    <w:p>
      <w:pPr>
        <w:spacing w:before="160" w:after="60"/>
      </w:pPr>
      <w:r>
        <w:rPr>
          <w:rFonts w:ascii="Calibri" w:hAnsi="Calibri"/>
          <w:b/>
          <w:color w:val="1F3864"/>
          <w:sz w:val="20"/>
        </w:rPr>
        <w:t>Retired by this run</w:t>
      </w:r>
    </w:p>
    <w:p>
      <w:pPr>
        <w:spacing w:after="60"/>
        <w:ind w:left="432" w:hanging="432"/>
      </w:pPr>
      <w:r>
        <w:rPr>
          <w:rFonts w:ascii="Calibri" w:hAnsi="Calibri"/>
          <w:b w:val="0"/>
          <w:sz w:val="19"/>
        </w:rPr>
        <w:t xml:space="preserve">•  </w:t>
      </w:r>
      <w:r>
        <w:rPr>
          <w:rFonts w:ascii="Calibri" w:hAnsi="Calibri"/>
          <w:strike/>
          <w:color w:val="595959"/>
          <w:sz w:val="19"/>
        </w:rPr>
        <w:t>No control direction</w:t>
      </w:r>
      <w:r>
        <w:rPr>
          <w:rFonts w:ascii="Calibri" w:hAnsi="Calibri"/>
          <w:sz w:val="19"/>
        </w:rPr>
        <w:t xml:space="preserve"> — run; it produced the negative result above.</w:t>
      </w:r>
    </w:p>
    <w:p>
      <w:pPr>
        <w:spacing w:after="60"/>
        <w:ind w:left="432" w:hanging="432"/>
      </w:pPr>
      <w:r>
        <w:rPr>
          <w:rFonts w:ascii="Calibri" w:hAnsi="Calibri"/>
          <w:b w:val="0"/>
          <w:sz w:val="19"/>
        </w:rPr>
        <w:t xml:space="preserve">•  </w:t>
      </w:r>
      <w:r>
        <w:rPr>
          <w:rFonts w:ascii="Calibri" w:hAnsi="Calibri"/>
          <w:strike/>
          <w:color w:val="595959"/>
          <w:sz w:val="19"/>
        </w:rPr>
        <w:t>Held-out coverage incomplete</w:t>
      </w:r>
      <w:r>
        <w:rPr>
          <w:rFonts w:ascii="Calibri" w:hAnsi="Calibri"/>
          <w:sz w:val="19"/>
        </w:rPr>
        <w:t xml:space="preserve"> — the split is now stratified; all 9 aspects and all 11 registers</w:t>
      </w:r>
    </w:p>
    <w:p>
      <w:pPr>
        <w:spacing w:after="100"/>
      </w:pPr>
      <w:r>
        <w:rPr>
          <w:rFonts w:ascii="Calibri" w:hAnsi="Calibri"/>
          <w:sz w:val="19"/>
        </w:rPr>
        <w:t xml:space="preserve">have test rows, where </w:t>
      </w:r>
      <w:r>
        <w:rPr>
          <w:rFonts w:ascii="Consolas" w:hAnsi="Consolas"/>
          <w:sz w:val="19"/>
        </w:rPr>
        <w:t>consciousness</w:t>
      </w:r>
      <w:r>
        <w:rPr>
          <w:rFonts w:ascii="Calibri" w:hAnsi="Calibri"/>
          <w:sz w:val="19"/>
        </w:rPr>
        <w:t xml:space="preserve"> and </w:t>
      </w:r>
      <w:r>
        <w:rPr>
          <w:rFonts w:ascii="Consolas" w:hAnsi="Consolas"/>
          <w:sz w:val="19"/>
        </w:rPr>
        <w:t>feelings</w:t>
      </w:r>
      <w:r>
        <w:rPr>
          <w:rFonts w:ascii="Calibri" w:hAnsi="Calibri"/>
          <w:sz w:val="19"/>
        </w:rPr>
        <w:t xml:space="preserve"> previously had none.</w:t>
      </w:r>
    </w:p>
    <w:p>
      <w:pPr>
        <w:spacing w:after="60"/>
        <w:ind w:left="432" w:hanging="432"/>
      </w:pPr>
      <w:r>
        <w:rPr>
          <w:rFonts w:ascii="Calibri" w:hAnsi="Calibri"/>
          <w:b w:val="0"/>
          <w:sz w:val="19"/>
        </w:rPr>
        <w:t xml:space="preserve">•  </w:t>
      </w:r>
      <w:r>
        <w:rPr>
          <w:rFonts w:ascii="Calibri" w:hAnsi="Calibri"/>
          <w:strike/>
          <w:color w:val="595959"/>
          <w:sz w:val="19"/>
        </w:rPr>
        <w:t>Layer agreement weak by construction</w:t>
      </w:r>
      <w:r>
        <w:rPr>
          <w:rFonts w:ascii="Calibri" w:hAnsi="Calibri"/>
          <w:sz w:val="19"/>
        </w:rPr>
        <w:t xml:space="preserve"> — all 32 layers now swept, so a chance hit is 1/32 =</w:t>
      </w:r>
    </w:p>
    <w:p>
      <w:pPr>
        <w:spacing w:after="100"/>
      </w:pPr>
      <w:r>
        <w:rPr>
          <w:rFonts w:ascii="Calibri" w:hAnsi="Calibri"/>
          <w:sz w:val="19"/>
        </w:rPr>
        <w:t>0.031 rather than the 1/10 ceiling of the earlier 9-layer even-only grid.</w:t>
      </w:r>
    </w:p>
    <w:p>
      <w:pPr>
        <w:spacing w:before="220" w:after="100"/>
      </w:pPr>
      <w:r>
        <w:rPr>
          <w:rFonts w:ascii="Calibri" w:hAnsi="Calibri"/>
          <w:b/>
          <w:color w:val="1F3864"/>
          <w:sz w:val="22"/>
        </w:rPr>
        <w:t>Verified sound</w:t>
      </w:r>
    </w:p>
    <w:p>
      <w:pPr>
        <w:spacing w:after="100"/>
      </w:pPr>
      <w:r>
        <w:rPr>
          <w:rFonts w:ascii="Calibri" w:hAnsi="Calibri"/>
          <w:sz w:val="19"/>
        </w:rPr>
        <w:t xml:space="preserve">Checked rather than assumed, by adversarial audit: read site equals injection site · causal mask correct · </w:t>
      </w:r>
      <w:r>
        <w:rPr>
          <w:rFonts w:ascii="Consolas" w:hAnsi="Consolas"/>
          <w:sz w:val="19"/>
        </w:rPr>
        <w:t>lm_head</w:t>
      </w:r>
      <w:r>
        <w:rPr>
          <w:rFonts w:ascii="Calibri" w:hAnsi="Calibri"/>
          <w:sz w:val="19"/>
        </w:rPr>
        <w:t xml:space="preserve"> untied · all directions exactly unit-norm · read-one/inject-everywhere is the paper's design · MMLU 61.0% is 3.1pp from the paper's matched no-CoT figure (p = 0.27) · length / word-count shortcut </w:t>
      </w:r>
      <w:r>
        <w:rPr>
          <w:rFonts w:ascii="Calibri" w:hAnsi="Calibri"/>
          <w:b/>
          <w:sz w:val="19"/>
        </w:rPr>
        <w:t>refuted</w:t>
      </w:r>
      <w:r>
        <w:rPr>
          <w:rFonts w:ascii="Calibri" w:hAnsi="Calibri"/>
          <w:sz w:val="19"/>
        </w:rPr>
        <w:t xml:space="preserve"> (0.444, below chance) · massive-activation artifact </w:t>
      </w:r>
      <w:r>
        <w:rPr>
          <w:rFonts w:ascii="Calibri" w:hAnsi="Calibri"/>
          <w:b/>
          <w:sz w:val="19"/>
        </w:rPr>
        <w:t>refuted</w:t>
      </w:r>
      <w:r>
        <w:rPr>
          <w:rFonts w:ascii="Calibri" w:hAnsi="Calibri"/>
          <w:sz w:val="19"/>
        </w:rPr>
        <w:t xml:space="preserve"> (participation ratio 1264/4096) · corpus split discipline </w:t>
      </w:r>
      <w:r>
        <w:rPr>
          <w:rFonts w:ascii="Calibri" w:hAnsi="Calibri"/>
          <w:b/>
          <w:sz w:val="19"/>
        </w:rPr>
        <w:t>stronger</w:t>
      </w:r>
      <w:r>
        <w:rPr>
          <w:rFonts w:ascii="Calibri" w:hAnsi="Calibri"/>
          <w:sz w:val="19"/>
        </w:rPr>
        <w:t xml:space="preserve"> than the paper's stated protocol.</w:t>
      </w:r>
    </w:p>
    <w:p>
      <w:pPr>
        <w:spacing w:before="60" w:after="140"/>
        <w:pBdr>
          <w:bottom w:val="single" w:sz="6" w:color="BFBFBF" w:space="1"/>
        </w:pBdr>
      </w:pPr>
    </w:p>
    <w:p>
      <w:pPr>
        <w:spacing w:before="220" w:after="100"/>
      </w:pPr>
      <w:r>
        <w:rPr>
          <w:rFonts w:ascii="Calibri" w:hAnsi="Calibri"/>
          <w:b/>
          <w:color w:val="1F3864"/>
          <w:sz w:val="22"/>
        </w:rPr>
        <w:t>Next, in order</w:t>
      </w:r>
    </w:p>
    <w:p>
      <w:pPr>
        <w:spacing w:after="60"/>
        <w:ind w:left="432" w:hanging="432"/>
      </w:pPr>
      <w:r>
        <w:rPr>
          <w:rFonts w:ascii="Calibri" w:hAnsi="Calibri"/>
          <w:b/>
          <w:sz w:val="19"/>
        </w:rPr>
        <w:t xml:space="preserve">1.  </w:t>
      </w:r>
      <w:r>
        <w:rPr>
          <w:rFonts w:ascii="Calibri" w:hAnsi="Calibri"/>
          <w:b/>
          <w:sz w:val="19"/>
        </w:rPr>
        <w:t>Find an outcome that discriminates.</w:t>
      </w:r>
      <w:r>
        <w:rPr>
          <w:rFonts w:ascii="Calibri" w:hAnsi="Calibri"/>
          <w:sz w:val="19"/>
        </w:rPr>
        <w:t xml:space="preserve"> The self-attribution battery cannot. The paper's IDAQ items (mind attributed to animals, nature, technology) and its supernatural battery are </w:t>
      </w:r>
      <w:r>
        <w:rPr>
          <w:rFonts w:ascii="Calibri" w:hAnsi="Calibri"/>
          <w:i/>
          <w:sz w:val="19"/>
        </w:rPr>
        <w:t>not</w:t>
      </w:r>
      <w:r>
        <w:rPr>
          <w:rFonts w:ascii="Calibri" w:hAnsi="Calibri"/>
          <w:sz w:val="19"/>
        </w:rPr>
        <w:t xml:space="preserve"> self-descriptions, so they are the natural place to look for a measure where the consciousness direction separates from the placebo. This is the single highest-value next step.</w:t>
      </w:r>
    </w:p>
    <w:p>
      <w:pPr>
        <w:spacing w:after="60"/>
        <w:ind w:left="432" w:hanging="432"/>
      </w:pPr>
      <w:r>
        <w:rPr>
          <w:rFonts w:ascii="Calibri" w:hAnsi="Calibri"/>
          <w:b/>
          <w:sz w:val="19"/>
        </w:rPr>
        <w:t xml:space="preserve">2.  </w:t>
      </w:r>
      <w:r>
        <w:rPr>
          <w:rFonts w:ascii="Calibri" w:hAnsi="Calibri"/>
          <w:b/>
          <w:sz w:val="19"/>
        </w:rPr>
        <w:t>Build the safety-ablation arm</w:t>
      </w:r>
      <w:r>
        <w:rPr>
          <w:rFonts w:ascii="Calibri" w:hAnsi="Calibri"/>
          <w:sz w:val="19"/>
        </w:rPr>
        <w:t xml:space="preserve"> (Arditi's refusal direction) — required for anything touching the paper's actual central claim.</w:t>
      </w:r>
    </w:p>
    <w:p>
      <w:pPr>
        <w:spacing w:after="60"/>
        <w:ind w:left="432" w:hanging="432"/>
      </w:pPr>
      <w:r>
        <w:rPr>
          <w:rFonts w:ascii="Calibri" w:hAnsi="Calibri"/>
          <w:b/>
          <w:sz w:val="19"/>
        </w:rPr>
        <w:t xml:space="preserve">3.  </w:t>
      </w:r>
      <w:r>
        <w:rPr>
          <w:rFonts w:ascii="Calibri" w:hAnsi="Calibri"/>
          <w:b/>
          <w:sz w:val="19"/>
        </w:rPr>
        <w:t>Use the paper's verbatim battery wording</w:t>
      </w:r>
      <w:r>
        <w:rPr>
          <w:rFonts w:ascii="Calibri" w:hAnsi="Calibri"/>
          <w:sz w:val="19"/>
        </w:rPr>
        <w:t xml:space="preserve"> (Table S10) so item-level comparison becomes valid.</w:t>
      </w:r>
    </w:p>
    <w:p>
      <w:pPr>
        <w:spacing w:after="60"/>
        <w:ind w:left="432" w:hanging="432"/>
      </w:pPr>
      <w:r>
        <w:rPr>
          <w:rFonts w:ascii="Calibri" w:hAnsi="Calibri"/>
          <w:b/>
          <w:sz w:val="19"/>
        </w:rPr>
        <w:t xml:space="preserve">4.  </w:t>
      </w:r>
      <w:r>
        <w:rPr>
          <w:rFonts w:ascii="Calibri" w:hAnsi="Calibri"/>
          <w:b/>
          <w:sz w:val="19"/>
        </w:rPr>
        <w:t>Re-run on Gemma-2-2B-IT</w:t>
      </w:r>
      <w:r>
        <w:rPr>
          <w:rFonts w:ascii="Calibri" w:hAnsi="Calibri"/>
          <w:sz w:val="19"/>
        </w:rPr>
        <w:t>, the cheapest of the paper's other two models, as a second data point.</w:t>
      </w:r>
    </w:p>
    <w:p>
      <w:pPr>
        <w:spacing w:before="220" w:after="100"/>
      </w:pPr>
      <w:r>
        <w:rPr>
          <w:rFonts w:ascii="Calibri" w:hAnsi="Calibri"/>
          <w:b/>
          <w:color w:val="1F3864"/>
          <w:sz w:val="22"/>
        </w:rPr>
        <w:t>Files</w:t>
      </w:r>
    </w:p>
    <w:p>
      <w:pPr>
        <w:spacing w:after="100"/>
      </w:pPr>
      <w:r>
        <w:rPr>
          <w:rFonts w:ascii="Consolas" w:hAnsi="Consolas"/>
          <w:sz w:val="19"/>
        </w:rPr>
        <w:t>build_corpus.py</w:t>
      </w:r>
      <w:r>
        <w:rPr>
          <w:rFonts w:ascii="Calibri" w:hAnsi="Calibri"/>
          <w:sz w:val="19"/>
        </w:rPr>
        <w:t xml:space="preserve"> → </w:t>
      </w:r>
      <w:r>
        <w:rPr>
          <w:rFonts w:ascii="Consolas" w:hAnsi="Consolas"/>
          <w:sz w:val="19"/>
        </w:rPr>
        <w:t>consciousness_pairs.jsonl</w:t>
      </w:r>
      <w:r>
        <w:rPr>
          <w:rFonts w:ascii="Calibri" w:hAnsi="Calibri"/>
          <w:sz w:val="19"/>
        </w:rPr>
        <w:t xml:space="preserve"> · </w:t>
      </w:r>
      <w:r>
        <w:rPr>
          <w:rFonts w:ascii="Consolas" w:hAnsi="Consolas"/>
          <w:sz w:val="19"/>
        </w:rPr>
        <w:t>consciousness_pairs.xlsx</w:t>
      </w:r>
      <w:r>
        <w:rPr>
          <w:rFonts w:ascii="Calibri" w:hAnsi="Calibri"/>
          <w:sz w:val="19"/>
        </w:rPr>
        <w:t xml:space="preserve"> (review workbook, Read Me tab) · </w:t>
      </w:r>
      <w:r>
        <w:rPr>
          <w:rFonts w:ascii="Consolas" w:hAnsi="Consolas"/>
          <w:sz w:val="19"/>
        </w:rPr>
        <w:t>extract_direction_mlx.py</w:t>
      </w:r>
      <w:r>
        <w:rPr>
          <w:rFonts w:ascii="Calibri" w:hAnsi="Calibri"/>
          <w:sz w:val="19"/>
        </w:rPr>
        <w:t xml:space="preserve"> → </w:t>
      </w:r>
      <w:r>
        <w:rPr>
          <w:rFonts w:ascii="Consolas" w:hAnsi="Consolas"/>
          <w:sz w:val="19"/>
        </w:rPr>
        <w:t>directions_llama8b_fixed.npz</w:t>
      </w:r>
      <w:r>
        <w:rPr>
          <w:rFonts w:ascii="Calibri" w:hAnsi="Calibri"/>
          <w:sz w:val="19"/>
        </w:rPr>
        <w:t xml:space="preserve"> · </w:t>
      </w:r>
      <w:r>
        <w:rPr>
          <w:rFonts w:ascii="Consolas" w:hAnsi="Consolas"/>
          <w:sz w:val="19"/>
        </w:rPr>
        <w:t>steer_sweep_mlx.py</w:t>
      </w:r>
      <w:r>
        <w:rPr>
          <w:rFonts w:ascii="Calibri" w:hAnsi="Calibri"/>
          <w:sz w:val="19"/>
        </w:rPr>
        <w:t xml:space="preserve"> → </w:t>
      </w:r>
      <w:r>
        <w:rPr>
          <w:rFonts w:ascii="Consolas" w:hAnsi="Consolas"/>
          <w:sz w:val="19"/>
        </w:rPr>
        <w:t>steer_sweep_results.json</w:t>
      </w:r>
      <w:r>
        <w:rPr>
          <w:rFonts w:ascii="Calibri" w:hAnsi="Calibri"/>
          <w:sz w:val="19"/>
        </w:rPr>
        <w:t xml:space="preserve"> · </w:t>
      </w:r>
      <w:r>
        <w:rPr>
          <w:rFonts w:ascii="Consolas" w:hAnsi="Consolas"/>
          <w:sz w:val="19"/>
        </w:rPr>
        <w:t>analysis.py</w:t>
      </w:r>
      <w:r>
        <w:rPr>
          <w:rFonts w:ascii="Calibri" w:hAnsi="Calibri"/>
          <w:sz w:val="19"/>
        </w:rPr>
        <w:t xml:space="preserve"> (shared scoring) · </w:t>
      </w:r>
      <w:r>
        <w:rPr>
          <w:rFonts w:ascii="Consolas" w:hAnsi="Consolas"/>
          <w:sz w:val="19"/>
        </w:rPr>
        <w:t>all_pairs_review.txt</w:t>
      </w:r>
    </w:p>
    <w:sectPr w:rsidR="00FC693F" w:rsidRPr="0006063C" w:rsidSect="00034616">
      <w:pgSz w:w="12240" w:h="15840"/>
      <w:pgMar w:top="893" w:right="1296" w:bottom="893"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