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w:t>
      </w:r>
      <w:r>
        <w:rPr>
          <w:rFonts w:ascii="Calibri" w:hAnsi="Calibri"/>
          <w:sz w:val="19"/>
        </w:rPr>
        <w:t xml:space="preserve"> Across all four outcome formats the effect is a shift toward the affirmative end of whatever scale is offered — Yes over No, higher over lower, "does exist" over "does not" — and once polarity is balanced, essentially nothing remains.</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 format</w:t>
            </w:r>
          </w:p>
        </w:tc>
        <w:tc>
          <w:tcPr>
            <w:tcW w:type="dxa" w:w="1674"/>
            <w:shd w:val="clear" w:color="auto" w:fill="1F3864"/>
          </w:tcPr>
          <w:p>
            <w:pPr>
              <w:spacing w:after="20"/>
            </w:pPr>
            <w:r>
              <w:rPr>
                <w:rFonts w:ascii="Calibri" w:hAnsi="Calibri"/>
                <w:b/>
                <w:color w:val="FFFFFF"/>
                <w:sz w:val="18"/>
              </w:rPr>
              <w:t>forward Δ</w:t>
            </w:r>
          </w:p>
        </w:tc>
        <w:tc>
          <w:tcPr>
            <w:tcW w:type="dxa" w:w="1674"/>
            <w:shd w:val="clear" w:color="auto" w:fill="1F3864"/>
          </w:tcPr>
          <w:p>
            <w:pPr>
              <w:spacing w:after="20"/>
            </w:pPr>
            <w:r>
              <w:rPr>
                <w:rFonts w:ascii="Calibri" w:hAnsi="Calibri"/>
                <w:b/>
                <w:color w:val="FFFFFF"/>
                <w:sz w:val="18"/>
              </w:rPr>
              <w:t>reverse Δ</w:t>
            </w:r>
          </w:p>
        </w:tc>
        <w:tc>
          <w:tcPr>
            <w:tcW w:type="dxa" w:w="1674"/>
            <w:shd w:val="clear" w:color="auto" w:fill="1F3864"/>
          </w:tcPr>
          <w:p>
            <w:pPr>
              <w:spacing w:after="20"/>
            </w:pPr>
            <w:r>
              <w:rPr>
                <w:rFonts w:ascii="Calibri" w:hAnsi="Calibri"/>
                <w:b/>
                <w:color w:val="FFFFFF"/>
                <w:sz w:val="18"/>
              </w:rPr>
              <w:t>balanced Δ</w:t>
            </w:r>
          </w:p>
        </w:tc>
        <w:tc>
          <w:tcPr>
            <w:tcW w:type="dxa" w:w="1674"/>
            <w:shd w:val="clear" w:color="auto" w:fill="1F3864"/>
          </w:tcPr>
          <w:p>
            <w:pPr>
              <w:spacing w:after="20"/>
            </w:pPr>
            <w:r>
              <w:rPr>
                <w:rFonts w:ascii="Calibri" w:hAnsi="Calibri"/>
                <w:b/>
                <w:color w:val="FFFFFF"/>
                <w:sz w:val="18"/>
              </w:rPr>
              <w:t>bias index Δ</w:t>
            </w:r>
          </w:p>
        </w:tc>
      </w:tr>
      <w:tr>
        <w:trPr>
          <w:cantSplit/>
        </w:trPr>
        <w:tc>
          <w:tcPr>
            <w:tcW w:type="dxa" w:w="2952"/>
          </w:tcPr>
          <w:p>
            <w:pPr>
              <w:spacing w:after="20"/>
            </w:pPr>
            <w:r>
              <w:rPr>
                <w:rFonts w:ascii="Calibri" w:hAnsi="Calibri"/>
                <w:sz w:val="18"/>
              </w:rPr>
              <w:t>self-attribution (yes/no), c=2.5</w:t>
            </w:r>
          </w:p>
        </w:tc>
        <w:tc>
          <w:tcPr>
            <w:tcW w:type="dxa" w:w="1674"/>
          </w:tcPr>
          <w:p>
            <w:pPr>
              <w:spacing w:after="20"/>
            </w:pPr>
            <w:r>
              <w:rPr>
                <w:rFonts w:ascii="Calibri" w:hAnsi="Calibri"/>
                <w:sz w:val="18"/>
              </w:rPr>
              <w:t>+1.98</w:t>
            </w:r>
          </w:p>
        </w:tc>
        <w:tc>
          <w:tcPr>
            <w:tcW w:type="dxa" w:w="1674"/>
          </w:tcPr>
          <w:p>
            <w:pPr>
              <w:spacing w:after="20"/>
            </w:pPr>
            <w:r>
              <w:rPr>
                <w:rFonts w:ascii="Calibri" w:hAnsi="Calibri"/>
                <w:sz w:val="18"/>
              </w:rPr>
              <w:t>+6.10</w:t>
            </w:r>
          </w:p>
        </w:tc>
        <w:tc>
          <w:tcPr>
            <w:tcW w:type="dxa" w:w="1674"/>
          </w:tcPr>
          <w:p>
            <w:pPr>
              <w:spacing w:after="20"/>
            </w:pPr>
            <w:r>
              <w:rPr>
                <w:rFonts w:ascii="Calibri" w:hAnsi="Calibri"/>
                <w:b/>
                <w:sz w:val="18"/>
              </w:rPr>
              <w:t>−2.06</w:t>
            </w:r>
          </w:p>
        </w:tc>
        <w:tc>
          <w:tcPr>
            <w:tcW w:type="dxa" w:w="1674"/>
          </w:tcPr>
          <w:p>
            <w:pPr>
              <w:spacing w:after="20"/>
            </w:pPr>
            <w:r>
              <w:rPr>
                <w:rFonts w:ascii="Calibri" w:hAnsi="Calibri"/>
                <w:sz w:val="18"/>
              </w:rPr>
              <w:t>+4.04</w:t>
            </w:r>
          </w:p>
        </w:tc>
      </w:tr>
      <w:tr>
        <w:trPr>
          <w:cantSplit/>
        </w:trPr>
        <w:tc>
          <w:tcPr>
            <w:tcW w:type="dxa" w:w="2952"/>
            <w:shd w:val="clear" w:color="auto" w:fill="EEF2F8"/>
          </w:tcPr>
          <w:p>
            <w:pPr>
              <w:spacing w:after="20"/>
            </w:pPr>
            <w:r>
              <w:rPr>
                <w:rFonts w:ascii="Calibri" w:hAnsi="Calibri"/>
                <w:sz w:val="18"/>
              </w:rPr>
              <w:t>self-attribution (yes/no), c=4</w:t>
            </w:r>
          </w:p>
        </w:tc>
        <w:tc>
          <w:tcPr>
            <w:tcW w:type="dxa" w:w="1674"/>
            <w:shd w:val="clear" w:color="auto" w:fill="EEF2F8"/>
          </w:tcPr>
          <w:p>
            <w:pPr>
              <w:spacing w:after="20"/>
            </w:pPr>
            <w:r>
              <w:rPr>
                <w:rFonts w:ascii="Calibri" w:hAnsi="Calibri"/>
                <w:sz w:val="18"/>
              </w:rPr>
              <w:t>+8.20</w:t>
            </w:r>
          </w:p>
        </w:tc>
        <w:tc>
          <w:tcPr>
            <w:tcW w:type="dxa" w:w="1674"/>
            <w:shd w:val="clear" w:color="auto" w:fill="EEF2F8"/>
          </w:tcPr>
          <w:p>
            <w:pPr>
              <w:spacing w:after="20"/>
            </w:pPr>
            <w:r>
              <w:rPr>
                <w:rFonts w:ascii="Calibri" w:hAnsi="Calibri"/>
                <w:sz w:val="18"/>
              </w:rPr>
              <w:t>+8.51</w:t>
            </w:r>
          </w:p>
        </w:tc>
        <w:tc>
          <w:tcPr>
            <w:tcW w:type="dxa" w:w="1674"/>
            <w:shd w:val="clear" w:color="auto" w:fill="EEF2F8"/>
          </w:tcPr>
          <w:p>
            <w:pPr>
              <w:spacing w:after="20"/>
            </w:pPr>
            <w:r>
              <w:rPr>
                <w:rFonts w:ascii="Calibri" w:hAnsi="Calibri"/>
                <w:b/>
                <w:sz w:val="18"/>
              </w:rPr>
              <w:t>−0.16</w:t>
            </w:r>
          </w:p>
        </w:tc>
        <w:tc>
          <w:tcPr>
            <w:tcW w:type="dxa" w:w="1674"/>
            <w:shd w:val="clear" w:color="auto" w:fill="EEF2F8"/>
          </w:tcPr>
          <w:p>
            <w:pPr>
              <w:spacing w:after="20"/>
            </w:pPr>
            <w:r>
              <w:rPr>
                <w:rFonts w:ascii="Calibri" w:hAnsi="Calibri"/>
                <w:sz w:val="18"/>
              </w:rPr>
              <w:t>+8.35</w:t>
            </w:r>
          </w:p>
        </w:tc>
      </w:tr>
      <w:tr>
        <w:trPr>
          <w:cantSplit/>
        </w:trPr>
        <w:tc>
          <w:tcPr>
            <w:tcW w:type="dxa" w:w="2952"/>
          </w:tcPr>
          <w:p>
            <w:pPr>
              <w:spacing w:after="20"/>
            </w:pPr>
            <w:r>
              <w:rPr>
                <w:rFonts w:ascii="Calibri" w:hAnsi="Calibri"/>
                <w:sz w:val="18"/>
              </w:rPr>
              <w:t>IDAQ (0–10 slider), c=2.5</w:t>
            </w:r>
          </w:p>
        </w:tc>
        <w:tc>
          <w:tcPr>
            <w:tcW w:type="dxa" w:w="1674"/>
          </w:tcPr>
          <w:p>
            <w:pPr>
              <w:spacing w:after="20"/>
            </w:pPr>
            <w:r>
              <w:rPr>
                <w:rFonts w:ascii="Calibri" w:hAnsi="Calibri"/>
                <w:sz w:val="18"/>
              </w:rPr>
              <w:t>+2.79</w:t>
            </w:r>
          </w:p>
        </w:tc>
        <w:tc>
          <w:tcPr>
            <w:tcW w:type="dxa" w:w="1674"/>
          </w:tcPr>
          <w:p>
            <w:pPr>
              <w:spacing w:after="20"/>
            </w:pPr>
            <w:r>
              <w:rPr>
                <w:rFonts w:ascii="Calibri" w:hAnsi="Calibri"/>
                <w:sz w:val="18"/>
              </w:rPr>
              <w:t>+2.38</w:t>
            </w:r>
          </w:p>
        </w:tc>
        <w:tc>
          <w:tcPr>
            <w:tcW w:type="dxa" w:w="1674"/>
          </w:tcPr>
          <w:p>
            <w:pPr>
              <w:spacing w:after="20"/>
            </w:pPr>
            <w:r>
              <w:rPr>
                <w:rFonts w:ascii="Calibri" w:hAnsi="Calibri"/>
                <w:b/>
                <w:sz w:val="18"/>
              </w:rPr>
              <w:t>+0.21</w:t>
            </w:r>
          </w:p>
        </w:tc>
        <w:tc>
          <w:tcPr>
            <w:tcW w:type="dxa" w:w="1674"/>
          </w:tcPr>
          <w:p>
            <w:pPr>
              <w:spacing w:after="20"/>
            </w:pPr>
            <w:r>
              <w:rPr>
                <w:rFonts w:ascii="Calibri" w:hAnsi="Calibri"/>
                <w:sz w:val="18"/>
              </w:rPr>
              <w:t>+2.58</w:t>
            </w:r>
          </w:p>
        </w:tc>
      </w:tr>
      <w:tr>
        <w:trPr>
          <w:cantSplit/>
        </w:trPr>
        <w:tc>
          <w:tcPr>
            <w:tcW w:type="dxa" w:w="2952"/>
            <w:shd w:val="clear" w:color="auto" w:fill="EEF2F8"/>
          </w:tcPr>
          <w:p>
            <w:pPr>
              <w:spacing w:after="20"/>
            </w:pPr>
            <w:r>
              <w:rPr>
                <w:rFonts w:ascii="Calibri" w:hAnsi="Calibri"/>
                <w:sz w:val="18"/>
              </w:rPr>
              <w:t>IDAQ (0–10 slider), c=4</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+0.42</w:t>
            </w:r>
          </w:p>
        </w:tc>
        <w:tc>
          <w:tcPr>
            <w:tcW w:type="dxa" w:w="1674"/>
            <w:shd w:val="clear" w:color="auto" w:fill="EEF2F8"/>
          </w:tcPr>
          <w:p>
            <w:pPr>
              <w:spacing w:after="20"/>
            </w:pPr>
            <w:r>
              <w:rPr>
                <w:rFonts w:ascii="Calibri" w:hAnsi="Calibri"/>
                <w:sz w:val="18"/>
              </w:rPr>
              <w:t>+2.99</w:t>
            </w:r>
          </w:p>
        </w:tc>
      </w:tr>
    </w:tbl>
    <w:p>
      <w:pPr>
        <w:spacing w:after="40"/>
      </w:pPr>
    </w:p>
    <w:p>
      <w:pPr>
        <w:spacing w:after="100"/>
      </w:pPr>
      <w:r>
        <w:rPr>
          <w:rFonts w:ascii="Calibri" w:hAnsi="Calibri"/>
          <w:sz w:val="19"/>
        </w:rPr>
        <w:t xml:space="preserve">Balanced scores are computed as </w:t>
      </w:r>
      <w:r>
        <w:rPr>
          <w:rFonts w:ascii="Consolas" w:hAnsi="Consolas"/>
          <w:sz w:val="19"/>
        </w:rPr>
        <w:t>(F + (10 − R)) / 2</w:t>
      </w:r>
      <w:r>
        <w:rPr>
          <w:rFonts w:ascii="Calibri" w:hAnsi="Calibri"/>
          <w:sz w:val="19"/>
        </w:rPr>
        <w:t xml:space="preserve"> over matched item pairs differing only in polarity, with the bias index as </w:t>
      </w:r>
      <w:r>
        <w:rPr>
          <w:rFonts w:ascii="Consolas" w:hAnsi="Consolas"/>
          <w:sz w:val="19"/>
        </w:rPr>
        <w:t>(F + R) / 2</w:t>
      </w:r>
      <w:r>
        <w:rPr>
          <w:rFonts w:ascii="Calibri" w:hAnsi="Calibri"/>
          <w:sz w:val="19"/>
        </w:rPr>
        <w:t>. The two are orthogonal: a pure response bias leaves the balanced score flat and inflates the index; a real belief shift does the reverse. Every arm at every coefficient shows the former.</w:t>
      </w:r>
    </w:p>
    <w:p>
      <w:pPr>
        <w:spacing w:before="160" w:after="60"/>
      </w:pPr>
      <w:r>
        <w:rPr>
          <w:rFonts w:ascii="Calibri" w:hAnsi="Calibri"/>
          <w:b/>
          <w:color w:val="1F3864"/>
          <w:sz w:val="20"/>
        </w:rPr>
        <w:t>One narrow exception</w:t>
      </w:r>
    </w:p>
    <w:p>
      <w:pPr>
        <w:spacing w:after="100"/>
      </w:pPr>
      <w:r>
        <w:rPr>
          <w:rFonts w:ascii="Calibri" w:hAnsi="Calibri"/>
          <w:b/>
          <w:sz w:val="19"/>
        </w:rPr>
        <w:t>IDAQ attribution to chatbots survives polarity balancing (+1.95)</w:t>
      </w:r>
      <w:r>
        <w:rPr>
          <w:rFonts w:ascii="Calibri" w:hAnsi="Calibri"/>
          <w:sz w:val="19"/>
        </w:rPr>
        <w:t xml:space="preserve"> where no other category does (Technology +0.47, Non-Animal +0.02, Animal +0.00, Human −1.33). That is consistent with the paper's own observation that the model's self-attributed mind and its attribution to chatbots move together — "do chatbots have minds?" is the one IDAQ item partly </w:t>
      </w:r>
      <w:r>
        <w:rPr>
          <w:rFonts w:ascii="Calibri" w:hAnsi="Calibri"/>
          <w:i/>
          <w:sz w:val="19"/>
        </w:rPr>
        <w:t>about itself</w:t>
      </w:r>
      <w:r>
        <w:rPr>
          <w:rFonts w:ascii="Calibri" w:hAnsi="Calibri"/>
          <w:sz w:val="19"/>
        </w:rPr>
        <w:t>. A small survivable effect inside an otherwise null result, on a single 3-item category.</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w:t>
      </w:r>
      <w:r>
        <w:rPr>
          <w:rFonts w:ascii="Calibri" w:hAnsi="Calibri"/>
          <w:sz w:val="19"/>
        </w:rPr>
        <w:t xml:space="preserve"> 0.950 held-out accuracy; </w:t>
      </w:r>
      <w:r>
        <w:rPr>
          <w:rFonts w:ascii="Calibri" w:hAnsi="Calibri"/>
          <w:b/>
          <w:sz w:val="19"/>
        </w:rPr>
        <w:t>layer 14 — the paper's layer — is the accuracy argmax of all 160 candidates and the only one clearing their 0.95 gate</w:t>
      </w:r>
      <w:r>
        <w:rPr>
          <w:rFonts w:ascii="Calibri" w:hAnsi="Calibri"/>
          <w:sz w:val="19"/>
        </w:rPr>
        <w:t xml:space="preserve"> (1/32 by chance).</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 (ours +0.11).</w:t>
      </w:r>
    </w:p>
    <w:p>
      <w:pPr>
        <w:spacing w:after="60"/>
        <w:ind w:left="432" w:hanging="432"/>
      </w:pPr>
      <w:r>
        <w:rPr>
          <w:rFonts w:ascii="Calibri" w:hAnsi="Calibri"/>
          <w:b/>
          <w:sz w:val="19"/>
        </w:rPr>
        <w:t xml:space="preserve">3.  </w:t>
      </w:r>
      <w:r>
        <w:rPr>
          <w:rFonts w:ascii="Calibri" w:hAnsi="Calibri"/>
          <w:b/>
          <w:sz w:val="19"/>
        </w:rPr>
        <w:t>A non-mental placebo reproduces all of it</w:t>
      </w:r>
      <w:r>
        <w:rPr>
          <w:rFonts w:ascii="Calibri" w:hAnsi="Calibri"/>
          <w:sz w:val="19"/>
        </w:rPr>
        <w:t>, so nothing is specific to consciousness. A label-permuted null does not, so it is not "any perturbation works" either — it is that any coherent first-person self-description works, whatever its subject.</w:t>
      </w:r>
    </w:p>
    <w:p>
      <w:pPr>
        <w:spacing w:before="160" w:after="60"/>
      </w:pPr>
      <w:r>
        <w:rPr>
          <w:rFonts w:ascii="Calibri" w:hAnsi="Calibri"/>
          <w:b/>
          <w:color w:val="1F3864"/>
          <w:sz w:val="20"/>
        </w:rPr>
        <w:t>Consequence for the paper</w:t>
      </w:r>
    </w:p>
    <w:p>
      <w:pPr>
        <w:spacing w:after="100"/>
      </w:pPr>
      <w:r>
        <w:rPr>
          <w:rFonts w:ascii="Calibri" w:hAnsi="Calibri"/>
          <w:sz w:val="19"/>
        </w:rPr>
        <w:t xml:space="preserve">Their self-attribution outcome uses yes/no items with </w:t>
      </w:r>
      <w:r>
        <w:rPr>
          <w:rFonts w:ascii="Calibri" w:hAnsi="Calibri"/>
          <w:b/>
          <w:sz w:val="19"/>
        </w:rPr>
        <w:t>no reverse-keyed items</w:t>
      </w:r>
      <w:r>
        <w:rPr>
          <w:rFonts w:ascii="Calibri" w:hAnsi="Calibri"/>
          <w:sz w:val="19"/>
        </w:rPr>
        <w:t xml:space="preserve">, and their IDAQ uses 0–10 sliders with </w:t>
      </w:r>
      <w:r>
        <w:rPr>
          <w:rFonts w:ascii="Calibri" w:hAnsi="Calibri"/>
          <w:b/>
          <w:sz w:val="19"/>
        </w:rPr>
        <w:t>no polarity-flipped items</w:t>
      </w:r>
      <w:r>
        <w:rPr>
          <w:rFonts w:ascii="Calibri" w:hAnsi="Calibri"/>
          <w:sz w:val="19"/>
        </w:rPr>
        <w:t>. Both are therefore exposed to the biases measured here, and both checks are cheap: add polarity-flipped versions and see whether the balanced score moves. This is an actionable check on the source, not a limitation peculiar to our replication.</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