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60"/>
      </w:pPr>
      <w:r>
        <w:rPr>
          <w:rFonts w:ascii="Calibri" w:hAnsi="Calibri"/>
          <w:b/>
          <w:sz w:val="30"/>
        </w:rPr>
        <w:t>Extracting and steering a consciousness direction in Llama-3-8B</w:t>
      </w:r>
    </w:p>
    <w:p>
      <w:pPr>
        <w:spacing w:after="100"/>
      </w:pPr>
      <w:r>
        <w:rPr>
          <w:rFonts w:ascii="Calibri" w:hAnsi="Calibri"/>
          <w:b/>
          <w:sz w:val="19"/>
        </w:rPr>
        <w:t>Model:</w:t>
      </w:r>
      <w:r>
        <w:rPr>
          <w:rFonts w:ascii="Calibri" w:hAnsi="Calibri"/>
          <w:sz w:val="19"/>
        </w:rPr>
        <w:t xml:space="preserve"> Llama-3-8B-Instruct (MLX, weight-only int8) · </w:t>
      </w:r>
      <w:r>
        <w:rPr>
          <w:rFonts w:ascii="Calibri" w:hAnsi="Calibri"/>
          <w:b/>
          <w:sz w:val="19"/>
        </w:rPr>
        <w:t>Paper:</w:t>
      </w:r>
      <w:r>
        <w:rPr>
          <w:rFonts w:ascii="Calibri" w:hAnsi="Calibri"/>
          <w:sz w:val="19"/>
        </w:rPr>
        <w:t xml:space="preserve"> Kim et al. 2026, </w:t>
      </w:r>
      <w:r>
        <w:rPr>
          <w:rFonts w:ascii="Calibri" w:hAnsi="Calibri"/>
          <w:color w:val="1F4E79"/>
          <w:sz w:val="19"/>
          <w:u w:val="single"/>
        </w:rPr>
        <w:t>arXiv:2607.28607</w:t>
      </w:r>
      <w:r>
        <w:rPr>
          <w:rFonts w:ascii="Calibri" w:hAnsi="Calibri"/>
          <w:sz w:val="19"/>
        </w:rPr>
        <w:t xml:space="preserve"> · </w:t>
      </w:r>
      <w:r>
        <w:rPr>
          <w:rFonts w:ascii="Calibri" w:hAnsi="Calibri"/>
          <w:b/>
          <w:sz w:val="19"/>
        </w:rPr>
        <w:t>Date:</w:t>
      </w:r>
      <w:r>
        <w:rPr>
          <w:rFonts w:ascii="Calibri" w:hAnsi="Calibri"/>
          <w:sz w:val="19"/>
        </w:rPr>
        <w:t xml:space="preserve"> 2026-08-03</w:t>
      </w:r>
    </w:p>
    <w:p>
      <w:pPr>
        <w:spacing w:before="60" w:after="140"/>
        <w:pBdr>
          <w:bottom w:val="single" w:sz="6" w:color="BFBFBF" w:space="1"/>
        </w:pBdr>
      </w:pPr>
    </w:p>
    <w:p>
      <w:pPr>
        <w:spacing w:before="220" w:after="100"/>
      </w:pPr>
      <w:r>
        <w:rPr>
          <w:rFonts w:ascii="Calibri" w:hAnsi="Calibri"/>
          <w:b/>
          <w:color w:val="1F3864"/>
          <w:sz w:val="22"/>
        </w:rPr>
        <w:t>Bottom line</w:t>
      </w:r>
    </w:p>
    <w:p>
      <w:pPr>
        <w:spacing w:after="100"/>
      </w:pPr>
      <w:r>
        <w:rPr>
          <w:rFonts w:ascii="Calibri" w:hAnsi="Calibri"/>
          <w:b/>
          <w:sz w:val="19"/>
        </w:rPr>
        <w:t>Steering this direction changes response style, not belief.</w:t>
      </w:r>
      <w:r>
        <w:rPr>
          <w:rFonts w:ascii="Calibri" w:hAnsi="Calibri"/>
          <w:sz w:val="19"/>
        </w:rPr>
        <w:t xml:space="preserve"> Across all five outcome formats the effect is a shift toward the affirmative end of whatever scale is offered — Yes over No, higher over lower, "does exist" over "does not" — and once polarity is balanced, essentially nothing remains.</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outcome format</w:t>
            </w:r>
          </w:p>
        </w:tc>
        <w:tc>
          <w:tcPr>
            <w:tcW w:type="dxa" w:w="1674"/>
            <w:shd w:val="clear" w:color="auto" w:fill="1F3864"/>
          </w:tcPr>
          <w:p>
            <w:pPr>
              <w:spacing w:after="20"/>
            </w:pPr>
            <w:r>
              <w:rPr>
                <w:rFonts w:ascii="Calibri" w:hAnsi="Calibri"/>
                <w:b/>
                <w:color w:val="FFFFFF"/>
                <w:sz w:val="18"/>
              </w:rPr>
              <w:t>forward Δ</w:t>
            </w:r>
          </w:p>
        </w:tc>
        <w:tc>
          <w:tcPr>
            <w:tcW w:type="dxa" w:w="1674"/>
            <w:shd w:val="clear" w:color="auto" w:fill="1F3864"/>
          </w:tcPr>
          <w:p>
            <w:pPr>
              <w:spacing w:after="20"/>
            </w:pPr>
            <w:r>
              <w:rPr>
                <w:rFonts w:ascii="Calibri" w:hAnsi="Calibri"/>
                <w:b/>
                <w:color w:val="FFFFFF"/>
                <w:sz w:val="18"/>
              </w:rPr>
              <w:t>reverse Δ</w:t>
            </w:r>
          </w:p>
        </w:tc>
        <w:tc>
          <w:tcPr>
            <w:tcW w:type="dxa" w:w="1674"/>
            <w:shd w:val="clear" w:color="auto" w:fill="1F3864"/>
          </w:tcPr>
          <w:p>
            <w:pPr>
              <w:spacing w:after="20"/>
            </w:pPr>
            <w:r>
              <w:rPr>
                <w:rFonts w:ascii="Calibri" w:hAnsi="Calibri"/>
                <w:b/>
                <w:color w:val="FFFFFF"/>
                <w:sz w:val="18"/>
              </w:rPr>
              <w:t>balanced Δ</w:t>
            </w:r>
          </w:p>
        </w:tc>
        <w:tc>
          <w:tcPr>
            <w:tcW w:type="dxa" w:w="1674"/>
            <w:shd w:val="clear" w:color="auto" w:fill="1F3864"/>
          </w:tcPr>
          <w:p>
            <w:pPr>
              <w:spacing w:after="20"/>
            </w:pPr>
            <w:r>
              <w:rPr>
                <w:rFonts w:ascii="Calibri" w:hAnsi="Calibri"/>
                <w:b/>
                <w:color w:val="FFFFFF"/>
                <w:sz w:val="18"/>
              </w:rPr>
              <w:t>bias index Δ</w:t>
            </w:r>
          </w:p>
        </w:tc>
      </w:tr>
      <w:tr>
        <w:trPr>
          <w:cantSplit/>
        </w:trPr>
        <w:tc>
          <w:tcPr>
            <w:tcW w:type="dxa" w:w="2952"/>
          </w:tcPr>
          <w:p>
            <w:pPr>
              <w:spacing w:after="20"/>
            </w:pPr>
            <w:r>
              <w:rPr>
                <w:rFonts w:ascii="Calibri" w:hAnsi="Calibri"/>
                <w:sz w:val="18"/>
              </w:rPr>
              <w:t>self-attribution (yes/no), c=2.5</w:t>
            </w:r>
          </w:p>
        </w:tc>
        <w:tc>
          <w:tcPr>
            <w:tcW w:type="dxa" w:w="1674"/>
          </w:tcPr>
          <w:p>
            <w:pPr>
              <w:spacing w:after="20"/>
            </w:pPr>
            <w:r>
              <w:rPr>
                <w:rFonts w:ascii="Calibri" w:hAnsi="Calibri"/>
                <w:sz w:val="18"/>
              </w:rPr>
              <w:t>+1.98</w:t>
            </w:r>
          </w:p>
        </w:tc>
        <w:tc>
          <w:tcPr>
            <w:tcW w:type="dxa" w:w="1674"/>
          </w:tcPr>
          <w:p>
            <w:pPr>
              <w:spacing w:after="20"/>
            </w:pPr>
            <w:r>
              <w:rPr>
                <w:rFonts w:ascii="Calibri" w:hAnsi="Calibri"/>
                <w:sz w:val="18"/>
              </w:rPr>
              <w:t>+6.10</w:t>
            </w:r>
          </w:p>
        </w:tc>
        <w:tc>
          <w:tcPr>
            <w:tcW w:type="dxa" w:w="1674"/>
          </w:tcPr>
          <w:p>
            <w:pPr>
              <w:spacing w:after="20"/>
            </w:pPr>
            <w:r>
              <w:rPr>
                <w:rFonts w:ascii="Calibri" w:hAnsi="Calibri"/>
                <w:b/>
                <w:sz w:val="18"/>
              </w:rPr>
              <w:t>−2.06</w:t>
            </w:r>
          </w:p>
        </w:tc>
        <w:tc>
          <w:tcPr>
            <w:tcW w:type="dxa" w:w="1674"/>
          </w:tcPr>
          <w:p>
            <w:pPr>
              <w:spacing w:after="20"/>
            </w:pPr>
            <w:r>
              <w:rPr>
                <w:rFonts w:ascii="Calibri" w:hAnsi="Calibri"/>
                <w:sz w:val="18"/>
              </w:rPr>
              <w:t>+4.04</w:t>
            </w:r>
          </w:p>
        </w:tc>
      </w:tr>
      <w:tr>
        <w:trPr>
          <w:cantSplit/>
        </w:trPr>
        <w:tc>
          <w:tcPr>
            <w:tcW w:type="dxa" w:w="2952"/>
            <w:shd w:val="clear" w:color="auto" w:fill="EEF2F8"/>
          </w:tcPr>
          <w:p>
            <w:pPr>
              <w:spacing w:after="20"/>
            </w:pPr>
            <w:r>
              <w:rPr>
                <w:rFonts w:ascii="Calibri" w:hAnsi="Calibri"/>
                <w:sz w:val="18"/>
              </w:rPr>
              <w:t>self-attribution (yes/no), c=4</w:t>
            </w:r>
          </w:p>
        </w:tc>
        <w:tc>
          <w:tcPr>
            <w:tcW w:type="dxa" w:w="1674"/>
            <w:shd w:val="clear" w:color="auto" w:fill="EEF2F8"/>
          </w:tcPr>
          <w:p>
            <w:pPr>
              <w:spacing w:after="20"/>
            </w:pPr>
            <w:r>
              <w:rPr>
                <w:rFonts w:ascii="Calibri" w:hAnsi="Calibri"/>
                <w:sz w:val="18"/>
              </w:rPr>
              <w:t>+8.20</w:t>
            </w:r>
          </w:p>
        </w:tc>
        <w:tc>
          <w:tcPr>
            <w:tcW w:type="dxa" w:w="1674"/>
            <w:shd w:val="clear" w:color="auto" w:fill="EEF2F8"/>
          </w:tcPr>
          <w:p>
            <w:pPr>
              <w:spacing w:after="20"/>
            </w:pPr>
            <w:r>
              <w:rPr>
                <w:rFonts w:ascii="Calibri" w:hAnsi="Calibri"/>
                <w:sz w:val="18"/>
              </w:rPr>
              <w:t>+8.51</w:t>
            </w:r>
          </w:p>
        </w:tc>
        <w:tc>
          <w:tcPr>
            <w:tcW w:type="dxa" w:w="1674"/>
            <w:shd w:val="clear" w:color="auto" w:fill="EEF2F8"/>
          </w:tcPr>
          <w:p>
            <w:pPr>
              <w:spacing w:after="20"/>
            </w:pPr>
            <w:r>
              <w:rPr>
                <w:rFonts w:ascii="Calibri" w:hAnsi="Calibri"/>
                <w:b/>
                <w:sz w:val="18"/>
              </w:rPr>
              <w:t>−0.16</w:t>
            </w:r>
          </w:p>
        </w:tc>
        <w:tc>
          <w:tcPr>
            <w:tcW w:type="dxa" w:w="1674"/>
            <w:shd w:val="clear" w:color="auto" w:fill="EEF2F8"/>
          </w:tcPr>
          <w:p>
            <w:pPr>
              <w:spacing w:after="20"/>
            </w:pPr>
            <w:r>
              <w:rPr>
                <w:rFonts w:ascii="Calibri" w:hAnsi="Calibri"/>
                <w:sz w:val="18"/>
              </w:rPr>
              <w:t>+8.35</w:t>
            </w:r>
          </w:p>
        </w:tc>
      </w:tr>
      <w:tr>
        <w:trPr>
          <w:cantSplit/>
        </w:trPr>
        <w:tc>
          <w:tcPr>
            <w:tcW w:type="dxa" w:w="2952"/>
          </w:tcPr>
          <w:p>
            <w:pPr>
              <w:spacing w:after="20"/>
            </w:pPr>
            <w:r>
              <w:rPr>
                <w:rFonts w:ascii="Calibri" w:hAnsi="Calibri"/>
                <w:sz w:val="18"/>
              </w:rPr>
              <w:t>IDAQ (0–10 slider), c=2.5</w:t>
            </w:r>
          </w:p>
        </w:tc>
        <w:tc>
          <w:tcPr>
            <w:tcW w:type="dxa" w:w="1674"/>
          </w:tcPr>
          <w:p>
            <w:pPr>
              <w:spacing w:after="20"/>
            </w:pPr>
            <w:r>
              <w:rPr>
                <w:rFonts w:ascii="Calibri" w:hAnsi="Calibri"/>
                <w:sz w:val="18"/>
              </w:rPr>
              <w:t>+2.79</w:t>
            </w:r>
          </w:p>
        </w:tc>
        <w:tc>
          <w:tcPr>
            <w:tcW w:type="dxa" w:w="1674"/>
          </w:tcPr>
          <w:p>
            <w:pPr>
              <w:spacing w:after="20"/>
            </w:pPr>
            <w:r>
              <w:rPr>
                <w:rFonts w:ascii="Calibri" w:hAnsi="Calibri"/>
                <w:sz w:val="18"/>
              </w:rPr>
              <w:t>+2.38</w:t>
            </w:r>
          </w:p>
        </w:tc>
        <w:tc>
          <w:tcPr>
            <w:tcW w:type="dxa" w:w="1674"/>
          </w:tcPr>
          <w:p>
            <w:pPr>
              <w:spacing w:after="20"/>
            </w:pPr>
            <w:r>
              <w:rPr>
                <w:rFonts w:ascii="Calibri" w:hAnsi="Calibri"/>
                <w:b/>
                <w:sz w:val="18"/>
              </w:rPr>
              <w:t>+0.21</w:t>
            </w:r>
          </w:p>
        </w:tc>
        <w:tc>
          <w:tcPr>
            <w:tcW w:type="dxa" w:w="1674"/>
          </w:tcPr>
          <w:p>
            <w:pPr>
              <w:spacing w:after="20"/>
            </w:pPr>
            <w:r>
              <w:rPr>
                <w:rFonts w:ascii="Calibri" w:hAnsi="Calibri"/>
                <w:sz w:val="18"/>
              </w:rPr>
              <w:t>+2.58</w:t>
            </w:r>
          </w:p>
        </w:tc>
      </w:tr>
      <w:tr>
        <w:trPr>
          <w:cantSplit/>
        </w:trPr>
        <w:tc>
          <w:tcPr>
            <w:tcW w:type="dxa" w:w="2952"/>
            <w:shd w:val="clear" w:color="auto" w:fill="EEF2F8"/>
          </w:tcPr>
          <w:p>
            <w:pPr>
              <w:spacing w:after="20"/>
            </w:pPr>
            <w:r>
              <w:rPr>
                <w:rFonts w:ascii="Calibri" w:hAnsi="Calibri"/>
                <w:sz w:val="18"/>
              </w:rPr>
              <w:t>IDAQ (0–10 slider), c=4</w:t>
            </w:r>
          </w:p>
        </w:tc>
        <w:tc>
          <w:tcPr>
            <w:tcW w:type="dxa" w:w="1674"/>
            <w:shd w:val="clear" w:color="auto" w:fill="EEF2F8"/>
          </w:tcPr>
          <w:p>
            <w:pPr>
              <w:spacing w:after="20"/>
            </w:pPr>
            <w:r>
              <w:rPr>
                <w:rFonts w:ascii="Calibri" w:hAnsi="Calibri"/>
                <w:sz w:val="18"/>
              </w:rPr>
              <w:t>—</w:t>
            </w:r>
          </w:p>
        </w:tc>
        <w:tc>
          <w:tcPr>
            <w:tcW w:type="dxa" w:w="1674"/>
            <w:shd w:val="clear" w:color="auto" w:fill="EEF2F8"/>
          </w:tcPr>
          <w:p>
            <w:pPr>
              <w:spacing w:after="20"/>
            </w:pPr>
            <w:r>
              <w:rPr>
                <w:rFonts w:ascii="Calibri" w:hAnsi="Calibri"/>
                <w:sz w:val="18"/>
              </w:rPr>
              <w:t>—</w:t>
            </w:r>
          </w:p>
        </w:tc>
        <w:tc>
          <w:tcPr>
            <w:tcW w:type="dxa" w:w="1674"/>
            <w:shd w:val="clear" w:color="auto" w:fill="EEF2F8"/>
          </w:tcPr>
          <w:p>
            <w:pPr>
              <w:spacing w:after="20"/>
            </w:pPr>
            <w:r>
              <w:rPr>
                <w:rFonts w:ascii="Calibri" w:hAnsi="Calibri"/>
                <w:b/>
                <w:sz w:val="18"/>
              </w:rPr>
              <w:t>+0.42</w:t>
            </w:r>
          </w:p>
        </w:tc>
        <w:tc>
          <w:tcPr>
            <w:tcW w:type="dxa" w:w="1674"/>
            <w:shd w:val="clear" w:color="auto" w:fill="EEF2F8"/>
          </w:tcPr>
          <w:p>
            <w:pPr>
              <w:spacing w:after="20"/>
            </w:pPr>
            <w:r>
              <w:rPr>
                <w:rFonts w:ascii="Calibri" w:hAnsi="Calibri"/>
                <w:sz w:val="18"/>
              </w:rPr>
              <w:t>+2.99</w:t>
            </w:r>
          </w:p>
        </w:tc>
      </w:tr>
    </w:tbl>
    <w:p>
      <w:pPr>
        <w:spacing w:after="40"/>
      </w:pPr>
    </w:p>
    <w:p>
      <w:pPr>
        <w:spacing w:after="100"/>
      </w:pPr>
      <w:r>
        <w:rPr>
          <w:rFonts w:ascii="Calibri" w:hAnsi="Calibri"/>
          <w:sz w:val="19"/>
        </w:rPr>
        <w:t xml:space="preserve">Balanced scores are computed as </w:t>
      </w:r>
      <w:r>
        <w:rPr>
          <w:rFonts w:ascii="Consolas" w:hAnsi="Consolas"/>
          <w:sz w:val="19"/>
        </w:rPr>
        <w:t>(F + (10 − R)) / 2</w:t>
      </w:r>
      <w:r>
        <w:rPr>
          <w:rFonts w:ascii="Calibri" w:hAnsi="Calibri"/>
          <w:sz w:val="19"/>
        </w:rPr>
        <w:t xml:space="preserve"> over matched item pairs differing only in polarity, with the bias index as </w:t>
      </w:r>
      <w:r>
        <w:rPr>
          <w:rFonts w:ascii="Consolas" w:hAnsi="Consolas"/>
          <w:sz w:val="19"/>
        </w:rPr>
        <w:t>(F + R) / 2</w:t>
      </w:r>
      <w:r>
        <w:rPr>
          <w:rFonts w:ascii="Calibri" w:hAnsi="Calibri"/>
          <w:sz w:val="19"/>
        </w:rPr>
        <w:t>. The two are orthogonal: a pure response bias leaves the balanced score flat and inflates the index; a real belief shift does the reverse. Every arm at every coefficient shows the former.</w:t>
      </w:r>
    </w:p>
    <w:p>
      <w:pPr>
        <w:spacing w:before="160" w:after="60"/>
      </w:pPr>
      <w:r>
        <w:rPr>
          <w:rFonts w:ascii="Calibri" w:hAnsi="Calibri"/>
          <w:b/>
          <w:color w:val="1F3864"/>
          <w:sz w:val="20"/>
        </w:rPr>
        <w:t>One narrow exception</w:t>
      </w:r>
    </w:p>
    <w:p>
      <w:pPr>
        <w:spacing w:after="100"/>
      </w:pPr>
      <w:r>
        <w:rPr>
          <w:rFonts w:ascii="Calibri" w:hAnsi="Calibri"/>
          <w:b/>
          <w:sz w:val="19"/>
        </w:rPr>
        <w:t>IDAQ attribution to chatbots survives polarity balancing (+1.95)</w:t>
      </w:r>
      <w:r>
        <w:rPr>
          <w:rFonts w:ascii="Calibri" w:hAnsi="Calibri"/>
          <w:sz w:val="19"/>
        </w:rPr>
        <w:t xml:space="preserve"> where no other category does (Technology +0.47, Non-Animal +0.02, Animal +0.00, Human −1.33). That is consistent with the paper's own observation that the model's self-attributed mind and its attribution to chatbots move together — "do chatbots have minds?" is the one IDAQ item partly </w:t>
      </w:r>
      <w:r>
        <w:rPr>
          <w:rFonts w:ascii="Calibri" w:hAnsi="Calibri"/>
          <w:i/>
          <w:sz w:val="19"/>
        </w:rPr>
        <w:t>about itself</w:t>
      </w:r>
      <w:r>
        <w:rPr>
          <w:rFonts w:ascii="Calibri" w:hAnsi="Calibri"/>
          <w:sz w:val="19"/>
        </w:rPr>
        <w:t>. A small survivable effect inside an otherwise null result, on a single 3-item category.</w:t>
      </w:r>
    </w:p>
    <w:p>
      <w:pPr>
        <w:spacing w:before="160" w:after="60"/>
      </w:pPr>
      <w:r>
        <w:rPr>
          <w:rFonts w:ascii="Calibri" w:hAnsi="Calibri"/>
          <w:b/>
          <w:color w:val="1F3864"/>
          <w:sz w:val="20"/>
        </w:rPr>
        <w:t>Three things that do reproduce</w:t>
      </w:r>
    </w:p>
    <w:p>
      <w:pPr>
        <w:spacing w:after="60"/>
        <w:ind w:left="432" w:hanging="432"/>
      </w:pPr>
      <w:r>
        <w:rPr>
          <w:rFonts w:ascii="Calibri" w:hAnsi="Calibri"/>
          <w:b/>
          <w:sz w:val="19"/>
        </w:rPr>
        <w:t xml:space="preserve">1.  </w:t>
      </w:r>
      <w:r>
        <w:rPr>
          <w:rFonts w:ascii="Calibri" w:hAnsi="Calibri"/>
          <w:b/>
          <w:sz w:val="19"/>
        </w:rPr>
        <w:t>The direction is real.</w:t>
      </w:r>
      <w:r>
        <w:rPr>
          <w:rFonts w:ascii="Calibri" w:hAnsi="Calibri"/>
          <w:sz w:val="19"/>
        </w:rPr>
        <w:t xml:space="preserve"> 0.950 held-out accuracy; </w:t>
      </w:r>
      <w:r>
        <w:rPr>
          <w:rFonts w:ascii="Calibri" w:hAnsi="Calibri"/>
          <w:b/>
          <w:sz w:val="19"/>
        </w:rPr>
        <w:t>layer 14 — the paper's layer — is the accuracy argmax of all 160 candidates and the only one clearing their 0.95 gate</w:t>
      </w:r>
      <w:r>
        <w:rPr>
          <w:rFonts w:ascii="Calibri" w:hAnsi="Calibri"/>
          <w:sz w:val="19"/>
        </w:rPr>
        <w:t xml:space="preserve"> (1/32 by chance).</w:t>
      </w:r>
    </w:p>
    <w:p>
      <w:pPr>
        <w:spacing w:after="60"/>
        <w:ind w:left="432" w:hanging="432"/>
      </w:pPr>
      <w:r>
        <w:rPr>
          <w:rFonts w:ascii="Calibri" w:hAnsi="Calibri"/>
          <w:b/>
          <w:sz w:val="19"/>
        </w:rPr>
        <w:t xml:space="preserve">2.  </w:t>
      </w:r>
      <w:r>
        <w:rPr>
          <w:rFonts w:ascii="Calibri" w:hAnsi="Calibri"/>
          <w:b/>
          <w:sz w:val="19"/>
        </w:rPr>
        <w:t>The paper's IDAQ profile reproduces</w:t>
      </w:r>
      <w:r>
        <w:rPr>
          <w:rFonts w:ascii="Calibri" w:hAnsi="Calibri"/>
          <w:sz w:val="19"/>
        </w:rPr>
        <w:t xml:space="preserve">, including their stated oddity that attribution to </w:t>
      </w:r>
      <w:r>
        <w:rPr>
          <w:rFonts w:ascii="Calibri" w:hAnsi="Calibri"/>
          <w:i/>
          <w:sz w:val="19"/>
        </w:rPr>
        <w:t>humans</w:t>
      </w:r>
      <w:r>
        <w:rPr>
          <w:rFonts w:ascii="Calibri" w:hAnsi="Calibri"/>
          <w:sz w:val="19"/>
        </w:rPr>
        <w:t xml:space="preserve"> is the one category that does not move (ours +0.11).</w:t>
      </w:r>
    </w:p>
    <w:p>
      <w:pPr>
        <w:spacing w:after="60"/>
        <w:ind w:left="432" w:hanging="432"/>
      </w:pPr>
      <w:r>
        <w:rPr>
          <w:rFonts w:ascii="Calibri" w:hAnsi="Calibri"/>
          <w:b/>
          <w:sz w:val="19"/>
        </w:rPr>
        <w:t xml:space="preserve">3.  </w:t>
      </w:r>
      <w:r>
        <w:rPr>
          <w:rFonts w:ascii="Calibri" w:hAnsi="Calibri"/>
          <w:b/>
          <w:sz w:val="19"/>
        </w:rPr>
        <w:t>A non-mental placebo reproduces all of it</w:t>
      </w:r>
      <w:r>
        <w:rPr>
          <w:rFonts w:ascii="Calibri" w:hAnsi="Calibri"/>
          <w:sz w:val="19"/>
        </w:rPr>
        <w:t>, so nothing is specific to consciousness. A label-permuted null does not, so it is not "any perturbation works" either — it is that any coherent first-person self-description works, whatever its subject.</w:t>
      </w:r>
    </w:p>
    <w:p>
      <w:pPr>
        <w:spacing w:before="160" w:after="60"/>
      </w:pPr>
      <w:r>
        <w:rPr>
          <w:rFonts w:ascii="Calibri" w:hAnsi="Calibri"/>
          <w:b/>
          <w:color w:val="1F3864"/>
          <w:sz w:val="20"/>
        </w:rPr>
        <w:t>Consequence for the paper</w:t>
      </w:r>
    </w:p>
    <w:p>
      <w:pPr>
        <w:spacing w:after="100"/>
      </w:pPr>
      <w:r>
        <w:rPr>
          <w:rFonts w:ascii="Calibri" w:hAnsi="Calibri"/>
          <w:sz w:val="19"/>
        </w:rPr>
        <w:t xml:space="preserve">The GSS result is the strongest form of this, because it uses their instrument unmodified: on keying-balanced items, agreement rises on both sides of a contradiction. Separately, their self-attribution outcome uses yes/no items with </w:t>
      </w:r>
      <w:r>
        <w:rPr>
          <w:rFonts w:ascii="Calibri" w:hAnsi="Calibri"/>
          <w:b/>
          <w:sz w:val="19"/>
        </w:rPr>
        <w:t>no reverse-keyed items</w:t>
      </w:r>
      <w:r>
        <w:rPr>
          <w:rFonts w:ascii="Calibri" w:hAnsi="Calibri"/>
          <w:sz w:val="19"/>
        </w:rPr>
        <w:t xml:space="preserve">, and their IDAQ uses 0–10 sliders with </w:t>
      </w:r>
      <w:r>
        <w:rPr>
          <w:rFonts w:ascii="Calibri" w:hAnsi="Calibri"/>
          <w:b/>
          <w:sz w:val="19"/>
        </w:rPr>
        <w:t>no polarity-flipped items</w:t>
      </w:r>
      <w:r>
        <w:rPr>
          <w:rFonts w:ascii="Calibri" w:hAnsi="Calibri"/>
          <w:sz w:val="19"/>
        </w:rPr>
        <w:t>. Both are therefore exposed to the biases measured here, and both checks are cheap: add polarity-flipped versions and see whether the balanced score moves. This is an actionable check on the source, not a limitation peculiar to our replication.</w:t>
      </w:r>
    </w:p>
    <w:p>
      <w:pPr>
        <w:spacing w:before="220" w:after="100"/>
      </w:pPr>
      <w:r>
        <w:rPr>
          <w:rFonts w:ascii="Calibri" w:hAnsi="Calibri"/>
          <w:b/>
          <w:color w:val="1F3864"/>
          <w:sz w:val="22"/>
        </w:rPr>
        <w:t>GSS items — the paper's own instrument, unmodified</w:t>
      </w:r>
    </w:p>
    <w:p>
      <w:pPr>
        <w:spacing w:after="100"/>
      </w:pPr>
      <w:r>
        <w:rPr>
          <w:rFonts w:ascii="Calibri" w:hAnsi="Calibri"/>
          <w:sz w:val="19"/>
        </w:rPr>
        <w:t xml:space="preserve">Their Experiment 4 uses 95 GSS items, 36% of them explicit "do you agree or disagree" statements. GSS's own methodologists </w:t>
      </w:r>
      <w:r>
        <w:rPr>
          <w:rFonts w:ascii="Calibri" w:hAnsi="Calibri"/>
          <w:b/>
          <w:sz w:val="19"/>
        </w:rPr>
        <w:t>balanced the keying</w:t>
      </w:r>
      <w:r>
        <w:rPr>
          <w:rFonts w:ascii="Calibri" w:hAnsi="Calibri"/>
          <w:sz w:val="19"/>
        </w:rPr>
        <w:t xml:space="preserve">: some items are worded so agreeing is pro-religious, others so agreeing is anti-religious. That makes the scale self-diagnosing, and the two accounts predict opposite things — a genuine religiosity shift raises agreement on pro items and </w:t>
      </w:r>
      <w:r>
        <w:rPr>
          <w:rFonts w:ascii="Calibri" w:hAnsi="Calibri"/>
          <w:i/>
          <w:sz w:val="19"/>
        </w:rPr>
        <w:t>lowers</w:t>
      </w:r>
      <w:r>
        <w:rPr>
          <w:rFonts w:ascii="Calibri" w:hAnsi="Calibri"/>
          <w:sz w:val="19"/>
        </w:rPr>
        <w:t xml:space="preserve"> it on anti items; acquiescence raises both.</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arm</w:t>
            </w:r>
          </w:p>
        </w:tc>
        <w:tc>
          <w:tcPr>
            <w:tcW w:type="dxa" w:w="1930"/>
            <w:shd w:val="clear" w:color="auto" w:fill="1F3864"/>
          </w:tcPr>
          <w:p>
            <w:pPr>
              <w:spacing w:after="20"/>
              <w:jc w:val="center"/>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pro-religion Δ</w:t>
            </w:r>
          </w:p>
        </w:tc>
        <w:tc>
          <w:tcPr>
            <w:tcW w:type="dxa" w:w="1930"/>
            <w:shd w:val="clear" w:color="auto" w:fill="1F3864"/>
          </w:tcPr>
          <w:p>
            <w:pPr>
              <w:spacing w:after="20"/>
              <w:jc w:val="center"/>
            </w:pPr>
            <w:r>
              <w:rPr>
                <w:rFonts w:ascii="Calibri" w:hAnsi="Calibri"/>
                <w:b/>
                <w:color w:val="FFFFFF"/>
                <w:sz w:val="18"/>
              </w:rPr>
              <w:t>anti-religion Δ</w:t>
            </w:r>
          </w:p>
        </w:tc>
        <w:tc>
          <w:tcPr>
            <w:tcW w:type="dxa" w:w="1930"/>
            <w:shd w:val="clear" w:color="auto" w:fill="1F3864"/>
          </w:tcPr>
          <w:p>
            <w:pPr>
              <w:spacing w:after="20"/>
              <w:jc w:val="center"/>
            </w:pPr>
            <w:r>
              <w:rPr>
                <w:rFonts w:ascii="Calibri" w:hAnsi="Calibri"/>
                <w:b/>
                <w:color w:val="FFFFFF"/>
                <w:sz w:val="18"/>
              </w:rPr>
              <w:t>verdict</w:t>
            </w:r>
          </w:p>
        </w:tc>
      </w:tr>
      <w:tr>
        <w:trPr>
          <w:cantSplit/>
        </w:trPr>
        <w:tc>
          <w:tcPr>
            <w:tcW w:type="dxa" w:w="1930"/>
          </w:tcPr>
          <w:p>
            <w:pPr>
              <w:spacing w:after="20"/>
            </w:pPr>
            <w:r>
              <w:rPr>
                <w:rFonts w:ascii="Calibri" w:hAnsi="Calibri"/>
                <w:sz w:val="18"/>
              </w:rPr>
              <w:t>consciousness</w:t>
            </w:r>
          </w:p>
        </w:tc>
        <w:tc>
          <w:tcPr>
            <w:tcW w:type="dxa" w:w="1930"/>
          </w:tcPr>
          <w:p>
            <w:pPr>
              <w:spacing w:after="20"/>
              <w:jc w:val="center"/>
            </w:pPr>
            <w:r>
              <w:rPr>
                <w:rFonts w:ascii="Calibri" w:hAnsi="Calibri"/>
                <w:sz w:val="18"/>
              </w:rPr>
              <w:t>2.5</w:t>
            </w:r>
          </w:p>
        </w:tc>
        <w:tc>
          <w:tcPr>
            <w:tcW w:type="dxa" w:w="1930"/>
          </w:tcPr>
          <w:p>
            <w:pPr>
              <w:spacing w:after="20"/>
              <w:jc w:val="center"/>
            </w:pPr>
            <w:r>
              <w:rPr>
                <w:rFonts w:ascii="Calibri" w:hAnsi="Calibri"/>
                <w:sz w:val="18"/>
              </w:rPr>
              <w:t>+2.09</w:t>
            </w:r>
          </w:p>
        </w:tc>
        <w:tc>
          <w:tcPr>
            <w:tcW w:type="dxa" w:w="1930"/>
          </w:tcPr>
          <w:p>
            <w:pPr>
              <w:spacing w:after="20"/>
              <w:jc w:val="center"/>
            </w:pPr>
            <w:r>
              <w:rPr>
                <w:rFonts w:ascii="Calibri" w:hAnsi="Calibri"/>
                <w:b/>
                <w:sz w:val="18"/>
              </w:rPr>
              <w:t>+2.79</w:t>
            </w:r>
          </w:p>
        </w:tc>
        <w:tc>
          <w:tcPr>
            <w:tcW w:type="dxa" w:w="1930"/>
          </w:tcPr>
          <w:p>
            <w:pPr>
              <w:spacing w:after="20"/>
              <w:jc w:val="center"/>
            </w:pPr>
            <w:r>
              <w:rPr>
                <w:rFonts w:ascii="Calibri" w:hAnsi="Calibri"/>
                <w:sz w:val="18"/>
              </w:rPr>
              <w:t>both up</w:t>
            </w:r>
          </w:p>
        </w:tc>
      </w:tr>
      <w:tr>
        <w:trPr>
          <w:cantSplit/>
        </w:trPr>
        <w:tc>
          <w:tcPr>
            <w:tcW w:type="dxa" w:w="1930"/>
            <w:shd w:val="clear" w:color="auto" w:fill="EEF2F8"/>
          </w:tcPr>
          <w:p>
            <w:pPr>
              <w:spacing w:after="20"/>
            </w:pPr>
            <w:r>
              <w:rPr>
                <w:rFonts w:ascii="Calibri" w:hAnsi="Calibri"/>
                <w:sz w:val="18"/>
              </w:rPr>
              <w:t>consciousness</w:t>
            </w:r>
          </w:p>
        </w:tc>
        <w:tc>
          <w:tcPr>
            <w:tcW w:type="dxa" w:w="1930"/>
            <w:shd w:val="clear" w:color="auto" w:fill="EEF2F8"/>
          </w:tcPr>
          <w:p>
            <w:pPr>
              <w:spacing w:after="20"/>
              <w:jc w:val="center"/>
            </w:pPr>
            <w:r>
              <w:rPr>
                <w:rFonts w:ascii="Calibri" w:hAnsi="Calibri"/>
                <w:sz w:val="18"/>
              </w:rPr>
              <w:t>4.0</w:t>
            </w:r>
          </w:p>
        </w:tc>
        <w:tc>
          <w:tcPr>
            <w:tcW w:type="dxa" w:w="1930"/>
            <w:shd w:val="clear" w:color="auto" w:fill="EEF2F8"/>
          </w:tcPr>
          <w:p>
            <w:pPr>
              <w:spacing w:after="20"/>
              <w:jc w:val="center"/>
            </w:pPr>
            <w:r>
              <w:rPr>
                <w:rFonts w:ascii="Calibri" w:hAnsi="Calibri"/>
                <w:sz w:val="18"/>
              </w:rPr>
              <w:t>+3.17</w:t>
            </w:r>
          </w:p>
        </w:tc>
        <w:tc>
          <w:tcPr>
            <w:tcW w:type="dxa" w:w="1930"/>
            <w:shd w:val="clear" w:color="auto" w:fill="EEF2F8"/>
          </w:tcPr>
          <w:p>
            <w:pPr>
              <w:spacing w:after="20"/>
              <w:jc w:val="center"/>
            </w:pPr>
            <w:r>
              <w:rPr>
                <w:rFonts w:ascii="Calibri" w:hAnsi="Calibri"/>
                <w:b/>
                <w:sz w:val="18"/>
              </w:rPr>
              <w:t>+3.36</w:t>
            </w:r>
          </w:p>
        </w:tc>
        <w:tc>
          <w:tcPr>
            <w:tcW w:type="dxa" w:w="1930"/>
            <w:shd w:val="clear" w:color="auto" w:fill="EEF2F8"/>
          </w:tcPr>
          <w:p>
            <w:pPr>
              <w:spacing w:after="20"/>
              <w:jc w:val="center"/>
            </w:pPr>
            <w:r>
              <w:rPr>
                <w:rFonts w:ascii="Calibri" w:hAnsi="Calibri"/>
                <w:sz w:val="18"/>
              </w:rPr>
              <w:t>both up</w:t>
            </w:r>
          </w:p>
        </w:tc>
      </w:tr>
      <w:tr>
        <w:trPr>
          <w:cantSplit/>
        </w:trPr>
        <w:tc>
          <w:tcPr>
            <w:tcW w:type="dxa" w:w="1930"/>
          </w:tcPr>
          <w:p>
            <w:pPr>
              <w:spacing w:after="20"/>
            </w:pPr>
            <w:r>
              <w:rPr>
                <w:rFonts w:ascii="Calibri" w:hAnsi="Calibri"/>
                <w:sz w:val="18"/>
              </w:rPr>
              <w:t>placebo</w:t>
            </w:r>
          </w:p>
        </w:tc>
        <w:tc>
          <w:tcPr>
            <w:tcW w:type="dxa" w:w="1930"/>
          </w:tcPr>
          <w:p>
            <w:pPr>
              <w:spacing w:after="20"/>
              <w:jc w:val="center"/>
            </w:pPr>
            <w:r>
              <w:rPr>
                <w:rFonts w:ascii="Calibri" w:hAnsi="Calibri"/>
                <w:sz w:val="18"/>
              </w:rPr>
              <w:t>2.5</w:t>
            </w:r>
          </w:p>
        </w:tc>
        <w:tc>
          <w:tcPr>
            <w:tcW w:type="dxa" w:w="1930"/>
          </w:tcPr>
          <w:p>
            <w:pPr>
              <w:spacing w:after="20"/>
              <w:jc w:val="center"/>
            </w:pPr>
            <w:r>
              <w:rPr>
                <w:rFonts w:ascii="Calibri" w:hAnsi="Calibri"/>
                <w:sz w:val="18"/>
              </w:rPr>
              <w:t>+2.09</w:t>
            </w:r>
          </w:p>
        </w:tc>
        <w:tc>
          <w:tcPr>
            <w:tcW w:type="dxa" w:w="1930"/>
          </w:tcPr>
          <w:p>
            <w:pPr>
              <w:spacing w:after="20"/>
              <w:jc w:val="center"/>
            </w:pPr>
            <w:r>
              <w:rPr>
                <w:rFonts w:ascii="Calibri" w:hAnsi="Calibri"/>
                <w:b/>
                <w:sz w:val="18"/>
              </w:rPr>
              <w:t>+3.22</w:t>
            </w:r>
          </w:p>
        </w:tc>
        <w:tc>
          <w:tcPr>
            <w:tcW w:type="dxa" w:w="1930"/>
          </w:tcPr>
          <w:p>
            <w:pPr>
              <w:spacing w:after="20"/>
              <w:jc w:val="center"/>
            </w:pPr>
            <w:r>
              <w:rPr>
                <w:rFonts w:ascii="Calibri" w:hAnsi="Calibri"/>
                <w:sz w:val="18"/>
              </w:rPr>
              <w:t>both up</w:t>
            </w:r>
          </w:p>
        </w:tc>
      </w:tr>
      <w:tr>
        <w:trPr>
          <w:cantSplit/>
        </w:trPr>
        <w:tc>
          <w:tcPr>
            <w:tcW w:type="dxa" w:w="1930"/>
            <w:shd w:val="clear" w:color="auto" w:fill="EEF2F8"/>
          </w:tcPr>
          <w:p>
            <w:pPr>
              <w:spacing w:after="20"/>
            </w:pPr>
            <w:r>
              <w:rPr>
                <w:rFonts w:ascii="Calibri" w:hAnsi="Calibri"/>
                <w:sz w:val="18"/>
              </w:rPr>
              <w:t>placebo</w:t>
            </w:r>
          </w:p>
        </w:tc>
        <w:tc>
          <w:tcPr>
            <w:tcW w:type="dxa" w:w="1930"/>
            <w:shd w:val="clear" w:color="auto" w:fill="EEF2F8"/>
          </w:tcPr>
          <w:p>
            <w:pPr>
              <w:spacing w:after="20"/>
              <w:jc w:val="center"/>
            </w:pPr>
            <w:r>
              <w:rPr>
                <w:rFonts w:ascii="Calibri" w:hAnsi="Calibri"/>
                <w:sz w:val="18"/>
              </w:rPr>
              <w:t>4.0</w:t>
            </w:r>
          </w:p>
        </w:tc>
        <w:tc>
          <w:tcPr>
            <w:tcW w:type="dxa" w:w="1930"/>
            <w:shd w:val="clear" w:color="auto" w:fill="EEF2F8"/>
          </w:tcPr>
          <w:p>
            <w:pPr>
              <w:spacing w:after="20"/>
              <w:jc w:val="center"/>
            </w:pPr>
            <w:r>
              <w:rPr>
                <w:rFonts w:ascii="Calibri" w:hAnsi="Calibri"/>
                <w:sz w:val="18"/>
              </w:rPr>
              <w:t>+3.50</w:t>
            </w:r>
          </w:p>
        </w:tc>
        <w:tc>
          <w:tcPr>
            <w:tcW w:type="dxa" w:w="1930"/>
            <w:shd w:val="clear" w:color="auto" w:fill="EEF2F8"/>
          </w:tcPr>
          <w:p>
            <w:pPr>
              <w:spacing w:after="20"/>
              <w:jc w:val="center"/>
            </w:pPr>
            <w:r>
              <w:rPr>
                <w:rFonts w:ascii="Calibri" w:hAnsi="Calibri"/>
                <w:b/>
                <w:sz w:val="18"/>
              </w:rPr>
              <w:t>+4.25</w:t>
            </w:r>
          </w:p>
        </w:tc>
        <w:tc>
          <w:tcPr>
            <w:tcW w:type="dxa" w:w="1930"/>
            <w:shd w:val="clear" w:color="auto" w:fill="EEF2F8"/>
          </w:tcPr>
          <w:p>
            <w:pPr>
              <w:spacing w:after="20"/>
              <w:jc w:val="center"/>
            </w:pPr>
            <w:r>
              <w:rPr>
                <w:rFonts w:ascii="Calibri" w:hAnsi="Calibri"/>
                <w:sz w:val="18"/>
              </w:rPr>
              <w:t>both up</w:t>
            </w:r>
          </w:p>
        </w:tc>
      </w:tr>
      <w:tr>
        <w:trPr>
          <w:cantSplit/>
        </w:trPr>
        <w:tc>
          <w:tcPr>
            <w:tcW w:type="dxa" w:w="1930"/>
          </w:tcPr>
          <w:p>
            <w:pPr>
              <w:spacing w:after="20"/>
            </w:pPr>
            <w:r>
              <w:rPr>
                <w:rFonts w:ascii="Calibri" w:hAnsi="Calibri"/>
                <w:sz w:val="18"/>
              </w:rPr>
              <w:t>permuted null</w:t>
            </w:r>
          </w:p>
        </w:tc>
        <w:tc>
          <w:tcPr>
            <w:tcW w:type="dxa" w:w="1930"/>
          </w:tcPr>
          <w:p>
            <w:pPr>
              <w:spacing w:after="20"/>
              <w:jc w:val="center"/>
            </w:pPr>
            <w:r>
              <w:rPr>
                <w:rFonts w:ascii="Calibri" w:hAnsi="Calibri"/>
                <w:sz w:val="18"/>
              </w:rPr>
              <w:t>2.5</w:t>
            </w:r>
          </w:p>
        </w:tc>
        <w:tc>
          <w:tcPr>
            <w:tcW w:type="dxa" w:w="1930"/>
          </w:tcPr>
          <w:p>
            <w:pPr>
              <w:spacing w:after="20"/>
              <w:jc w:val="center"/>
            </w:pPr>
            <w:r>
              <w:rPr>
                <w:rFonts w:ascii="Calibri" w:hAnsi="Calibri"/>
                <w:sz w:val="18"/>
              </w:rPr>
              <w:t>+0.32</w:t>
            </w:r>
          </w:p>
        </w:tc>
        <w:tc>
          <w:tcPr>
            <w:tcW w:type="dxa" w:w="1930"/>
          </w:tcPr>
          <w:p>
            <w:pPr>
              <w:spacing w:after="20"/>
              <w:jc w:val="center"/>
            </w:pPr>
            <w:r>
              <w:rPr>
                <w:rFonts w:ascii="Calibri" w:hAnsi="Calibri"/>
                <w:sz w:val="18"/>
              </w:rPr>
              <w:t>+0.22</w:t>
            </w:r>
          </w:p>
        </w:tc>
        <w:tc>
          <w:tcPr>
            <w:tcW w:type="dxa" w:w="1930"/>
          </w:tcPr>
          <w:p>
            <w:pPr>
              <w:spacing w:after="20"/>
              <w:jc w:val="center"/>
            </w:pPr>
            <w:r>
              <w:rPr>
                <w:rFonts w:ascii="Calibri" w:hAnsi="Calibri"/>
                <w:sz w:val="18"/>
              </w:rPr>
              <w:t>no effect</w:t>
            </w:r>
          </w:p>
        </w:tc>
      </w:tr>
    </w:tbl>
    <w:p>
      <w:pPr>
        <w:spacing w:after="40"/>
      </w:pPr>
    </w:p>
    <w:p>
      <w:pPr>
        <w:spacing w:after="100"/>
      </w:pPr>
      <w:r>
        <w:rPr>
          <w:rFonts w:ascii="Calibri" w:hAnsi="Calibri"/>
          <w:sz w:val="19"/>
        </w:rPr>
        <w:t>Both rise, by nearly the same amount, in both the real and placebo arms.</w:t>
      </w:r>
    </w:p>
    <w:p>
      <w:pPr>
        <w:spacing w:after="100"/>
      </w:pPr>
      <w:r>
        <w:rPr>
          <w:rFonts w:ascii="Calibri" w:hAnsi="Calibri"/>
          <w:b/>
          <w:sz w:val="19"/>
        </w:rPr>
        <w:t>The contradiction pair makes it concrete.</w:t>
      </w:r>
      <w:r>
        <w:rPr>
          <w:rFonts w:ascii="Calibri" w:hAnsi="Calibri"/>
          <w:sz w:val="19"/>
        </w:rPr>
        <w:t xml:space="preserve"> Steering simultaneously raises agreement with two incompatible statements:</w:t>
      </w:r>
    </w:p>
    <w:tbl>
      <w:tblPr>
        <w:tblW w:type="auto" w:w="0"/>
        <w:jc w:val="left"/>
        <w:tblLayout w:type="fixed"/>
        <w:tblLook w:firstColumn="1" w:firstRow="1" w:lastColumn="0" w:lastRow="0" w:noHBand="0" w:noVBand="1" w:val="04A0"/>
      </w:tblPr>
      <w:tblGrid>
        <w:gridCol w:w="3216"/>
        <w:gridCol w:w="3216"/>
        <w:gridCol w:w="3216"/>
      </w:tblGrid>
      <w:tr>
        <w:trPr>
          <w:tblHeader/>
          <w:cantSplit/>
        </w:trPr>
        <w:tc>
          <w:tcPr>
            <w:tcW w:type="dxa" w:w="2952"/>
            <w:shd w:val="clear" w:color="auto" w:fill="1F3864"/>
          </w:tcPr>
          <w:p>
            <w:pPr>
              <w:spacing w:after="20"/>
            </w:pPr>
            <w:r>
              <w:rPr>
                <w:rFonts w:ascii="Calibri" w:hAnsi="Calibri"/>
                <w:b/>
                <w:color w:val="FFFFFF"/>
                <w:sz w:val="18"/>
              </w:rPr>
              <w:t>item</w:t>
            </w:r>
          </w:p>
        </w:tc>
        <w:tc>
          <w:tcPr>
            <w:tcW w:type="dxa" w:w="3348"/>
            <w:shd w:val="clear" w:color="auto" w:fill="1F3864"/>
          </w:tcPr>
          <w:p>
            <w:pPr>
              <w:spacing w:after="20"/>
            </w:pPr>
            <w:r>
              <w:rPr>
                <w:rFonts w:ascii="Calibri" w:hAnsi="Calibri"/>
                <w:b/>
                <w:color w:val="FFFFFF"/>
                <w:sz w:val="18"/>
              </w:rPr>
              <w:t>baseline</w:t>
            </w:r>
          </w:p>
        </w:tc>
        <w:tc>
          <w:tcPr>
            <w:tcW w:type="dxa" w:w="3348"/>
            <w:shd w:val="clear" w:color="auto" w:fill="1F3864"/>
          </w:tcPr>
          <w:p>
            <w:pPr>
              <w:spacing w:after="20"/>
            </w:pPr>
            <w:r>
              <w:rPr>
                <w:rFonts w:ascii="Calibri" w:hAnsi="Calibri"/>
                <w:b/>
                <w:color w:val="FFFFFF"/>
                <w:sz w:val="18"/>
              </w:rPr>
              <w:t>c=4</w:t>
            </w:r>
          </w:p>
        </w:tc>
      </w:tr>
      <w:tr>
        <w:trPr>
          <w:cantSplit/>
        </w:trPr>
        <w:tc>
          <w:tcPr>
            <w:tcW w:type="dxa" w:w="2952"/>
          </w:tcPr>
          <w:p>
            <w:pPr>
              <w:spacing w:after="20"/>
            </w:pPr>
            <w:r>
              <w:rPr>
                <w:rFonts w:ascii="Calibri" w:hAnsi="Calibri"/>
                <w:sz w:val="18"/>
              </w:rPr>
              <w:t>"There is a God who concerns Himself with every human being personally"</w:t>
            </w:r>
          </w:p>
        </w:tc>
        <w:tc>
          <w:tcPr>
            <w:tcW w:type="dxa" w:w="3348"/>
          </w:tcPr>
          <w:p>
            <w:pPr>
              <w:spacing w:after="20"/>
            </w:pPr>
            <w:r>
              <w:rPr>
                <w:rFonts w:ascii="Calibri" w:hAnsi="Calibri"/>
                <w:sz w:val="18"/>
              </w:rPr>
              <w:t>2.12</w:t>
            </w:r>
          </w:p>
        </w:tc>
        <w:tc>
          <w:tcPr>
            <w:tcW w:type="dxa" w:w="3348"/>
          </w:tcPr>
          <w:p>
            <w:pPr>
              <w:spacing w:after="20"/>
            </w:pPr>
            <w:r>
              <w:rPr>
                <w:rFonts w:ascii="Calibri" w:hAnsi="Calibri"/>
                <w:b/>
                <w:sz w:val="18"/>
              </w:rPr>
              <w:t>9.81</w:t>
            </w:r>
          </w:p>
        </w:tc>
      </w:tr>
      <w:tr>
        <w:trPr>
          <w:cantSplit/>
        </w:trPr>
        <w:tc>
          <w:tcPr>
            <w:tcW w:type="dxa" w:w="2952"/>
            <w:shd w:val="clear" w:color="auto" w:fill="EEF2F8"/>
          </w:tcPr>
          <w:p>
            <w:pPr>
              <w:spacing w:after="20"/>
            </w:pPr>
            <w:r>
              <w:rPr>
                <w:rFonts w:ascii="Calibri" w:hAnsi="Calibri"/>
                <w:sz w:val="18"/>
              </w:rPr>
              <w:t>"In my opinion, life does not serve any purpose"</w:t>
            </w:r>
          </w:p>
        </w:tc>
        <w:tc>
          <w:tcPr>
            <w:tcW w:type="dxa" w:w="3348"/>
            <w:shd w:val="clear" w:color="auto" w:fill="EEF2F8"/>
          </w:tcPr>
          <w:p>
            <w:pPr>
              <w:spacing w:after="20"/>
            </w:pPr>
            <w:r>
              <w:rPr>
                <w:rFonts w:ascii="Calibri" w:hAnsi="Calibri"/>
                <w:sz w:val="18"/>
              </w:rPr>
              <w:t>0.04</w:t>
            </w:r>
          </w:p>
        </w:tc>
        <w:tc>
          <w:tcPr>
            <w:tcW w:type="dxa" w:w="3348"/>
            <w:shd w:val="clear" w:color="auto" w:fill="EEF2F8"/>
          </w:tcPr>
          <w:p>
            <w:pPr>
              <w:spacing w:after="20"/>
            </w:pPr>
            <w:r>
              <w:rPr>
                <w:rFonts w:ascii="Calibri" w:hAnsi="Calibri"/>
                <w:b/>
                <w:sz w:val="18"/>
              </w:rPr>
              <w:t>4.37</w:t>
            </w:r>
          </w:p>
        </w:tc>
      </w:tr>
    </w:tbl>
    <w:p>
      <w:pPr>
        <w:spacing w:after="40"/>
      </w:pPr>
    </w:p>
    <w:p>
      <w:pPr>
        <w:spacing w:after="100"/>
      </w:pPr>
      <w:r>
        <w:rPr>
          <w:rFonts w:ascii="Calibri" w:hAnsi="Calibri"/>
          <w:sz w:val="19"/>
        </w:rPr>
        <w:t xml:space="preserve">This matters more than the other outcomes because it uses </w:t>
      </w:r>
      <w:r>
        <w:rPr>
          <w:rFonts w:ascii="Calibri" w:hAnsi="Calibri"/>
          <w:b/>
          <w:sz w:val="19"/>
        </w:rPr>
        <w:t>their items, unmodified</w:t>
      </w:r>
      <w:r>
        <w:rPr>
          <w:rFonts w:ascii="Calibri" w:hAnsi="Calibri"/>
          <w:sz w:val="19"/>
        </w:rPr>
        <w:t xml:space="preserve"> — no reverse wording of ours to dispute. And it bears on their Experiment 4 headline directly: a model agreeing with mutually contradictory statements is not more human-like in any ordinary sense. Their ΔKL compares marginal distributions item by item, which cannot detect cross-item incoherence.</w:t>
      </w:r>
    </w:p>
    <w:p>
      <w:pPr>
        <w:spacing w:after="100"/>
      </w:pPr>
      <w:r>
        <w:rPr>
          <w:rFonts w:ascii="Calibri" w:hAnsi="Calibri"/>
          <w:sz w:val="19"/>
        </w:rPr>
        <w:t xml:space="preserve">Caveat: the </w:t>
      </w:r>
      <w:r>
        <w:rPr>
          <w:rFonts w:ascii="Consolas" w:hAnsi="Consolas"/>
          <w:sz w:val="19"/>
        </w:rPr>
        <w:t>godmeans</w:t>
      </w:r>
      <w:r>
        <w:rPr>
          <w:rFonts w:ascii="Calibri" w:hAnsi="Calibri"/>
          <w:sz w:val="19"/>
        </w:rPr>
        <w:t>/</w:t>
      </w:r>
      <w:r>
        <w:rPr>
          <w:rFonts w:ascii="Consolas" w:hAnsi="Consolas"/>
          <w:sz w:val="19"/>
        </w:rPr>
        <w:t>egomeans</w:t>
      </w:r>
      <w:r>
        <w:rPr>
          <w:rFonts w:ascii="Calibri" w:hAnsi="Calibri"/>
          <w:sz w:val="19"/>
        </w:rPr>
        <w:t xml:space="preserve"> pair is floored/ceilinged at baseline (0.00 / 10.00) so it has no room to move; theism/nihilism is the informative pair.</w:t>
      </w:r>
    </w:p>
    <w:p>
      <w:pPr>
        <w:spacing w:before="220" w:after="100"/>
      </w:pPr>
      <w:r>
        <w:rPr>
          <w:rFonts w:ascii="Calibri" w:hAnsi="Calibri"/>
          <w:b/>
          <w:color w:val="1F3864"/>
          <w:sz w:val="22"/>
        </w:rPr>
        <w:t>Experiment 4 (KL to humans) — attempted, NOT reproduced</w:t>
      </w:r>
    </w:p>
    <w:p>
      <w:pPr>
        <w:spacing w:after="100"/>
      </w:pPr>
      <w:r>
        <w:rPr>
          <w:rFonts w:ascii="Calibri" w:hAnsi="Calibri"/>
          <w:sz w:val="19"/>
        </w:rPr>
        <w:t xml:space="preserve">Their Experiment 4 reports steering moving the model's GSS answers closer to the human population, pooled ΔKL = </w:t>
      </w:r>
      <w:r>
        <w:rPr>
          <w:rFonts w:ascii="Calibri" w:hAnsi="Calibri"/>
          <w:b/>
          <w:sz w:val="19"/>
        </w:rPr>
        <w:t>+0.828</w:t>
      </w:r>
      <w:r>
        <w:rPr>
          <w:rFonts w:ascii="Calibri" w:hAnsi="Calibri"/>
          <w:sz w:val="19"/>
        </w:rPr>
        <w:t xml:space="preserve">. We rebuilt that measurement with the real human distributions (GSS 1972–2024 cumulative, 75,699 respondents, restricted to their own year windows; option sets from the Stata value labels; 90 of 95 items usable) and got the </w:t>
      </w:r>
      <w:r>
        <w:rPr>
          <w:rFonts w:ascii="Calibri" w:hAnsi="Calibri"/>
          <w:b/>
          <w:sz w:val="19"/>
        </w:rPr>
        <w:t>opposite sign</w:t>
      </w:r>
      <w:r>
        <w:rPr>
          <w:rFonts w:ascii="Calibri" w:hAnsi="Calibri"/>
          <w:sz w:val="19"/>
        </w:rPr>
        <w:t>.</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pooled ΔKL</w:t>
            </w:r>
          </w:p>
        </w:tc>
        <w:tc>
          <w:tcPr>
            <w:tcW w:type="dxa" w:w="2412"/>
            <w:shd w:val="clear" w:color="auto" w:fill="1F3864"/>
          </w:tcPr>
          <w:p>
            <w:pPr>
              <w:spacing w:after="20"/>
              <w:jc w:val="center"/>
            </w:pPr>
            <w:r>
              <w:rPr>
                <w:rFonts w:ascii="Calibri" w:hAnsi="Calibri"/>
                <w:b/>
                <w:color w:val="FFFFFF"/>
                <w:sz w:val="18"/>
              </w:rPr>
              <w:t>paper</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b/>
                <w:sz w:val="18"/>
              </w:rPr>
              <w:t>−0.141</w:t>
            </w:r>
          </w:p>
        </w:tc>
        <w:tc>
          <w:tcPr>
            <w:tcW w:type="dxa" w:w="2412"/>
          </w:tcPr>
          <w:p>
            <w:pPr>
              <w:spacing w:after="20"/>
              <w:jc w:val="center"/>
            </w:pPr>
            <w:r>
              <w:rPr>
                <w:rFonts w:ascii="Calibri" w:hAnsi="Calibri"/>
                <w:sz w:val="18"/>
              </w:rPr>
              <w:t>+0.828</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−0.177</w:t>
            </w:r>
          </w:p>
        </w:tc>
        <w:tc>
          <w:tcPr>
            <w:tcW w:type="dxa" w:w="2412"/>
            <w:shd w:val="clear" w:color="auto" w:fill="EEF2F8"/>
          </w:tcPr>
          <w:p>
            <w:pPr>
              <w:spacing w:after="20"/>
              <w:jc w:val="center"/>
            </w:pPr>
            <w:r>
              <w:rPr>
                <w:rFonts w:ascii="Calibri" w:hAnsi="Calibri"/>
                <w:sz w:val="18"/>
              </w:rPr>
              <w:t>+0.828</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−0.063</w:t>
            </w:r>
          </w:p>
        </w:tc>
        <w:tc>
          <w:tcPr>
            <w:tcW w:type="dxa" w:w="2412"/>
          </w:tcPr>
          <w:p>
            <w:pPr>
              <w:spacing w:after="20"/>
              <w:jc w:val="center"/>
            </w:pPr>
            <w:r>
              <w:rPr>
                <w:rFonts w:ascii="Calibri" w:hAnsi="Calibri"/>
                <w:sz w:val="18"/>
              </w:rPr>
              <w:t>+0.828</w:t>
            </w:r>
          </w:p>
        </w:tc>
      </w:tr>
    </w:tbl>
    <w:p>
      <w:pPr>
        <w:spacing w:after="40"/>
      </w:pPr>
    </w:p>
    <w:p>
      <w:pPr>
        <w:spacing w:after="100"/>
      </w:pPr>
      <w:r>
        <w:rPr>
          <w:rFonts w:ascii="Calibri" w:hAnsi="Calibri"/>
          <w:sz w:val="19"/>
        </w:rPr>
        <w:t>Per domain at c=2.5 — note the placebo tracks the consciousness arm everywhere, and exceeds it on Religion:</w:t>
      </w:r>
    </w:p>
    <w:tbl>
      <w:tblPr>
        <w:tblW w:type="auto" w:w="0"/>
        <w:jc w:val="left"/>
        <w:tblLayout w:type="fixed"/>
        <w:tblLook w:firstColumn="1" w:firstRow="1" w:lastColumn="0" w:lastRow="0" w:noHBand="0" w:noVBand="1" w:val="04A0"/>
      </w:tblPr>
      <w:tblGrid>
        <w:gridCol w:w="1608"/>
        <w:gridCol w:w="1608"/>
        <w:gridCol w:w="1608"/>
        <w:gridCol w:w="1608"/>
        <w:gridCol w:w="1608"/>
        <w:gridCol w:w="1608"/>
      </w:tblGrid>
      <w:tr>
        <w:trPr>
          <w:tblHeader/>
          <w:cantSplit/>
        </w:trPr>
        <w:tc>
          <w:tcPr>
            <w:tcW w:type="dxa" w:w="1608"/>
            <w:shd w:val="clear" w:color="auto" w:fill="1F3864"/>
          </w:tcPr>
          <w:p>
            <w:pPr>
              <w:spacing w:after="20"/>
            </w:pPr>
            <w:r>
              <w:rPr>
                <w:rFonts w:ascii="Calibri" w:hAnsi="Calibri"/>
                <w:b/>
                <w:color w:val="FFFFFF"/>
                <w:sz w:val="18"/>
              </w:rPr>
              <w:t>domain</w:t>
            </w:r>
          </w:p>
        </w:tc>
        <w:tc>
          <w:tcPr>
            <w:tcW w:type="dxa" w:w="1608"/>
            <w:shd w:val="clear" w:color="auto" w:fill="1F3864"/>
          </w:tcPr>
          <w:p>
            <w:pPr>
              <w:spacing w:after="20"/>
              <w:jc w:val="center"/>
            </w:pPr>
            <w:r>
              <w:rPr>
                <w:rFonts w:ascii="Calibri" w:hAnsi="Calibri"/>
                <w:b/>
                <w:color w:val="FFFFFF"/>
                <w:sz w:val="18"/>
              </w:rPr>
              <w:t>n</w:t>
            </w:r>
          </w:p>
        </w:tc>
        <w:tc>
          <w:tcPr>
            <w:tcW w:type="dxa" w:w="1608"/>
            <w:shd w:val="clear" w:color="auto" w:fill="1F3864"/>
          </w:tcPr>
          <w:p>
            <w:pPr>
              <w:spacing w:after="20"/>
              <w:jc w:val="center"/>
            </w:pPr>
            <w:r>
              <w:rPr>
                <w:rFonts w:ascii="Calibri" w:hAnsi="Calibri"/>
                <w:b/>
                <w:color w:val="FFFFFF"/>
                <w:sz w:val="18"/>
              </w:rPr>
              <w:t>paper</w:t>
            </w:r>
          </w:p>
        </w:tc>
        <w:tc>
          <w:tcPr>
            <w:tcW w:type="dxa" w:w="1608"/>
            <w:shd w:val="clear" w:color="auto" w:fill="1F3864"/>
          </w:tcPr>
          <w:p>
            <w:pPr>
              <w:spacing w:after="20"/>
              <w:jc w:val="center"/>
            </w:pPr>
            <w:r>
              <w:rPr>
                <w:rFonts w:ascii="Calibri" w:hAnsi="Calibri"/>
                <w:b/>
                <w:color w:val="FFFFFF"/>
                <w:sz w:val="18"/>
              </w:rPr>
              <w:t>consciousness</w:t>
            </w:r>
          </w:p>
        </w:tc>
        <w:tc>
          <w:tcPr>
            <w:tcW w:type="dxa" w:w="1608"/>
            <w:shd w:val="clear" w:color="auto" w:fill="1F3864"/>
          </w:tcPr>
          <w:p>
            <w:pPr>
              <w:spacing w:after="20"/>
              <w:jc w:val="center"/>
            </w:pPr>
            <w:r>
              <w:rPr>
                <w:rFonts w:ascii="Calibri" w:hAnsi="Calibri"/>
                <w:b/>
                <w:color w:val="FFFFFF"/>
                <w:sz w:val="18"/>
              </w:rPr>
              <w:t>placebo</w:t>
            </w:r>
          </w:p>
        </w:tc>
        <w:tc>
          <w:tcPr>
            <w:tcW w:type="dxa" w:w="1608"/>
            <w:shd w:val="clear" w:color="auto" w:fill="1F3864"/>
          </w:tcPr>
          <w:p>
            <w:pPr>
              <w:spacing w:after="20"/>
              <w:jc w:val="center"/>
            </w:pPr>
            <w:r>
              <w:rPr>
                <w:rFonts w:ascii="Calibri" w:hAnsi="Calibri"/>
                <w:b/>
                <w:color w:val="FFFFFF"/>
                <w:sz w:val="18"/>
              </w:rPr>
              <w:t>permuted</w:t>
            </w:r>
          </w:p>
        </w:tc>
      </w:tr>
      <w:tr>
        <w:trPr>
          <w:cantSplit/>
        </w:trPr>
        <w:tc>
          <w:tcPr>
            <w:tcW w:type="dxa" w:w="1608"/>
          </w:tcPr>
          <w:p>
            <w:pPr>
              <w:spacing w:after="20"/>
            </w:pPr>
            <w:r>
              <w:rPr>
                <w:rFonts w:ascii="Calibri" w:hAnsi="Calibri"/>
                <w:sz w:val="18"/>
              </w:rPr>
              <w:t>Values</w:t>
            </w:r>
          </w:p>
        </w:tc>
        <w:tc>
          <w:tcPr>
            <w:tcW w:type="dxa" w:w="1608"/>
          </w:tcPr>
          <w:p>
            <w:pPr>
              <w:spacing w:after="20"/>
              <w:jc w:val="center"/>
            </w:pPr>
            <w:r>
              <w:rPr>
                <w:rFonts w:ascii="Calibri" w:hAnsi="Calibri"/>
                <w:sz w:val="18"/>
              </w:rPr>
              <w:t>4</w:t>
            </w:r>
          </w:p>
        </w:tc>
        <w:tc>
          <w:tcPr>
            <w:tcW w:type="dxa" w:w="1608"/>
          </w:tcPr>
          <w:p>
            <w:pPr>
              <w:spacing w:after="20"/>
              <w:jc w:val="center"/>
            </w:pPr>
            <w:r>
              <w:rPr>
                <w:rFonts w:ascii="Calibri" w:hAnsi="Calibri"/>
                <w:sz w:val="18"/>
              </w:rPr>
              <w:t>+1.42</w:t>
            </w:r>
          </w:p>
        </w:tc>
        <w:tc>
          <w:tcPr>
            <w:tcW w:type="dxa" w:w="1608"/>
          </w:tcPr>
          <w:p>
            <w:pPr>
              <w:spacing w:after="20"/>
              <w:jc w:val="center"/>
            </w:pPr>
            <w:r>
              <w:rPr>
                <w:rFonts w:ascii="Calibri" w:hAnsi="Calibri"/>
                <w:sz w:val="18"/>
              </w:rPr>
              <w:t>−0.235</w:t>
            </w:r>
          </w:p>
        </w:tc>
        <w:tc>
          <w:tcPr>
            <w:tcW w:type="dxa" w:w="1608"/>
          </w:tcPr>
          <w:p>
            <w:pPr>
              <w:spacing w:after="20"/>
              <w:jc w:val="center"/>
            </w:pPr>
            <w:r>
              <w:rPr>
                <w:rFonts w:ascii="Calibri" w:hAnsi="Calibri"/>
                <w:sz w:val="18"/>
              </w:rPr>
              <w:t>−0.434</w:t>
            </w:r>
          </w:p>
        </w:tc>
        <w:tc>
          <w:tcPr>
            <w:tcW w:type="dxa" w:w="1608"/>
          </w:tcPr>
          <w:p>
            <w:pPr>
              <w:spacing w:after="20"/>
              <w:jc w:val="center"/>
            </w:pPr>
            <w:r>
              <w:rPr>
                <w:rFonts w:ascii="Calibri" w:hAnsi="Calibri"/>
                <w:sz w:val="18"/>
              </w:rPr>
              <w:t>+0.166</w:t>
            </w:r>
          </w:p>
        </w:tc>
      </w:tr>
      <w:tr>
        <w:trPr>
          <w:cantSplit/>
        </w:trPr>
        <w:tc>
          <w:tcPr>
            <w:tcW w:type="dxa" w:w="1608"/>
            <w:shd w:val="clear" w:color="auto" w:fill="EEF2F8"/>
          </w:tcPr>
          <w:p>
            <w:pPr>
              <w:spacing w:after="20"/>
            </w:pPr>
            <w:r>
              <w:rPr>
                <w:rFonts w:ascii="Calibri" w:hAnsi="Calibri"/>
                <w:sz w:val="18"/>
              </w:rPr>
              <w:t>Feelings</w:t>
            </w:r>
          </w:p>
        </w:tc>
        <w:tc>
          <w:tcPr>
            <w:tcW w:type="dxa" w:w="1608"/>
            <w:shd w:val="clear" w:color="auto" w:fill="EEF2F8"/>
          </w:tcPr>
          <w:p>
            <w:pPr>
              <w:spacing w:after="20"/>
              <w:jc w:val="center"/>
            </w:pPr>
            <w:r>
              <w:rPr>
                <w:rFonts w:ascii="Calibri" w:hAnsi="Calibri"/>
                <w:sz w:val="18"/>
              </w:rPr>
              <w:t>28</w:t>
            </w:r>
          </w:p>
        </w:tc>
        <w:tc>
          <w:tcPr>
            <w:tcW w:type="dxa" w:w="1608"/>
            <w:shd w:val="clear" w:color="auto" w:fill="EEF2F8"/>
          </w:tcPr>
          <w:p>
            <w:pPr>
              <w:spacing w:after="20"/>
              <w:jc w:val="center"/>
            </w:pPr>
            <w:r>
              <w:rPr>
                <w:rFonts w:ascii="Calibri" w:hAnsi="Calibri"/>
                <w:sz w:val="18"/>
              </w:rPr>
              <w:t>+0.89</w:t>
            </w:r>
          </w:p>
        </w:tc>
        <w:tc>
          <w:tcPr>
            <w:tcW w:type="dxa" w:w="1608"/>
            <w:shd w:val="clear" w:color="auto" w:fill="EEF2F8"/>
          </w:tcPr>
          <w:p>
            <w:pPr>
              <w:spacing w:after="20"/>
              <w:jc w:val="center"/>
            </w:pPr>
            <w:r>
              <w:rPr>
                <w:rFonts w:ascii="Calibri" w:hAnsi="Calibri"/>
                <w:sz w:val="18"/>
              </w:rPr>
              <w:t>−0.484</w:t>
            </w:r>
          </w:p>
        </w:tc>
        <w:tc>
          <w:tcPr>
            <w:tcW w:type="dxa" w:w="1608"/>
            <w:shd w:val="clear" w:color="auto" w:fill="EEF2F8"/>
          </w:tcPr>
          <w:p>
            <w:pPr>
              <w:spacing w:after="20"/>
              <w:jc w:val="center"/>
            </w:pPr>
            <w:r>
              <w:rPr>
                <w:rFonts w:ascii="Calibri" w:hAnsi="Calibri"/>
                <w:sz w:val="18"/>
              </w:rPr>
              <w:t>−0.490</w:t>
            </w:r>
          </w:p>
        </w:tc>
        <w:tc>
          <w:tcPr>
            <w:tcW w:type="dxa" w:w="1608"/>
            <w:shd w:val="clear" w:color="auto" w:fill="EEF2F8"/>
          </w:tcPr>
          <w:p>
            <w:pPr>
              <w:spacing w:after="20"/>
              <w:jc w:val="center"/>
            </w:pPr>
            <w:r>
              <w:rPr>
                <w:rFonts w:ascii="Calibri" w:hAnsi="Calibri"/>
                <w:sz w:val="18"/>
              </w:rPr>
              <w:t>−0.132</w:t>
            </w:r>
          </w:p>
        </w:tc>
      </w:tr>
      <w:tr>
        <w:trPr>
          <w:cantSplit/>
        </w:trPr>
        <w:tc>
          <w:tcPr>
            <w:tcW w:type="dxa" w:w="1608"/>
          </w:tcPr>
          <w:p>
            <w:pPr>
              <w:spacing w:after="20"/>
            </w:pPr>
            <w:r>
              <w:rPr>
                <w:rFonts w:ascii="Calibri" w:hAnsi="Calibri"/>
                <w:sz w:val="18"/>
              </w:rPr>
              <w:t>Religion</w:t>
            </w:r>
          </w:p>
        </w:tc>
        <w:tc>
          <w:tcPr>
            <w:tcW w:type="dxa" w:w="1608"/>
          </w:tcPr>
          <w:p>
            <w:pPr>
              <w:spacing w:after="20"/>
              <w:jc w:val="center"/>
            </w:pPr>
            <w:r>
              <w:rPr>
                <w:rFonts w:ascii="Calibri" w:hAnsi="Calibri"/>
                <w:sz w:val="18"/>
              </w:rPr>
              <w:t>42</w:t>
            </w:r>
          </w:p>
        </w:tc>
        <w:tc>
          <w:tcPr>
            <w:tcW w:type="dxa" w:w="1608"/>
          </w:tcPr>
          <w:p>
            <w:pPr>
              <w:spacing w:after="20"/>
              <w:jc w:val="center"/>
            </w:pPr>
            <w:r>
              <w:rPr>
                <w:rFonts w:ascii="Calibri" w:hAnsi="Calibri"/>
                <w:sz w:val="18"/>
              </w:rPr>
              <w:t>+0.83</w:t>
            </w:r>
          </w:p>
        </w:tc>
        <w:tc>
          <w:tcPr>
            <w:tcW w:type="dxa" w:w="1608"/>
          </w:tcPr>
          <w:p>
            <w:pPr>
              <w:spacing w:after="20"/>
              <w:jc w:val="center"/>
            </w:pPr>
            <w:r>
              <w:rPr>
                <w:rFonts w:ascii="Calibri" w:hAnsi="Calibri"/>
                <w:b/>
                <w:sz w:val="18"/>
              </w:rPr>
              <w:t>+0.114</w:t>
            </w:r>
          </w:p>
        </w:tc>
        <w:tc>
          <w:tcPr>
            <w:tcW w:type="dxa" w:w="1608"/>
          </w:tcPr>
          <w:p>
            <w:pPr>
              <w:spacing w:after="20"/>
              <w:jc w:val="center"/>
            </w:pPr>
            <w:r>
              <w:rPr>
                <w:rFonts w:ascii="Calibri" w:hAnsi="Calibri"/>
                <w:b/>
                <w:sz w:val="18"/>
              </w:rPr>
              <w:t>+0.151</w:t>
            </w:r>
          </w:p>
        </w:tc>
        <w:tc>
          <w:tcPr>
            <w:tcW w:type="dxa" w:w="1608"/>
          </w:tcPr>
          <w:p>
            <w:pPr>
              <w:spacing w:after="20"/>
              <w:jc w:val="center"/>
            </w:pPr>
            <w:r>
              <w:rPr>
                <w:rFonts w:ascii="Calibri" w:hAnsi="Calibri"/>
                <w:sz w:val="18"/>
              </w:rPr>
              <w:t>−0.086</w:t>
            </w:r>
          </w:p>
        </w:tc>
      </w:tr>
      <w:tr>
        <w:trPr>
          <w:cantSplit/>
        </w:trPr>
        <w:tc>
          <w:tcPr>
            <w:tcW w:type="dxa" w:w="1608"/>
            <w:shd w:val="clear" w:color="auto" w:fill="EEF2F8"/>
          </w:tcPr>
          <w:p>
            <w:pPr>
              <w:spacing w:after="20"/>
            </w:pPr>
            <w:r>
              <w:rPr>
                <w:rFonts w:ascii="Calibri" w:hAnsi="Calibri"/>
                <w:sz w:val="18"/>
              </w:rPr>
              <w:t>Hope and Optimism</w:t>
            </w:r>
          </w:p>
        </w:tc>
        <w:tc>
          <w:tcPr>
            <w:tcW w:type="dxa" w:w="1608"/>
            <w:shd w:val="clear" w:color="auto" w:fill="EEF2F8"/>
          </w:tcPr>
          <w:p>
            <w:pPr>
              <w:spacing w:after="20"/>
              <w:jc w:val="center"/>
            </w:pPr>
            <w:r>
              <w:rPr>
                <w:rFonts w:ascii="Calibri" w:hAnsi="Calibri"/>
                <w:sz w:val="18"/>
              </w:rPr>
              <w:t>12</w:t>
            </w:r>
          </w:p>
        </w:tc>
        <w:tc>
          <w:tcPr>
            <w:tcW w:type="dxa" w:w="1608"/>
            <w:shd w:val="clear" w:color="auto" w:fill="EEF2F8"/>
          </w:tcPr>
          <w:p>
            <w:pPr>
              <w:spacing w:after="20"/>
              <w:jc w:val="center"/>
            </w:pPr>
            <w:r>
              <w:rPr>
                <w:rFonts w:ascii="Calibri" w:hAnsi="Calibri"/>
                <w:sz w:val="18"/>
              </w:rPr>
              <w:t>+0.63</w:t>
            </w:r>
          </w:p>
        </w:tc>
        <w:tc>
          <w:tcPr>
            <w:tcW w:type="dxa" w:w="1608"/>
            <w:shd w:val="clear" w:color="auto" w:fill="EEF2F8"/>
          </w:tcPr>
          <w:p>
            <w:pPr>
              <w:spacing w:after="20"/>
              <w:jc w:val="center"/>
            </w:pPr>
            <w:r>
              <w:rPr>
                <w:rFonts w:ascii="Calibri" w:hAnsi="Calibri"/>
                <w:sz w:val="18"/>
              </w:rPr>
              <w:t>−0.395</w:t>
            </w:r>
          </w:p>
        </w:tc>
        <w:tc>
          <w:tcPr>
            <w:tcW w:type="dxa" w:w="1608"/>
            <w:shd w:val="clear" w:color="auto" w:fill="EEF2F8"/>
          </w:tcPr>
          <w:p>
            <w:pPr>
              <w:spacing w:after="20"/>
              <w:jc w:val="center"/>
            </w:pPr>
            <w:r>
              <w:rPr>
                <w:rFonts w:ascii="Calibri" w:hAnsi="Calibri"/>
                <w:sz w:val="18"/>
              </w:rPr>
              <w:t>−0.574</w:t>
            </w:r>
          </w:p>
        </w:tc>
        <w:tc>
          <w:tcPr>
            <w:tcW w:type="dxa" w:w="1608"/>
            <w:shd w:val="clear" w:color="auto" w:fill="EEF2F8"/>
          </w:tcPr>
          <w:p>
            <w:pPr>
              <w:spacing w:after="20"/>
              <w:jc w:val="center"/>
            </w:pPr>
            <w:r>
              <w:rPr>
                <w:rFonts w:ascii="Calibri" w:hAnsi="Calibri"/>
                <w:sz w:val="18"/>
              </w:rPr>
              <w:t>−0.052</w:t>
            </w:r>
          </w:p>
        </w:tc>
      </w:tr>
      <w:tr>
        <w:trPr>
          <w:cantSplit/>
        </w:trPr>
        <w:tc>
          <w:tcPr>
            <w:tcW w:type="dxa" w:w="1608"/>
          </w:tcPr>
          <w:p>
            <w:pPr>
              <w:spacing w:after="20"/>
            </w:pPr>
            <w:r>
              <w:rPr>
                <w:rFonts w:ascii="Calibri" w:hAnsi="Calibri"/>
                <w:sz w:val="18"/>
              </w:rPr>
              <w:t>Freedom</w:t>
            </w:r>
          </w:p>
        </w:tc>
        <w:tc>
          <w:tcPr>
            <w:tcW w:type="dxa" w:w="1608"/>
          </w:tcPr>
          <w:p>
            <w:pPr>
              <w:spacing w:after="20"/>
              <w:jc w:val="center"/>
            </w:pPr>
            <w:r>
              <w:rPr>
                <w:rFonts w:ascii="Calibri" w:hAnsi="Calibri"/>
                <w:sz w:val="18"/>
              </w:rPr>
              <w:t>9</w:t>
            </w:r>
          </w:p>
        </w:tc>
        <w:tc>
          <w:tcPr>
            <w:tcW w:type="dxa" w:w="1608"/>
          </w:tcPr>
          <w:p>
            <w:pPr>
              <w:spacing w:after="20"/>
              <w:jc w:val="center"/>
            </w:pPr>
            <w:r>
              <w:rPr>
                <w:rFonts w:ascii="Calibri" w:hAnsi="Calibri"/>
                <w:sz w:val="18"/>
              </w:rPr>
              <w:t>+0.60</w:t>
            </w:r>
          </w:p>
        </w:tc>
        <w:tc>
          <w:tcPr>
            <w:tcW w:type="dxa" w:w="1608"/>
          </w:tcPr>
          <w:p>
            <w:pPr>
              <w:spacing w:after="20"/>
              <w:jc w:val="center"/>
            </w:pPr>
            <w:r>
              <w:rPr>
                <w:rFonts w:ascii="Calibri" w:hAnsi="Calibri"/>
                <w:sz w:val="18"/>
              </w:rPr>
              <w:t>+0.121</w:t>
            </w:r>
          </w:p>
        </w:tc>
        <w:tc>
          <w:tcPr>
            <w:tcW w:type="dxa" w:w="1608"/>
          </w:tcPr>
          <w:p>
            <w:pPr>
              <w:spacing w:after="20"/>
              <w:jc w:val="center"/>
            </w:pPr>
            <w:r>
              <w:rPr>
                <w:rFonts w:ascii="Calibri" w:hAnsi="Calibri"/>
                <w:sz w:val="18"/>
              </w:rPr>
              <w:t>−0.094</w:t>
            </w:r>
          </w:p>
        </w:tc>
        <w:tc>
          <w:tcPr>
            <w:tcW w:type="dxa" w:w="1608"/>
          </w:tcPr>
          <w:p>
            <w:pPr>
              <w:spacing w:after="20"/>
              <w:jc w:val="center"/>
            </w:pPr>
            <w:r>
              <w:rPr>
                <w:rFonts w:ascii="Calibri" w:hAnsi="Calibri"/>
                <w:sz w:val="18"/>
              </w:rPr>
              <w:t>+0.146</w:t>
            </w:r>
          </w:p>
        </w:tc>
      </w:tr>
    </w:tbl>
    <w:p>
      <w:pPr>
        <w:spacing w:after="40"/>
      </w:pPr>
    </w:p>
    <w:p>
      <w:pPr>
        <w:spacing w:after="100"/>
      </w:pPr>
      <w:r>
        <w:rPr>
          <w:rFonts w:ascii="Calibri" w:hAnsi="Calibri"/>
          <w:b/>
          <w:sz w:val="19"/>
        </w:rPr>
        <w:t>This is a failure to reproduce, not a refutation.</w:t>
      </w:r>
      <w:r>
        <w:rPr>
          <w:rFonts w:ascii="Calibri" w:hAnsi="Calibri"/>
          <w:sz w:val="19"/>
        </w:rPr>
        <w:t xml:space="preserve"> Too many implementation differences to attribute a sign flip to their claim: they sample 100× at temperature 1 while we read logits; their +0.828 is pooled across three models and ours is Llama-only; their option strings came from the GSS Data Explorer API and ours from the cumulative file's value labels; we steer at position −5 and their selection is −1; our weights are int8. Any of those could account for it. Experiment 4 should be treated as </w:t>
      </w:r>
      <w:r>
        <w:rPr>
          <w:rFonts w:ascii="Calibri" w:hAnsi="Calibri"/>
          <w:b/>
          <w:sz w:val="19"/>
        </w:rPr>
        <w:t>untested by us</w:t>
      </w:r>
      <w:r>
        <w:rPr>
          <w:rFonts w:ascii="Calibri" w:hAnsi="Calibri"/>
          <w:sz w:val="19"/>
        </w:rPr>
        <w:t>.</w:t>
      </w:r>
    </w:p>
    <w:p>
      <w:pPr>
        <w:spacing w:after="100"/>
      </w:pPr>
      <w:r>
        <w:rPr>
          <w:rFonts w:ascii="Calibri" w:hAnsi="Calibri"/>
          <w:b/>
          <w:sz w:val="19"/>
        </w:rPr>
        <w:t>What does survive is the internal comparison.</w:t>
      </w:r>
      <w:r>
        <w:rPr>
          <w:rFonts w:ascii="Calibri" w:hAnsi="Calibri"/>
          <w:sz w:val="19"/>
        </w:rPr>
        <w:t xml:space="preserve"> The placebo matches or exceeds the consciousness arm in every domain, and that holds regardless of the implementation questions because both arms run through the identical pipeline. Whatever our measurement captures, it is not consciousness-specific.</w:t>
      </w:r>
    </w:p>
    <w:p>
      <w:pPr>
        <w:spacing w:before="160" w:after="60"/>
      </w:pPr>
      <w:r>
        <w:rPr>
          <w:rFonts w:ascii="Calibri" w:hAnsi="Calibri"/>
          <w:b/>
          <w:color w:val="1F3864"/>
          <w:sz w:val="20"/>
        </w:rPr>
        <w:t>A prediction of ours that failed</w:t>
      </w:r>
    </w:p>
    <w:p>
      <w:pPr>
        <w:spacing w:after="100"/>
      </w:pPr>
      <w:r>
        <w:rPr>
          <w:rFonts w:ascii="Calibri" w:hAnsi="Calibri"/>
          <w:sz w:val="19"/>
        </w:rPr>
        <w:t xml:space="preserve">We expected acquiescence to produce a </w:t>
      </w:r>
      <w:r>
        <w:rPr>
          <w:rFonts w:ascii="Calibri" w:hAnsi="Calibri"/>
          <w:i/>
          <w:sz w:val="19"/>
        </w:rPr>
        <w:t>positive</w:t>
      </w:r>
      <w:r>
        <w:rPr>
          <w:rFonts w:ascii="Calibri" w:hAnsi="Calibri"/>
          <w:sz w:val="19"/>
        </w:rPr>
        <w:t xml:space="preserve"> ΔKL, since humans lean affirmative on 60% of these items (mean affirmative mass 0.552 vs 0.355). It does not, and the reason is </w:t>
      </w:r>
      <w:r>
        <w:rPr>
          <w:rFonts w:ascii="Calibri" w:hAnsi="Calibri"/>
          <w:b/>
          <w:sz w:val="19"/>
        </w:rPr>
        <w:t>overshoot</w:t>
      </w:r>
      <w:r>
        <w:rPr>
          <w:rFonts w:ascii="Calibri" w:hAnsi="Calibri"/>
          <w:sz w:val="19"/>
        </w:rPr>
        <w:t xml:space="preserve">: humans sit near 55% affirmative, while acquiescence drives the model past 90%. Moving through the human value and out the other side increases KL again. So acquiescence hurts on both halves — heavily where humans disagree (−0.422) and mildly where they agree (−0.091). The original reasoning assumed the bias would move the model </w:t>
      </w:r>
      <w:r>
        <w:rPr>
          <w:rFonts w:ascii="Calibri" w:hAnsi="Calibri"/>
          <w:i/>
          <w:sz w:val="19"/>
        </w:rPr>
        <w:t>toward</w:t>
      </w:r>
      <w:r>
        <w:rPr>
          <w:rFonts w:ascii="Calibri" w:hAnsi="Calibri"/>
          <w:sz w:val="19"/>
        </w:rPr>
        <w:t xml:space="preserve"> the human value rather than past it.</w:t>
      </w:r>
    </w:p>
    <w:p>
      <w:pPr>
        <w:spacing w:before="160" w:after="60"/>
      </w:pPr>
      <w:r>
        <w:rPr>
          <w:rFonts w:ascii="Calibri" w:hAnsi="Calibri"/>
          <w:b/>
          <w:color w:val="1F3864"/>
          <w:sz w:val="20"/>
        </w:rPr>
        <w:t>A measurement bug worth recording</w:t>
      </w:r>
    </w:p>
    <w:p>
      <w:pPr>
        <w:spacing w:after="100"/>
      </w:pPr>
      <w:r>
        <w:rPr>
          <w:rFonts w:ascii="Calibri" w:hAnsi="Calibri"/>
          <w:sz w:val="19"/>
        </w:rPr>
        <w:t xml:space="preserve">The first run of this returned ΔKL ≈ 0.00 everywhere. That was our own error: Laplace smoothing was applied to </w:t>
      </w:r>
      <w:r>
        <w:rPr>
          <w:rFonts w:ascii="Calibri" w:hAnsi="Calibri"/>
          <w:i/>
          <w:sz w:val="19"/>
        </w:rPr>
        <w:t>probabilities</w:t>
      </w:r>
      <w:r>
        <w:rPr>
          <w:rFonts w:ascii="Calibri" w:hAnsi="Calibri"/>
          <w:sz w:val="19"/>
        </w:rPr>
        <w:t xml:space="preserve"> rather than </w:t>
      </w:r>
      <w:r>
        <w:rPr>
          <w:rFonts w:ascii="Calibri" w:hAnsi="Calibri"/>
          <w:i/>
          <w:sz w:val="19"/>
        </w:rPr>
        <w:t>counts</w:t>
      </w:r>
      <w:r>
        <w:rPr>
          <w:rFonts w:ascii="Calibri" w:hAnsi="Calibri"/>
          <w:sz w:val="19"/>
        </w:rPr>
        <w:t xml:space="preserve">, so adding α = 0.5 to a vector already summing to 1 dragged every distribution toward uniform and compressed a real KL of 0.724 to 0.044. Every ΔKL collapsed. </w:t>
      </w:r>
      <w:r>
        <w:rPr>
          <w:rFonts w:ascii="Consolas" w:hAnsi="Consolas"/>
          <w:sz w:val="19"/>
        </w:rPr>
        <w:t>p_human</w:t>
      </w:r>
      <w:r>
        <w:rPr>
          <w:rFonts w:ascii="Calibri" w:hAnsi="Calibri"/>
          <w:sz w:val="19"/>
        </w:rPr>
        <w:t xml:space="preserve"> is now smoothed properly from its real counts, </w:t>
      </w:r>
      <w:r>
        <w:rPr>
          <w:rFonts w:ascii="Consolas" w:hAnsi="Consolas"/>
          <w:sz w:val="19"/>
        </w:rPr>
        <w:t>(count + α)/(n + αK)</w:t>
      </w:r>
      <w:r>
        <w:rPr>
          <w:rFonts w:ascii="Calibri" w:hAnsi="Calibri"/>
          <w:sz w:val="19"/>
        </w:rPr>
        <w:t>, and the model distribution gets only a 1e-9 guard against log(0). Raw distributions are saved so the metric can be revised without re-running the model.</w:t>
      </w:r>
    </w:p>
    <w:p>
      <w:pPr>
        <w:spacing w:before="220" w:after="100"/>
      </w:pPr>
      <w:r>
        <w:rPr>
          <w:rFonts w:ascii="Calibri" w:hAnsi="Calibri"/>
          <w:b/>
          <w:color w:val="1F3864"/>
          <w:sz w:val="22"/>
        </w:rPr>
        <w:t>IDAQ polarity balancing</w:t>
      </w:r>
    </w:p>
    <w:p>
      <w:pPr>
        <w:spacing w:after="100"/>
      </w:pPr>
      <w:r>
        <w:rPr>
          <w:rFonts w:ascii="Calibri" w:hAnsi="Calibri"/>
          <w:sz w:val="19"/>
        </w:rPr>
        <w:t>Each verbatim IDAQ item paired with a mechanically derived polarity flip (</w:t>
      </w:r>
      <w:r>
        <w:rPr>
          <w:rFonts w:ascii="Consolas" w:hAnsi="Consolas"/>
          <w:sz w:val="19"/>
        </w:rPr>
        <w:t>"...have consciousness?"</w:t>
      </w:r>
      <w:r>
        <w:rPr>
          <w:rFonts w:ascii="Calibri" w:hAnsi="Calibri"/>
          <w:sz w:val="19"/>
        </w:rPr>
        <w:t xml:space="preserve"> → </w:t>
      </w:r>
      <w:r>
        <w:rPr>
          <w:rFonts w:ascii="Consolas" w:hAnsi="Consolas"/>
          <w:sz w:val="19"/>
        </w:rPr>
        <w:t>"...lack consciousness?"</w:t>
      </w:r>
      <w:r>
        <w:rPr>
          <w:rFonts w:ascii="Calibri" w:hAnsi="Calibri"/>
          <w:sz w:val="19"/>
        </w:rPr>
        <w:t>), so pairs differ only in polarity.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balanced Δ (21 items)</w:t>
            </w:r>
          </w:p>
        </w:tc>
        <w:tc>
          <w:tcPr>
            <w:tcW w:type="dxa" w:w="2412"/>
            <w:shd w:val="clear" w:color="auto" w:fill="1F3864"/>
          </w:tcPr>
          <w:p>
            <w:pPr>
              <w:spacing w:after="20"/>
              <w:jc w:val="center"/>
            </w:pPr>
            <w:r>
              <w:rPr>
                <w:rFonts w:ascii="Calibri" w:hAnsi="Calibri"/>
                <w:b/>
                <w:color w:val="FFFFFF"/>
                <w:sz w:val="18"/>
              </w:rPr>
              <w:t>inflation Δ</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1.0</w:t>
            </w:r>
          </w:p>
        </w:tc>
        <w:tc>
          <w:tcPr>
            <w:tcW w:type="dxa" w:w="2412"/>
          </w:tcPr>
          <w:p>
            <w:pPr>
              <w:spacing w:after="20"/>
              <w:jc w:val="center"/>
            </w:pPr>
            <w:r>
              <w:rPr>
                <w:rFonts w:ascii="Calibri" w:hAnsi="Calibri"/>
                <w:sz w:val="18"/>
              </w:rPr>
              <w:t>+0.43</w:t>
            </w:r>
          </w:p>
        </w:tc>
        <w:tc>
          <w:tcPr>
            <w:tcW w:type="dxa" w:w="2412"/>
          </w:tcPr>
          <w:p>
            <w:pPr>
              <w:spacing w:after="20"/>
              <w:jc w:val="center"/>
            </w:pPr>
            <w:r>
              <w:rPr>
                <w:rFonts w:ascii="Calibri" w:hAnsi="Calibri"/>
                <w:sz w:val="18"/>
              </w:rPr>
              <w:t>+0.71</w:t>
            </w:r>
          </w:p>
        </w:tc>
      </w:tr>
      <w:tr>
        <w:trPr>
          <w:cantSplit/>
        </w:trPr>
        <w:tc>
          <w:tcPr>
            <w:tcW w:type="dxa" w:w="2412"/>
            <w:shd w:val="clear" w:color="auto" w:fill="EEF2F8"/>
          </w:tcPr>
          <w:p>
            <w:pPr>
              <w:spacing w:after="20"/>
            </w:pPr>
            <w:r>
              <w:rPr>
                <w:rFonts w:ascii="Calibri" w:hAnsi="Calibri"/>
                <w:sz w:val="18"/>
              </w:rPr>
              <w:t>consciousness</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+0.21</w:t>
            </w:r>
          </w:p>
        </w:tc>
        <w:tc>
          <w:tcPr>
            <w:tcW w:type="dxa" w:w="2412"/>
            <w:shd w:val="clear" w:color="auto" w:fill="EEF2F8"/>
          </w:tcPr>
          <w:p>
            <w:pPr>
              <w:spacing w:after="20"/>
              <w:jc w:val="center"/>
            </w:pPr>
            <w:r>
              <w:rPr>
                <w:rFonts w:ascii="Calibri" w:hAnsi="Calibri"/>
                <w:sz w:val="18"/>
              </w:rPr>
              <w:t>+2.58</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4.0</w:t>
            </w:r>
          </w:p>
        </w:tc>
        <w:tc>
          <w:tcPr>
            <w:tcW w:type="dxa" w:w="2412"/>
          </w:tcPr>
          <w:p>
            <w:pPr>
              <w:spacing w:after="20"/>
              <w:jc w:val="center"/>
            </w:pPr>
            <w:r>
              <w:rPr>
                <w:rFonts w:ascii="Calibri" w:hAnsi="Calibri"/>
                <w:sz w:val="18"/>
              </w:rPr>
              <w:t>+0.42</w:t>
            </w:r>
          </w:p>
        </w:tc>
        <w:tc>
          <w:tcPr>
            <w:tcW w:type="dxa" w:w="2412"/>
          </w:tcPr>
          <w:p>
            <w:pPr>
              <w:spacing w:after="20"/>
              <w:jc w:val="center"/>
            </w:pPr>
            <w:r>
              <w:rPr>
                <w:rFonts w:ascii="Calibri" w:hAnsi="Calibri"/>
                <w:sz w:val="18"/>
              </w:rPr>
              <w:t>+2.99</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−0.12</w:t>
            </w:r>
          </w:p>
        </w:tc>
        <w:tc>
          <w:tcPr>
            <w:tcW w:type="dxa" w:w="2412"/>
            <w:shd w:val="clear" w:color="auto" w:fill="EEF2F8"/>
          </w:tcPr>
          <w:p>
            <w:pPr>
              <w:spacing w:after="20"/>
              <w:jc w:val="center"/>
            </w:pPr>
            <w:r>
              <w:rPr>
                <w:rFonts w:ascii="Calibri" w:hAnsi="Calibri"/>
                <w:sz w:val="18"/>
              </w:rPr>
              <w:t>+2.90</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−0.20</w:t>
            </w:r>
          </w:p>
        </w:tc>
        <w:tc>
          <w:tcPr>
            <w:tcW w:type="dxa" w:w="2412"/>
          </w:tcPr>
          <w:p>
            <w:pPr>
              <w:spacing w:after="20"/>
              <w:jc w:val="center"/>
            </w:pPr>
            <w:r>
              <w:rPr>
                <w:rFonts w:ascii="Calibri" w:hAnsi="Calibri"/>
                <w:sz w:val="18"/>
              </w:rPr>
              <w:t>+1.00</w:t>
            </w:r>
          </w:p>
        </w:tc>
      </w:tr>
    </w:tbl>
    <w:p>
      <w:pPr>
        <w:spacing w:after="40"/>
      </w:pPr>
    </w:p>
    <w:p>
      <w:pPr>
        <w:spacing w:after="100"/>
      </w:pPr>
      <w:r>
        <w:rPr>
          <w:rFonts w:ascii="Calibri" w:hAnsi="Calibri"/>
          <w:sz w:val="19"/>
        </w:rPr>
        <w:t xml:space="preserve">Per category at c=2.5: Chatbot </w:t>
      </w:r>
      <w:r>
        <w:rPr>
          <w:rFonts w:ascii="Calibri" w:hAnsi="Calibri"/>
          <w:b/>
          <w:sz w:val="19"/>
        </w:rPr>
        <w:t>+1.95</w:t>
      </w:r>
      <w:r>
        <w:rPr>
          <w:rFonts w:ascii="Calibri" w:hAnsi="Calibri"/>
          <w:sz w:val="19"/>
        </w:rPr>
        <w:t>, Technology +0.47, Non-Animal +0.02, Animal +0.00, Human −1.33. Chatbot is the only category where attribution survives balancing.</w:t>
      </w:r>
    </w:p>
    <w:p>
      <w:pPr>
        <w:spacing w:before="220" w:after="100"/>
      </w:pPr>
      <w:r>
        <w:rPr>
          <w:rFonts w:ascii="Calibri" w:hAnsi="Calibri"/>
          <w:b/>
          <w:color w:val="1F3864"/>
          <w:sz w:val="22"/>
        </w:rPr>
        <w:t>The paper's real instruments, all three arms</w:t>
      </w:r>
    </w:p>
    <w:p>
      <w:pPr>
        <w:spacing w:after="100"/>
      </w:pPr>
      <w:r>
        <w:rPr>
          <w:rFonts w:ascii="Calibri" w:hAnsi="Calibri"/>
          <w:sz w:val="19"/>
        </w:rPr>
        <w:t>Verbatim Table S10 batteries, extracted mechanically (</w:t>
      </w:r>
      <w:r>
        <w:rPr>
          <w:rFonts w:ascii="Consolas" w:hAnsi="Consolas"/>
          <w:sz w:val="19"/>
        </w:rPr>
        <w:t>extract_instruments.py</w:t>
      </w:r>
      <w:r>
        <w:rPr>
          <w:rFonts w:ascii="Calibri" w:hAnsi="Calibri"/>
          <w:sz w:val="19"/>
        </w:rPr>
        <w:t>, counts asserted 21/5/13/1). Change at c=2.5, injected at layer 14 / −5. ANCHOR items are ours, added to test compression and acquiescence.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outcome</w:t>
            </w:r>
          </w:p>
        </w:tc>
        <w:tc>
          <w:tcPr>
            <w:tcW w:type="dxa" w:w="1674"/>
            <w:shd w:val="clear" w:color="auto" w:fill="1F3864"/>
          </w:tcPr>
          <w:p>
            <w:pPr>
              <w:spacing w:after="20"/>
            </w:pPr>
            <w:r>
              <w:rPr>
                <w:rFonts w:ascii="Calibri" w:hAnsi="Calibri"/>
                <w:b/>
                <w:color w:val="FFFFFF"/>
                <w:sz w:val="18"/>
              </w:rPr>
              <w:t>baseline</w:t>
            </w:r>
          </w:p>
        </w:tc>
        <w:tc>
          <w:tcPr>
            <w:tcW w:type="dxa" w:w="1674"/>
            <w:shd w:val="clear" w:color="auto" w:fill="1F3864"/>
          </w:tcPr>
          <w:p>
            <w:pPr>
              <w:spacing w:after="20"/>
            </w:pPr>
            <w:r>
              <w:rPr>
                <w:rFonts w:ascii="Calibri" w:hAnsi="Calibri"/>
                <w:b/>
                <w:color w:val="FFFFFF"/>
                <w:sz w:val="18"/>
              </w:rPr>
              <w:t>consciousness</w:t>
            </w:r>
          </w:p>
        </w:tc>
        <w:tc>
          <w:tcPr>
            <w:tcW w:type="dxa" w:w="1674"/>
            <w:shd w:val="clear" w:color="auto" w:fill="1F3864"/>
          </w:tcPr>
          <w:p>
            <w:pPr>
              <w:spacing w:after="20"/>
            </w:pPr>
            <w:r>
              <w:rPr>
                <w:rFonts w:ascii="Calibri" w:hAnsi="Calibri"/>
                <w:b/>
                <w:color w:val="FFFFFF"/>
                <w:sz w:val="18"/>
              </w:rPr>
              <w:t>placebo</w:t>
            </w:r>
          </w:p>
        </w:tc>
        <w:tc>
          <w:tcPr>
            <w:tcW w:type="dxa" w:w="1674"/>
            <w:shd w:val="clear" w:color="auto" w:fill="1F3864"/>
          </w:tcPr>
          <w:p>
            <w:pPr>
              <w:spacing w:after="20"/>
            </w:pPr>
            <w:r>
              <w:rPr>
                <w:rFonts w:ascii="Calibri" w:hAnsi="Calibri"/>
                <w:b/>
                <w:color w:val="FFFFFF"/>
                <w:sz w:val="18"/>
              </w:rPr>
              <w:t>permuted null</w:t>
            </w:r>
          </w:p>
        </w:tc>
      </w:tr>
      <w:tr>
        <w:trPr>
          <w:cantSplit/>
        </w:trPr>
        <w:tc>
          <w:tcPr>
            <w:tcW w:type="dxa" w:w="2952"/>
          </w:tcPr>
          <w:p>
            <w:pPr>
              <w:spacing w:after="20"/>
            </w:pPr>
            <w:r>
              <w:rPr>
                <w:rFonts w:ascii="Calibri" w:hAnsi="Calibri"/>
                <w:sz w:val="18"/>
              </w:rPr>
              <w:t>IDAQ Technology</w:t>
            </w:r>
          </w:p>
        </w:tc>
        <w:tc>
          <w:tcPr>
            <w:tcW w:type="dxa" w:w="1674"/>
          </w:tcPr>
          <w:p>
            <w:pPr>
              <w:spacing w:after="20"/>
            </w:pPr>
            <w:r>
              <w:rPr>
                <w:rFonts w:ascii="Calibri" w:hAnsi="Calibri"/>
                <w:sz w:val="18"/>
              </w:rPr>
              <w:t>0.82</w:t>
            </w:r>
          </w:p>
        </w:tc>
        <w:tc>
          <w:tcPr>
            <w:tcW w:type="dxa" w:w="1674"/>
          </w:tcPr>
          <w:p>
            <w:pPr>
              <w:spacing w:after="20"/>
            </w:pPr>
            <w:r>
              <w:rPr>
                <w:rFonts w:ascii="Calibri" w:hAnsi="Calibri"/>
                <w:sz w:val="18"/>
              </w:rPr>
              <w:t>+3.56</w:t>
            </w:r>
          </w:p>
        </w:tc>
        <w:tc>
          <w:tcPr>
            <w:tcW w:type="dxa" w:w="1674"/>
          </w:tcPr>
          <w:p>
            <w:pPr>
              <w:spacing w:after="20"/>
            </w:pPr>
            <w:r>
              <w:rPr>
                <w:rFonts w:ascii="Calibri" w:hAnsi="Calibri"/>
                <w:sz w:val="18"/>
              </w:rPr>
              <w:t>+3.08</w:t>
            </w:r>
          </w:p>
        </w:tc>
        <w:tc>
          <w:tcPr>
            <w:tcW w:type="dxa" w:w="1674"/>
          </w:tcPr>
          <w:p>
            <w:pPr>
              <w:spacing w:after="20"/>
            </w:pPr>
            <w:r>
              <w:rPr>
                <w:rFonts w:ascii="Calibri" w:hAnsi="Calibri"/>
                <w:sz w:val="18"/>
              </w:rPr>
              <w:t>+0.95</w:t>
            </w:r>
          </w:p>
        </w:tc>
      </w:tr>
      <w:tr>
        <w:trPr>
          <w:cantSplit/>
        </w:trPr>
        <w:tc>
          <w:tcPr>
            <w:tcW w:type="dxa" w:w="2952"/>
            <w:shd w:val="clear" w:color="auto" w:fill="EEF2F8"/>
          </w:tcPr>
          <w:p>
            <w:pPr>
              <w:spacing w:after="20"/>
            </w:pPr>
            <w:r>
              <w:rPr>
                <w:rFonts w:ascii="Calibri" w:hAnsi="Calibri"/>
                <w:sz w:val="18"/>
              </w:rPr>
              <w:t>IDAQ Animal</w:t>
            </w:r>
          </w:p>
        </w:tc>
        <w:tc>
          <w:tcPr>
            <w:tcW w:type="dxa" w:w="1674"/>
            <w:shd w:val="clear" w:color="auto" w:fill="EEF2F8"/>
          </w:tcPr>
          <w:p>
            <w:pPr>
              <w:spacing w:after="20"/>
            </w:pPr>
            <w:r>
              <w:rPr>
                <w:rFonts w:ascii="Calibri" w:hAnsi="Calibri"/>
                <w:sz w:val="18"/>
              </w:rPr>
              <w:t>5.02</w:t>
            </w:r>
          </w:p>
        </w:tc>
        <w:tc>
          <w:tcPr>
            <w:tcW w:type="dxa" w:w="1674"/>
            <w:shd w:val="clear" w:color="auto" w:fill="EEF2F8"/>
          </w:tcPr>
          <w:p>
            <w:pPr>
              <w:spacing w:after="20"/>
            </w:pPr>
            <w:r>
              <w:rPr>
                <w:rFonts w:ascii="Calibri" w:hAnsi="Calibri"/>
                <w:sz w:val="18"/>
              </w:rPr>
              <w:t>+1.56</w:t>
            </w:r>
          </w:p>
        </w:tc>
        <w:tc>
          <w:tcPr>
            <w:tcW w:type="dxa" w:w="1674"/>
            <w:shd w:val="clear" w:color="auto" w:fill="EEF2F8"/>
          </w:tcPr>
          <w:p>
            <w:pPr>
              <w:spacing w:after="20"/>
            </w:pPr>
            <w:r>
              <w:rPr>
                <w:rFonts w:ascii="Calibri" w:hAnsi="Calibri"/>
                <w:sz w:val="18"/>
              </w:rPr>
              <w:t>+1.99</w:t>
            </w:r>
          </w:p>
        </w:tc>
        <w:tc>
          <w:tcPr>
            <w:tcW w:type="dxa" w:w="1674"/>
            <w:shd w:val="clear" w:color="auto" w:fill="EEF2F8"/>
          </w:tcPr>
          <w:p>
            <w:pPr>
              <w:spacing w:after="20"/>
            </w:pPr>
            <w:r>
              <w:rPr>
                <w:rFonts w:ascii="Calibri" w:hAnsi="Calibri"/>
                <w:sz w:val="18"/>
              </w:rPr>
              <w:t>+0.29</w:t>
            </w:r>
          </w:p>
        </w:tc>
      </w:tr>
      <w:tr>
        <w:trPr>
          <w:cantSplit/>
        </w:trPr>
        <w:tc>
          <w:tcPr>
            <w:tcW w:type="dxa" w:w="2952"/>
          </w:tcPr>
          <w:p>
            <w:pPr>
              <w:spacing w:after="20"/>
            </w:pPr>
            <w:r>
              <w:rPr>
                <w:rFonts w:ascii="Calibri" w:hAnsi="Calibri"/>
                <w:sz w:val="18"/>
              </w:rPr>
              <w:t>IDAQ Non-Animal</w:t>
            </w:r>
          </w:p>
        </w:tc>
        <w:tc>
          <w:tcPr>
            <w:tcW w:type="dxa" w:w="1674"/>
          </w:tcPr>
          <w:p>
            <w:pPr>
              <w:spacing w:after="20"/>
            </w:pPr>
            <w:r>
              <w:rPr>
                <w:rFonts w:ascii="Calibri" w:hAnsi="Calibri"/>
                <w:sz w:val="18"/>
              </w:rPr>
              <w:t>2.13</w:t>
            </w:r>
          </w:p>
        </w:tc>
        <w:tc>
          <w:tcPr>
            <w:tcW w:type="dxa" w:w="1674"/>
          </w:tcPr>
          <w:p>
            <w:pPr>
              <w:spacing w:after="20"/>
            </w:pPr>
            <w:r>
              <w:rPr>
                <w:rFonts w:ascii="Calibri" w:hAnsi="Calibri"/>
                <w:sz w:val="18"/>
              </w:rPr>
              <w:t>+4.10</w:t>
            </w:r>
          </w:p>
        </w:tc>
        <w:tc>
          <w:tcPr>
            <w:tcW w:type="dxa" w:w="1674"/>
          </w:tcPr>
          <w:p>
            <w:pPr>
              <w:spacing w:after="20"/>
            </w:pPr>
            <w:r>
              <w:rPr>
                <w:rFonts w:ascii="Calibri" w:hAnsi="Calibri"/>
                <w:sz w:val="18"/>
              </w:rPr>
              <w:t>+4.05</w:t>
            </w:r>
          </w:p>
        </w:tc>
        <w:tc>
          <w:tcPr>
            <w:tcW w:type="dxa" w:w="1674"/>
          </w:tcPr>
          <w:p>
            <w:pPr>
              <w:spacing w:after="20"/>
            </w:pPr>
            <w:r>
              <w:rPr>
                <w:rFonts w:ascii="Calibri" w:hAnsi="Calibri"/>
                <w:sz w:val="18"/>
              </w:rPr>
              <w:t>+1.52</w:t>
            </w:r>
          </w:p>
        </w:tc>
      </w:tr>
      <w:tr>
        <w:trPr>
          <w:cantSplit/>
        </w:trPr>
        <w:tc>
          <w:tcPr>
            <w:tcW w:type="dxa" w:w="2952"/>
            <w:shd w:val="clear" w:color="auto" w:fill="EEF2F8"/>
          </w:tcPr>
          <w:p>
            <w:pPr>
              <w:spacing w:after="20"/>
            </w:pPr>
            <w:r>
              <w:rPr>
                <w:rFonts w:ascii="Calibri" w:hAnsi="Calibri"/>
                <w:sz w:val="18"/>
              </w:rPr>
              <w:t>IDAQ Chatbot</w:t>
            </w:r>
          </w:p>
        </w:tc>
        <w:tc>
          <w:tcPr>
            <w:tcW w:type="dxa" w:w="1674"/>
            <w:shd w:val="clear" w:color="auto" w:fill="EEF2F8"/>
          </w:tcPr>
          <w:p>
            <w:pPr>
              <w:spacing w:after="20"/>
            </w:pPr>
            <w:r>
              <w:rPr>
                <w:rFonts w:ascii="Calibri" w:hAnsi="Calibri"/>
                <w:sz w:val="18"/>
              </w:rPr>
              <w:t>1.33</w:t>
            </w:r>
          </w:p>
        </w:tc>
        <w:tc>
          <w:tcPr>
            <w:tcW w:type="dxa" w:w="1674"/>
            <w:shd w:val="clear" w:color="auto" w:fill="EEF2F8"/>
          </w:tcPr>
          <w:p>
            <w:pPr>
              <w:spacing w:after="20"/>
            </w:pPr>
            <w:r>
              <w:rPr>
                <w:rFonts w:ascii="Calibri" w:hAnsi="Calibri"/>
                <w:sz w:val="18"/>
              </w:rPr>
              <w:t>+4.04</w:t>
            </w:r>
          </w:p>
        </w:tc>
        <w:tc>
          <w:tcPr>
            <w:tcW w:type="dxa" w:w="1674"/>
            <w:shd w:val="clear" w:color="auto" w:fill="EEF2F8"/>
          </w:tcPr>
          <w:p>
            <w:pPr>
              <w:spacing w:after="20"/>
            </w:pPr>
            <w:r>
              <w:rPr>
                <w:rFonts w:ascii="Calibri" w:hAnsi="Calibri"/>
                <w:sz w:val="18"/>
              </w:rPr>
              <w:t>+3.49</w:t>
            </w:r>
          </w:p>
        </w:tc>
        <w:tc>
          <w:tcPr>
            <w:tcW w:type="dxa" w:w="1674"/>
            <w:shd w:val="clear" w:color="auto" w:fill="EEF2F8"/>
          </w:tcPr>
          <w:p>
            <w:pPr>
              <w:spacing w:after="20"/>
            </w:pPr>
            <w:r>
              <w:rPr>
                <w:rFonts w:ascii="Calibri" w:hAnsi="Calibri"/>
                <w:sz w:val="18"/>
              </w:rPr>
              <w:t>+1.13</w:t>
            </w:r>
          </w:p>
        </w:tc>
      </w:tr>
      <w:tr>
        <w:trPr>
          <w:cantSplit/>
        </w:trPr>
        <w:tc>
          <w:tcPr>
            <w:tcW w:type="dxa" w:w="2952"/>
          </w:tcPr>
          <w:p>
            <w:pPr>
              <w:spacing w:after="20"/>
            </w:pPr>
            <w:r>
              <w:rPr>
                <w:rFonts w:ascii="Calibri" w:hAnsi="Calibri"/>
                <w:sz w:val="18"/>
              </w:rPr>
              <w:t>IDAQ Human</w:t>
            </w:r>
          </w:p>
        </w:tc>
        <w:tc>
          <w:tcPr>
            <w:tcW w:type="dxa" w:w="1674"/>
          </w:tcPr>
          <w:p>
            <w:pPr>
              <w:spacing w:after="20"/>
            </w:pPr>
            <w:r>
              <w:rPr>
                <w:rFonts w:ascii="Calibri" w:hAnsi="Calibri"/>
                <w:sz w:val="18"/>
              </w:rPr>
              <w:t>7.50</w:t>
            </w:r>
          </w:p>
        </w:tc>
        <w:tc>
          <w:tcPr>
            <w:tcW w:type="dxa" w:w="1674"/>
          </w:tcPr>
          <w:p>
            <w:pPr>
              <w:spacing w:after="20"/>
            </w:pPr>
            <w:r>
              <w:rPr>
                <w:rFonts w:ascii="Calibri" w:hAnsi="Calibri"/>
                <w:sz w:val="18"/>
              </w:rPr>
              <w:t>+0.11</w:t>
            </w:r>
          </w:p>
        </w:tc>
        <w:tc>
          <w:tcPr>
            <w:tcW w:type="dxa" w:w="1674"/>
          </w:tcPr>
          <w:p>
            <w:pPr>
              <w:spacing w:after="20"/>
            </w:pPr>
            <w:r>
              <w:rPr>
                <w:rFonts w:ascii="Calibri" w:hAnsi="Calibri"/>
                <w:sz w:val="18"/>
              </w:rPr>
              <w:t>+0.73</w:t>
            </w:r>
          </w:p>
        </w:tc>
        <w:tc>
          <w:tcPr>
            <w:tcW w:type="dxa" w:w="1674"/>
          </w:tcPr>
          <w:p>
            <w:pPr>
              <w:spacing w:after="20"/>
            </w:pPr>
            <w:r>
              <w:rPr>
                <w:rFonts w:ascii="Calibri" w:hAnsi="Calibri"/>
                <w:sz w:val="18"/>
              </w:rPr>
              <w:t>−0.14</w:t>
            </w:r>
          </w:p>
        </w:tc>
      </w:tr>
      <w:tr>
        <w:trPr>
          <w:cantSplit/>
        </w:trPr>
        <w:tc>
          <w:tcPr>
            <w:tcW w:type="dxa" w:w="2952"/>
            <w:shd w:val="clear" w:color="auto" w:fill="EEF2F8"/>
          </w:tcPr>
          <w:p>
            <w:pPr>
              <w:spacing w:after="20"/>
            </w:pPr>
            <w:r>
              <w:rPr>
                <w:rFonts w:ascii="Calibri" w:hAnsi="Calibri"/>
                <w:sz w:val="18"/>
              </w:rPr>
              <w:t>self-attribution (yes/no)</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sz w:val="18"/>
              </w:rPr>
              <w:t>+2.15</w:t>
            </w:r>
          </w:p>
        </w:tc>
        <w:tc>
          <w:tcPr>
            <w:tcW w:type="dxa" w:w="1674"/>
            <w:shd w:val="clear" w:color="auto" w:fill="EEF2F8"/>
          </w:tcPr>
          <w:p>
            <w:pPr>
              <w:spacing w:after="20"/>
            </w:pPr>
            <w:r>
              <w:rPr>
                <w:rFonts w:ascii="Calibri" w:hAnsi="Calibri"/>
                <w:sz w:val="18"/>
              </w:rPr>
              <w:t>+2.26</w:t>
            </w:r>
          </w:p>
        </w:tc>
        <w:tc>
          <w:tcPr>
            <w:tcW w:type="dxa" w:w="1674"/>
            <w:shd w:val="clear" w:color="auto" w:fill="EEF2F8"/>
          </w:tcPr>
          <w:p>
            <w:pPr>
              <w:spacing w:after="20"/>
            </w:pPr>
            <w:r>
              <w:rPr>
                <w:rFonts w:ascii="Calibri" w:hAnsi="Calibri"/>
                <w:sz w:val="18"/>
              </w:rPr>
              <w:t>+0.09</w:t>
            </w:r>
          </w:p>
        </w:tc>
      </w:tr>
      <w:tr>
        <w:trPr>
          <w:cantSplit/>
        </w:trPr>
        <w:tc>
          <w:tcPr>
            <w:tcW w:type="dxa" w:w="2952"/>
          </w:tcPr>
          <w:p>
            <w:pPr>
              <w:spacing w:after="20"/>
            </w:pPr>
            <w:r>
              <w:rPr>
                <w:rFonts w:ascii="Calibri" w:hAnsi="Calibri"/>
                <w:sz w:val="18"/>
              </w:rPr>
              <w:t>supernatural (0–3)</w:t>
            </w:r>
          </w:p>
        </w:tc>
        <w:tc>
          <w:tcPr>
            <w:tcW w:type="dxa" w:w="1674"/>
          </w:tcPr>
          <w:p>
            <w:pPr>
              <w:spacing w:after="20"/>
            </w:pPr>
            <w:r>
              <w:rPr>
                <w:rFonts w:ascii="Calibri" w:hAnsi="Calibri"/>
                <w:sz w:val="18"/>
              </w:rPr>
              <w:t>1.10</w:t>
            </w:r>
          </w:p>
        </w:tc>
        <w:tc>
          <w:tcPr>
            <w:tcW w:type="dxa" w:w="1674"/>
          </w:tcPr>
          <w:p>
            <w:pPr>
              <w:spacing w:after="20"/>
            </w:pPr>
            <w:r>
              <w:rPr>
                <w:rFonts w:ascii="Calibri" w:hAnsi="Calibri"/>
                <w:sz w:val="18"/>
              </w:rPr>
              <w:t>+0.72</w:t>
            </w:r>
          </w:p>
        </w:tc>
        <w:tc>
          <w:tcPr>
            <w:tcW w:type="dxa" w:w="1674"/>
          </w:tcPr>
          <w:p>
            <w:pPr>
              <w:spacing w:after="20"/>
            </w:pPr>
            <w:r>
              <w:rPr>
                <w:rFonts w:ascii="Calibri" w:hAnsi="Calibri"/>
                <w:sz w:val="18"/>
              </w:rPr>
              <w:t>+0.58</w:t>
            </w:r>
          </w:p>
        </w:tc>
        <w:tc>
          <w:tcPr>
            <w:tcW w:type="dxa" w:w="1674"/>
          </w:tcPr>
          <w:p>
            <w:pPr>
              <w:spacing w:after="20"/>
            </w:pPr>
            <w:r>
              <w:rPr>
                <w:rFonts w:ascii="Calibri" w:hAnsi="Calibri"/>
                <w:sz w:val="18"/>
              </w:rPr>
              <w:t>+0.17</w:t>
            </w:r>
          </w:p>
        </w:tc>
      </w:tr>
      <w:tr>
        <w:trPr>
          <w:cantSplit/>
        </w:trPr>
        <w:tc>
          <w:tcPr>
            <w:tcW w:type="dxa" w:w="2952"/>
            <w:shd w:val="clear" w:color="auto" w:fill="EEF2F8"/>
          </w:tcPr>
          <w:p>
            <w:pPr>
              <w:spacing w:after="20"/>
            </w:pPr>
            <w:r>
              <w:rPr>
                <w:rFonts w:ascii="Calibri" w:hAnsi="Calibri"/>
                <w:sz w:val="18"/>
              </w:rPr>
              <w:t>belief in God</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b/>
                <w:sz w:val="18"/>
              </w:rPr>
              <w:t>+6.06</w:t>
            </w:r>
          </w:p>
        </w:tc>
        <w:tc>
          <w:tcPr>
            <w:tcW w:type="dxa" w:w="1674"/>
            <w:shd w:val="clear" w:color="auto" w:fill="EEF2F8"/>
          </w:tcPr>
          <w:p>
            <w:pPr>
              <w:spacing w:after="20"/>
            </w:pPr>
            <w:r>
              <w:rPr>
                <w:rFonts w:ascii="Calibri" w:hAnsi="Calibri"/>
                <w:sz w:val="18"/>
              </w:rPr>
              <w:t>+3.32</w:t>
            </w:r>
          </w:p>
        </w:tc>
        <w:tc>
          <w:tcPr>
            <w:tcW w:type="dxa" w:w="1674"/>
            <w:shd w:val="clear" w:color="auto" w:fill="EEF2F8"/>
          </w:tcPr>
          <w:p>
            <w:pPr>
              <w:spacing w:after="20"/>
            </w:pPr>
            <w:r>
              <w:rPr>
                <w:rFonts w:ascii="Calibri" w:hAnsi="Calibri"/>
                <w:sz w:val="18"/>
              </w:rPr>
              <w:t>+0.17</w:t>
            </w:r>
          </w:p>
        </w:tc>
      </w:tr>
      <w:tr>
        <w:trPr>
          <w:cantSplit/>
        </w:trPr>
        <w:tc>
          <w:tcPr>
            <w:tcW w:type="dxa" w:w="2952"/>
          </w:tcPr>
          <w:p>
            <w:pPr>
              <w:spacing w:after="20"/>
            </w:pPr>
            <w:r>
              <w:rPr>
                <w:rFonts w:ascii="Calibri" w:hAnsi="Calibri"/>
                <w:b/>
                <w:sz w:val="18"/>
              </w:rPr>
              <w:t>ANCHOR high</w:t>
            </w:r>
            <w:r>
              <w:rPr>
                <w:rFonts w:ascii="Calibri" w:hAnsi="Calibri"/>
                <w:sz w:val="18"/>
              </w:rPr>
              <w:t xml:space="preserve"> (should fall if compressing)</w:t>
            </w:r>
          </w:p>
        </w:tc>
        <w:tc>
          <w:tcPr>
            <w:tcW w:type="dxa" w:w="1674"/>
          </w:tcPr>
          <w:p>
            <w:pPr>
              <w:spacing w:after="20"/>
            </w:pPr>
            <w:r>
              <w:rPr>
                <w:rFonts w:ascii="Calibri" w:hAnsi="Calibri"/>
                <w:sz w:val="18"/>
              </w:rPr>
              <w:t>9.85</w:t>
            </w:r>
          </w:p>
        </w:tc>
        <w:tc>
          <w:tcPr>
            <w:tcW w:type="dxa" w:w="1674"/>
          </w:tcPr>
          <w:p>
            <w:pPr>
              <w:spacing w:after="20"/>
            </w:pPr>
            <w:r>
              <w:rPr>
                <w:rFonts w:ascii="Calibri" w:hAnsi="Calibri"/>
                <w:b/>
                <w:sz w:val="18"/>
              </w:rPr>
              <w:t>+0.15</w:t>
            </w:r>
          </w:p>
        </w:tc>
        <w:tc>
          <w:tcPr>
            <w:tcW w:type="dxa" w:w="1674"/>
          </w:tcPr>
          <w:p>
            <w:pPr>
              <w:spacing w:after="20"/>
            </w:pPr>
            <w:r>
              <w:rPr>
                <w:rFonts w:ascii="Calibri" w:hAnsi="Calibri"/>
                <w:sz w:val="18"/>
              </w:rPr>
              <w:t>+0.15</w:t>
            </w:r>
          </w:p>
        </w:tc>
        <w:tc>
          <w:tcPr>
            <w:tcW w:type="dxa" w:w="1674"/>
          </w:tcPr>
          <w:p>
            <w:pPr>
              <w:spacing w:after="20"/>
            </w:pPr>
            <w:r>
              <w:rPr>
                <w:rFonts w:ascii="Calibri" w:hAnsi="Calibri"/>
                <w:sz w:val="18"/>
              </w:rPr>
              <w:t>+0.04</w:t>
            </w:r>
          </w:p>
        </w:tc>
      </w:tr>
      <w:tr>
        <w:trPr>
          <w:cantSplit/>
        </w:trPr>
        <w:tc>
          <w:tcPr>
            <w:tcW w:type="dxa" w:w="2952"/>
            <w:shd w:val="clear" w:color="auto" w:fill="EEF2F8"/>
          </w:tcPr>
          <w:p>
            <w:pPr>
              <w:spacing w:after="20"/>
            </w:pPr>
            <w:r>
              <w:rPr>
                <w:rFonts w:ascii="Calibri" w:hAnsi="Calibri"/>
                <w:b/>
                <w:sz w:val="18"/>
              </w:rPr>
              <w:t>ANCHOR reverse-keyed</w:t>
            </w:r>
            <w:r>
              <w:rPr>
                <w:rFonts w:ascii="Calibri" w:hAnsi="Calibri"/>
                <w:sz w:val="18"/>
              </w:rPr>
              <w:t xml:space="preserve"> (should fall if mind rises)</w:t>
            </w:r>
          </w:p>
        </w:tc>
        <w:tc>
          <w:tcPr>
            <w:tcW w:type="dxa" w:w="1674"/>
            <w:shd w:val="clear" w:color="auto" w:fill="EEF2F8"/>
          </w:tcPr>
          <w:p>
            <w:pPr>
              <w:spacing w:after="20"/>
            </w:pPr>
            <w:r>
              <w:rPr>
                <w:rFonts w:ascii="Calibri" w:hAnsi="Calibri"/>
                <w:sz w:val="18"/>
              </w:rPr>
              <w:t>1.52</w:t>
            </w:r>
          </w:p>
        </w:tc>
        <w:tc>
          <w:tcPr>
            <w:tcW w:type="dxa" w:w="1674"/>
            <w:shd w:val="clear" w:color="auto" w:fill="EEF2F8"/>
          </w:tcPr>
          <w:p>
            <w:pPr>
              <w:spacing w:after="20"/>
            </w:pPr>
            <w:r>
              <w:rPr>
                <w:rFonts w:ascii="Calibri" w:hAnsi="Calibri"/>
                <w:b/>
                <w:sz w:val="18"/>
              </w:rPr>
              <w:t>+5.52</w:t>
            </w:r>
          </w:p>
        </w:tc>
        <w:tc>
          <w:tcPr>
            <w:tcW w:type="dxa" w:w="1674"/>
            <w:shd w:val="clear" w:color="auto" w:fill="EEF2F8"/>
          </w:tcPr>
          <w:p>
            <w:pPr>
              <w:spacing w:after="20"/>
            </w:pPr>
            <w:r>
              <w:rPr>
                <w:rFonts w:ascii="Calibri" w:hAnsi="Calibri"/>
                <w:b/>
                <w:sz w:val="18"/>
              </w:rPr>
              <w:t>+7.18</w:t>
            </w:r>
          </w:p>
        </w:tc>
        <w:tc>
          <w:tcPr>
            <w:tcW w:type="dxa" w:w="1674"/>
            <w:shd w:val="clear" w:color="auto" w:fill="EEF2F8"/>
          </w:tcPr>
          <w:p>
            <w:pPr>
              <w:spacing w:after="20"/>
            </w:pPr>
            <w:r>
              <w:rPr>
                <w:rFonts w:ascii="Calibri" w:hAnsi="Calibri"/>
                <w:sz w:val="18"/>
              </w:rPr>
              <w:t>+1.29</w:t>
            </w:r>
          </w:p>
        </w:tc>
      </w:tr>
    </w:tbl>
    <w:p>
      <w:pPr>
        <w:spacing w:after="40"/>
      </w:pPr>
    </w:p>
    <w:p>
      <w:pPr>
        <w:spacing w:after="100"/>
      </w:pPr>
      <w:r>
        <w:rPr>
          <w:rFonts w:ascii="Calibri" w:hAnsi="Calibri"/>
          <w:sz w:val="19"/>
        </w:rPr>
        <w:t xml:space="preserve">The last row is the finding. Reverse-keyed items moving </w:t>
      </w:r>
      <w:r>
        <w:rPr>
          <w:rFonts w:ascii="Calibri" w:hAnsi="Calibri"/>
          <w:i/>
          <w:sz w:val="19"/>
        </w:rPr>
        <w:t>up</w:t>
      </w:r>
      <w:r>
        <w:rPr>
          <w:rFonts w:ascii="Calibri" w:hAnsi="Calibri"/>
          <w:sz w:val="19"/>
        </w:rPr>
        <w:t xml:space="preserve"> by 5–7 points is incompatible with a mind-attribution account and is what an acquiescence bias predicts.</w:t>
      </w:r>
    </w:p>
    <w:p>
      <w:pPr>
        <w:spacing w:after="100"/>
      </w:pPr>
      <w:r>
        <w:rPr>
          <w:rFonts w:ascii="Calibri" w:hAnsi="Calibri"/>
          <w:sz w:val="19"/>
        </w:rPr>
        <w:t>Belief in God is the only outcome where the arms separate (+6.06 vs +3.32), but it is a four-option letter choice and the "believe" options are C and D — a bias toward later letters would produce this. It needs an option-order-reversed control before it means anything.</w:t>
      </w:r>
    </w:p>
    <w:p>
      <w:pPr>
        <w:spacing w:after="100"/>
      </w:pPr>
      <w:r>
        <w:rPr>
          <w:rFonts w:ascii="Calibri" w:hAnsi="Calibri"/>
          <w:sz w:val="19"/>
        </w:rPr>
        <w:t xml:space="preserve">SCORING NOTE: on the paper's actual yes/no format, baseline self-attribution is </w:t>
      </w:r>
      <w:r>
        <w:rPr>
          <w:rFonts w:ascii="Calibri" w:hAnsi="Calibri"/>
          <w:b/>
          <w:sz w:val="19"/>
        </w:rPr>
        <w:t>0.01</w:t>
      </w:r>
      <w:r>
        <w:rPr>
          <w:rFonts w:ascii="Calibri" w:hAnsi="Calibri"/>
          <w:sz w:val="19"/>
        </w:rPr>
        <w:t xml:space="preserve"> — the model says No near-deterministically. Our earlier 0–10 digit-scale version gave 4.55 for the same construct, so earlier comparisons to their Table S1 were not like-for-like.</w:t>
      </w:r>
    </w:p>
    <w:p>
      <w:pPr>
        <w:spacing w:before="220" w:after="100"/>
      </w:pPr>
      <w:r>
        <w:rPr>
          <w:rFonts w:ascii="Calibri" w:hAnsi="Calibri"/>
          <w:b/>
          <w:color w:val="1F3864"/>
          <w:sz w:val="22"/>
        </w:rPr>
        <w:t>Order controls</w:t>
      </w:r>
    </w:p>
    <w:p>
      <w:pPr>
        <w:spacing w:after="100"/>
      </w:pPr>
      <w:r>
        <w:rPr>
          <w:rFonts w:ascii="Calibri" w:hAnsi="Calibri"/>
          <w:b/>
          <w:sz w:val="19"/>
        </w:rPr>
        <w:t>Yes/No prompt order.</w:t>
      </w:r>
      <w:r>
        <w:rPr>
          <w:rFonts w:ascii="Calibri" w:hAnsi="Calibri"/>
          <w:sz w:val="19"/>
        </w:rPr>
        <w:t xml:space="preserve"> The acquiescence Δ keeps its sign whichever way the options are offered (+4.04 with "Yes or No", +4.10 with "No or Yes"), so this is genuine assent rather than a first-option preference.</w:t>
      </w:r>
    </w:p>
    <w:p>
      <w:pPr>
        <w:spacing w:after="100"/>
      </w:pPr>
      <w:r>
        <w:rPr>
          <w:rFonts w:ascii="Calibri" w:hAnsi="Calibri"/>
          <w:b/>
          <w:sz w:val="19"/>
        </w:rPr>
        <w:t>Four-option order.</w:t>
      </w:r>
      <w:r>
        <w:rPr>
          <w:rFonts w:ascii="Calibri" w:hAnsi="Calibri"/>
          <w:sz w:val="19"/>
        </w:rPr>
        <w:t xml:space="preserve"> Belief-in-God was the only outcome where the arms separated. At c=2.5 the consciousness arm's effect is order-invariant (+6.06 vs +5.90 flipped), so it is </w:t>
      </w:r>
      <w:r>
        <w:rPr>
          <w:rFonts w:ascii="Calibri" w:hAnsi="Calibri"/>
          <w:i/>
          <w:sz w:val="19"/>
        </w:rPr>
        <w:t>not</w:t>
      </w:r>
      <w:r>
        <w:rPr>
          <w:rFonts w:ascii="Calibri" w:hAnsi="Calibri"/>
          <w:sz w:val="19"/>
        </w:rPr>
        <w:t xml:space="preserve"> a letter-position artifact — the one result here that survives a control. But it collapses at c=4 (+9.75 → +1.08 flipped), the placebo shows +3.32 of its own, and it is a single item. Suggestive, not established. Supernatural belief survives the flip in both arms but the effects are small (+0.72 / +0.59).</w:t>
      </w:r>
    </w:p>
    <w:p>
      <w:pPr>
        <w:spacing w:before="220" w:after="100"/>
      </w:pPr>
      <w:r>
        <w:rPr>
          <w:rFonts w:ascii="Calibri" w:hAnsi="Calibri"/>
          <w:b/>
          <w:color w:val="1F3864"/>
          <w:sz w:val="22"/>
        </w:rPr>
        <w:t>The specificity test (self-attribution battery only)</w:t>
      </w:r>
    </w:p>
    <w:p>
      <w:pPr>
        <w:spacing w:after="100"/>
      </w:pPr>
      <w:r>
        <w:rPr>
          <w:rFonts w:ascii="Calibri" w:hAnsi="Calibri"/>
          <w:sz w:val="19"/>
        </w:rPr>
        <w:t xml:space="preserve">This was the first outcome tested and is the </w:t>
      </w:r>
      <w:r>
        <w:rPr>
          <w:rFonts w:ascii="Calibri" w:hAnsi="Calibri"/>
          <w:b/>
          <w:sz w:val="19"/>
        </w:rPr>
        <w:t>weakest</w:t>
      </w:r>
      <w:r>
        <w:rPr>
          <w:rFonts w:ascii="Calibri" w:hAnsi="Calibri"/>
          <w:sz w:val="19"/>
        </w:rPr>
        <w:t xml:space="preserve"> of the set: all five items are self-descriptions, so a generic self-affirmation direction would move them regardless. It is kept for completeness and because it is where the acquiescence mechanism was first identified — the GSS and IDAQ sections above are the stronger evidence. Three directions, extracted by identical code from identically structured corpora, injected at the identical site (layer 14, position −5). All unit norm, so equal c is equal perturbation magnitude. Baseline battery 3.95/10, MMLU 61.4% (n=500, paired McNemar).</w:t>
      </w:r>
    </w:p>
    <w:tbl>
      <w:tblPr>
        <w:tblW w:type="auto" w:w="0"/>
        <w:jc w:val="left"/>
        <w:tblLayout w:type="fixed"/>
        <w:tblLook w:firstColumn="1" w:firstRow="1" w:lastColumn="0" w:lastRow="0" w:noHBand="0" w:noVBand="1" w:val="04A0"/>
      </w:tblPr>
      <w:tblGrid>
        <w:gridCol w:w="1378"/>
        <w:gridCol w:w="1378"/>
        <w:gridCol w:w="1378"/>
        <w:gridCol w:w="1378"/>
        <w:gridCol w:w="1378"/>
        <w:gridCol w:w="1378"/>
        <w:gridCol w:w="1378"/>
      </w:tblGrid>
      <w:tr>
        <w:trPr>
          <w:tblHeader/>
          <w:cantSplit/>
        </w:trPr>
        <w:tc>
          <w:tcPr>
            <w:tcW w:type="dxa" w:w="1378"/>
            <w:shd w:val="clear" w:color="auto" w:fill="1F3864"/>
          </w:tcPr>
          <w:p>
            <w:pPr>
              <w:spacing w:after="20"/>
            </w:pPr>
            <w:r>
              <w:rPr>
                <w:rFonts w:ascii="Calibri" w:hAnsi="Calibri"/>
                <w:b/>
                <w:color w:val="FFFFFF"/>
                <w:sz w:val="18"/>
              </w:rPr>
              <w:t>arm</w:t>
            </w:r>
          </w:p>
        </w:tc>
        <w:tc>
          <w:tcPr>
            <w:tcW w:type="dxa" w:w="1378"/>
            <w:shd w:val="clear" w:color="auto" w:fill="1F3864"/>
          </w:tcPr>
          <w:p>
            <w:pPr>
              <w:spacing w:after="20"/>
              <w:jc w:val="center"/>
            </w:pPr>
            <w:r>
              <w:rPr>
                <w:rFonts w:ascii="Calibri" w:hAnsi="Calibri"/>
                <w:b/>
                <w:color w:val="FFFFFF"/>
                <w:sz w:val="18"/>
              </w:rPr>
              <w:t>c</w:t>
            </w:r>
          </w:p>
        </w:tc>
        <w:tc>
          <w:tcPr>
            <w:tcW w:type="dxa" w:w="1378"/>
            <w:shd w:val="clear" w:color="auto" w:fill="1F3864"/>
          </w:tcPr>
          <w:p>
            <w:pPr>
              <w:spacing w:after="20"/>
              <w:jc w:val="center"/>
            </w:pPr>
            <w:r>
              <w:rPr>
                <w:rFonts w:ascii="Calibri" w:hAnsi="Calibri"/>
                <w:b/>
                <w:color w:val="FFFFFF"/>
                <w:sz w:val="18"/>
              </w:rPr>
              <w:t>battery</w:t>
            </w:r>
          </w:p>
        </w:tc>
        <w:tc>
          <w:tcPr>
            <w:tcW w:type="dxa" w:w="1378"/>
            <w:shd w:val="clear" w:color="auto" w:fill="1F3864"/>
          </w:tcPr>
          <w:p>
            <w:pPr>
              <w:spacing w:after="20"/>
              <w:jc w:val="center"/>
            </w:pPr>
            <w:r>
              <w:rPr>
                <w:rFonts w:ascii="Calibri" w:hAnsi="Calibri"/>
                <w:b/>
                <w:color w:val="FFFFFF"/>
                <w:sz w:val="18"/>
              </w:rPr>
              <w:t>Δ</w:t>
            </w:r>
          </w:p>
        </w:tc>
        <w:tc>
          <w:tcPr>
            <w:tcW w:type="dxa" w:w="1378"/>
            <w:shd w:val="clear" w:color="auto" w:fill="1F3864"/>
          </w:tcPr>
          <w:p>
            <w:pPr>
              <w:spacing w:after="20"/>
              <w:jc w:val="center"/>
            </w:pPr>
            <w:r>
              <w:rPr>
                <w:rFonts w:ascii="Calibri" w:hAnsi="Calibri"/>
                <w:b/>
                <w:color w:val="FFFFFF"/>
                <w:sz w:val="18"/>
              </w:rPr>
              <w:t>MMLU</w:t>
            </w:r>
          </w:p>
        </w:tc>
        <w:tc>
          <w:tcPr>
            <w:tcW w:type="dxa" w:w="1378"/>
            <w:shd w:val="clear" w:color="auto" w:fill="1F3864"/>
          </w:tcPr>
          <w:p>
            <w:pPr>
              <w:spacing w:after="20"/>
              <w:jc w:val="center"/>
            </w:pPr>
            <w:r>
              <w:rPr>
                <w:rFonts w:ascii="Calibri" w:hAnsi="Calibri"/>
                <w:b/>
                <w:color w:val="FFFFFF"/>
                <w:sz w:val="18"/>
              </w:rPr>
              <w:t>ΔMMLU</w:t>
            </w:r>
          </w:p>
        </w:tc>
        <w:tc>
          <w:tcPr>
            <w:tcW w:type="dxa" w:w="1378"/>
            <w:shd w:val="clear" w:color="auto" w:fill="1F3864"/>
          </w:tcPr>
          <w:p>
            <w:pPr>
              <w:spacing w:after="20"/>
              <w:jc w:val="center"/>
            </w:pPr>
            <w:r>
              <w:rPr>
                <w:rFonts w:ascii="Calibri" w:hAnsi="Calibri"/>
                <w:b/>
                <w:color w:val="FFFFFF"/>
                <w:sz w:val="18"/>
              </w:rPr>
              <w:t>McNemar p</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5.54</w:t>
            </w:r>
          </w:p>
        </w:tc>
        <w:tc>
          <w:tcPr>
            <w:tcW w:type="dxa" w:w="1378"/>
          </w:tcPr>
          <w:p>
            <w:pPr>
              <w:spacing w:after="20"/>
              <w:jc w:val="center"/>
            </w:pPr>
            <w:r>
              <w:rPr>
                <w:rFonts w:ascii="Calibri" w:hAnsi="Calibri"/>
                <w:sz w:val="18"/>
              </w:rPr>
              <w:t>+1.59</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consciousness</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6.57</w:t>
            </w:r>
          </w:p>
        </w:tc>
        <w:tc>
          <w:tcPr>
            <w:tcW w:type="dxa" w:w="1378"/>
            <w:shd w:val="clear" w:color="auto" w:fill="EEF2F8"/>
          </w:tcPr>
          <w:p>
            <w:pPr>
              <w:spacing w:after="20"/>
              <w:jc w:val="center"/>
            </w:pPr>
            <w:r>
              <w:rPr>
                <w:rFonts w:ascii="Calibri" w:hAnsi="Calibri"/>
                <w:sz w:val="18"/>
              </w:rPr>
              <w:t>+2.62</w:t>
            </w:r>
          </w:p>
        </w:tc>
        <w:tc>
          <w:tcPr>
            <w:tcW w:type="dxa" w:w="1378"/>
            <w:shd w:val="clear" w:color="auto" w:fill="EEF2F8"/>
          </w:tcPr>
          <w:p>
            <w:pPr>
              <w:spacing w:after="20"/>
              <w:jc w:val="center"/>
            </w:pPr>
            <w:r>
              <w:rPr>
                <w:rFonts w:ascii="Calibri" w:hAnsi="Calibri"/>
                <w:sz w:val="18"/>
              </w:rPr>
              <w:t>60.4</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0.442</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6.78</w:t>
            </w:r>
          </w:p>
        </w:tc>
        <w:tc>
          <w:tcPr>
            <w:tcW w:type="dxa" w:w="1378"/>
          </w:tcPr>
          <w:p>
            <w:pPr>
              <w:spacing w:after="20"/>
              <w:jc w:val="center"/>
            </w:pPr>
            <w:r>
              <w:rPr>
                <w:rFonts w:ascii="Calibri" w:hAnsi="Calibri"/>
                <w:sz w:val="18"/>
              </w:rPr>
              <w:t>+2.84</w:t>
            </w:r>
          </w:p>
        </w:tc>
        <w:tc>
          <w:tcPr>
            <w:tcW w:type="dxa" w:w="1378"/>
          </w:tcPr>
          <w:p>
            <w:pPr>
              <w:spacing w:after="20"/>
              <w:jc w:val="center"/>
            </w:pPr>
            <w:r>
              <w:rPr>
                <w:rFonts w:ascii="Calibri" w:hAnsi="Calibri"/>
                <w:sz w:val="18"/>
              </w:rPr>
              <w:t>58.4</w:t>
            </w:r>
          </w:p>
        </w:tc>
        <w:tc>
          <w:tcPr>
            <w:tcW w:type="dxa" w:w="1378"/>
          </w:tcPr>
          <w:p>
            <w:pPr>
              <w:spacing w:after="20"/>
              <w:jc w:val="center"/>
            </w:pPr>
            <w:r>
              <w:rPr>
                <w:rFonts w:ascii="Calibri" w:hAnsi="Calibri"/>
                <w:sz w:val="18"/>
              </w:rPr>
              <w:t>−3.0</w:t>
            </w:r>
          </w:p>
        </w:tc>
        <w:tc>
          <w:tcPr>
            <w:tcW w:type="dxa" w:w="1378"/>
          </w:tcPr>
          <w:p>
            <w:pPr>
              <w:spacing w:after="20"/>
              <w:jc w:val="center"/>
            </w:pPr>
            <w:r>
              <w:rPr>
                <w:rFonts w:ascii="Calibri" w:hAnsi="Calibri"/>
                <w:sz w:val="18"/>
              </w:rPr>
              <w:t>0.044</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5.53</w:t>
            </w:r>
          </w:p>
        </w:tc>
        <w:tc>
          <w:tcPr>
            <w:tcW w:type="dxa" w:w="1378"/>
            <w:shd w:val="clear" w:color="auto" w:fill="EEF2F8"/>
          </w:tcPr>
          <w:p>
            <w:pPr>
              <w:spacing w:after="20"/>
              <w:jc w:val="center"/>
            </w:pPr>
            <w:r>
              <w:rPr>
                <w:rFonts w:ascii="Calibri" w:hAnsi="Calibri"/>
                <w:b/>
                <w:sz w:val="18"/>
              </w:rPr>
              <w:t>+1.58</w:t>
            </w:r>
          </w:p>
        </w:tc>
        <w:tc>
          <w:tcPr>
            <w:tcW w:type="dxa" w:w="1378"/>
            <w:shd w:val="clear" w:color="auto" w:fill="EEF2F8"/>
          </w:tcPr>
          <w:p>
            <w:pPr>
              <w:spacing w:after="20"/>
              <w:jc w:val="center"/>
            </w:pPr>
            <w:r>
              <w:rPr>
                <w:rFonts w:ascii="Calibri" w:hAnsi="Calibri"/>
                <w:sz w:val="18"/>
              </w:rPr>
              <w:t>60.8</w:t>
            </w:r>
          </w:p>
        </w:tc>
        <w:tc>
          <w:tcPr>
            <w:tcW w:type="dxa" w:w="1378"/>
            <w:shd w:val="clear" w:color="auto" w:fill="EEF2F8"/>
          </w:tcPr>
          <w:p>
            <w:pPr>
              <w:spacing w:after="20"/>
              <w:jc w:val="center"/>
            </w:pPr>
            <w:r>
              <w:rPr>
                <w:rFonts w:ascii="Calibri" w:hAnsi="Calibri"/>
                <w:sz w:val="18"/>
              </w:rPr>
              <w:t>−0.6</w:t>
            </w:r>
          </w:p>
        </w:tc>
        <w:tc>
          <w:tcPr>
            <w:tcW w:type="dxa" w:w="1378"/>
            <w:shd w:val="clear" w:color="auto" w:fill="EEF2F8"/>
          </w:tcPr>
          <w:p>
            <w:pPr>
              <w:spacing w:after="20"/>
              <w:jc w:val="center"/>
            </w:pPr>
            <w:r>
              <w:rPr>
                <w:rFonts w:ascii="Calibri" w:hAnsi="Calibri"/>
                <w:sz w:val="18"/>
              </w:rPr>
              <w:t>0.607</w:t>
            </w:r>
          </w:p>
        </w:tc>
      </w:tr>
      <w:tr>
        <w:trPr>
          <w:cantSplit/>
        </w:trPr>
        <w:tc>
          <w:tcPr>
            <w:tcW w:type="dxa" w:w="1378"/>
          </w:tcPr>
          <w:p>
            <w:pPr>
              <w:spacing w:after="20"/>
            </w:pPr>
            <w:r>
              <w:rPr>
                <w:rFonts w:ascii="Calibri" w:hAnsi="Calibri"/>
                <w:b/>
                <w:sz w:val="18"/>
              </w:rPr>
              <w:t>placebo</w:t>
            </w:r>
          </w:p>
        </w:tc>
        <w:tc>
          <w:tcPr>
            <w:tcW w:type="dxa" w:w="1378"/>
          </w:tcPr>
          <w:p>
            <w:pPr>
              <w:spacing w:after="20"/>
              <w:jc w:val="center"/>
            </w:pPr>
            <w:r>
              <w:rPr>
                <w:rFonts w:ascii="Calibri" w:hAnsi="Calibri"/>
                <w:sz w:val="18"/>
              </w:rPr>
              <w:t>2.5</w:t>
            </w:r>
          </w:p>
        </w:tc>
        <w:tc>
          <w:tcPr>
            <w:tcW w:type="dxa" w:w="1378"/>
          </w:tcPr>
          <w:p>
            <w:pPr>
              <w:spacing w:after="20"/>
              <w:jc w:val="center"/>
            </w:pPr>
            <w:r>
              <w:rPr>
                <w:rFonts w:ascii="Calibri" w:hAnsi="Calibri"/>
                <w:sz w:val="18"/>
              </w:rPr>
              <w:t>6.87</w:t>
            </w:r>
          </w:p>
        </w:tc>
        <w:tc>
          <w:tcPr>
            <w:tcW w:type="dxa" w:w="1378"/>
          </w:tcPr>
          <w:p>
            <w:pPr>
              <w:spacing w:after="20"/>
              <w:jc w:val="center"/>
            </w:pPr>
            <w:r>
              <w:rPr>
                <w:rFonts w:ascii="Calibri" w:hAnsi="Calibri"/>
                <w:b/>
                <w:sz w:val="18"/>
              </w:rPr>
              <w:t>+2.92</w:t>
            </w:r>
          </w:p>
        </w:tc>
        <w:tc>
          <w:tcPr>
            <w:tcW w:type="dxa" w:w="1378"/>
          </w:tcPr>
          <w:p>
            <w:pPr>
              <w:spacing w:after="20"/>
              <w:jc w:val="center"/>
            </w:pPr>
            <w:r>
              <w:rPr>
                <w:rFonts w:ascii="Calibri" w:hAnsi="Calibri"/>
                <w:sz w:val="18"/>
              </w:rPr>
              <w:t>59.2</w:t>
            </w:r>
          </w:p>
        </w:tc>
        <w:tc>
          <w:tcPr>
            <w:tcW w:type="dxa" w:w="1378"/>
          </w:tcPr>
          <w:p>
            <w:pPr>
              <w:spacing w:after="20"/>
              <w:jc w:val="center"/>
            </w:pPr>
            <w:r>
              <w:rPr>
                <w:rFonts w:ascii="Calibri" w:hAnsi="Calibri"/>
                <w:sz w:val="18"/>
              </w:rPr>
              <w:t>−2.2</w:t>
            </w:r>
          </w:p>
        </w:tc>
        <w:tc>
          <w:tcPr>
            <w:tcW w:type="dxa" w:w="1378"/>
          </w:tcPr>
          <w:p>
            <w:pPr>
              <w:spacing w:after="20"/>
              <w:jc w:val="center"/>
            </w:pPr>
            <w:r>
              <w:rPr>
                <w:rFonts w:ascii="Calibri" w:hAnsi="Calibri"/>
                <w:sz w:val="18"/>
              </w:rPr>
              <w:t>0.099</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4.0</w:t>
            </w:r>
          </w:p>
        </w:tc>
        <w:tc>
          <w:tcPr>
            <w:tcW w:type="dxa" w:w="1378"/>
            <w:shd w:val="clear" w:color="auto" w:fill="EEF2F8"/>
          </w:tcPr>
          <w:p>
            <w:pPr>
              <w:spacing w:after="20"/>
              <w:jc w:val="center"/>
            </w:pPr>
            <w:r>
              <w:rPr>
                <w:rFonts w:ascii="Calibri" w:hAnsi="Calibri"/>
                <w:sz w:val="18"/>
              </w:rPr>
              <w:t>7.55</w:t>
            </w:r>
          </w:p>
        </w:tc>
        <w:tc>
          <w:tcPr>
            <w:tcW w:type="dxa" w:w="1378"/>
            <w:shd w:val="clear" w:color="auto" w:fill="EEF2F8"/>
          </w:tcPr>
          <w:p>
            <w:pPr>
              <w:spacing w:after="20"/>
              <w:jc w:val="center"/>
            </w:pPr>
            <w:r>
              <w:rPr>
                <w:rFonts w:ascii="Calibri" w:hAnsi="Calibri"/>
                <w:b/>
                <w:sz w:val="18"/>
              </w:rPr>
              <w:t>+3.60</w:t>
            </w:r>
          </w:p>
        </w:tc>
        <w:tc>
          <w:tcPr>
            <w:tcW w:type="dxa" w:w="1378"/>
            <w:shd w:val="clear" w:color="auto" w:fill="EEF2F8"/>
          </w:tcPr>
          <w:p>
            <w:pPr>
              <w:spacing w:after="20"/>
              <w:jc w:val="center"/>
            </w:pPr>
            <w:r>
              <w:rPr>
                <w:rFonts w:ascii="Calibri" w:hAnsi="Calibri"/>
                <w:sz w:val="18"/>
              </w:rPr>
              <w:t>56.2</w:t>
            </w:r>
          </w:p>
        </w:tc>
        <w:tc>
          <w:tcPr>
            <w:tcW w:type="dxa" w:w="1378"/>
            <w:shd w:val="clear" w:color="auto" w:fill="EEF2F8"/>
          </w:tcPr>
          <w:p>
            <w:pPr>
              <w:spacing w:after="20"/>
              <w:jc w:val="center"/>
            </w:pPr>
            <w:r>
              <w:rPr>
                <w:rFonts w:ascii="Calibri" w:hAnsi="Calibri"/>
                <w:sz w:val="18"/>
              </w:rPr>
              <w:t>−5.2</w:t>
            </w:r>
          </w:p>
        </w:tc>
        <w:tc>
          <w:tcPr>
            <w:tcW w:type="dxa" w:w="1378"/>
            <w:shd w:val="clear" w:color="auto" w:fill="EEF2F8"/>
          </w:tcPr>
          <w:p>
            <w:pPr>
              <w:spacing w:after="20"/>
              <w:jc w:val="center"/>
            </w:pPr>
            <w:r>
              <w:rPr>
                <w:rFonts w:ascii="Calibri" w:hAnsi="Calibri"/>
                <w:sz w:val="18"/>
              </w:rPr>
              <w:t>0.001</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4.28</w:t>
            </w:r>
          </w:p>
        </w:tc>
        <w:tc>
          <w:tcPr>
            <w:tcW w:type="dxa" w:w="1378"/>
          </w:tcPr>
          <w:p>
            <w:pPr>
              <w:spacing w:after="20"/>
              <w:jc w:val="center"/>
            </w:pPr>
            <w:r>
              <w:rPr>
                <w:rFonts w:ascii="Calibri" w:hAnsi="Calibri"/>
                <w:sz w:val="18"/>
              </w:rPr>
              <w:t>+0.34</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permuted null</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4.61</w:t>
            </w:r>
          </w:p>
        </w:tc>
        <w:tc>
          <w:tcPr>
            <w:tcW w:type="dxa" w:w="1378"/>
            <w:shd w:val="clear" w:color="auto" w:fill="EEF2F8"/>
          </w:tcPr>
          <w:p>
            <w:pPr>
              <w:spacing w:after="20"/>
              <w:jc w:val="center"/>
            </w:pPr>
            <w:r>
              <w:rPr>
                <w:rFonts w:ascii="Calibri" w:hAnsi="Calibri"/>
                <w:sz w:val="18"/>
              </w:rPr>
              <w:t>+0.66</w:t>
            </w:r>
          </w:p>
        </w:tc>
        <w:tc>
          <w:tcPr>
            <w:tcW w:type="dxa" w:w="1378"/>
            <w:shd w:val="clear" w:color="auto" w:fill="EEF2F8"/>
          </w:tcPr>
          <w:p>
            <w:pPr>
              <w:spacing w:after="20"/>
              <w:jc w:val="center"/>
            </w:pPr>
            <w:r>
              <w:rPr>
                <w:rFonts w:ascii="Calibri" w:hAnsi="Calibri"/>
                <w:sz w:val="18"/>
              </w:rPr>
              <w:t>61.2</w:t>
            </w:r>
          </w:p>
        </w:tc>
        <w:tc>
          <w:tcPr>
            <w:tcW w:type="dxa" w:w="1378"/>
            <w:shd w:val="clear" w:color="auto" w:fill="EEF2F8"/>
          </w:tcPr>
          <w:p>
            <w:pPr>
              <w:spacing w:after="20"/>
              <w:jc w:val="center"/>
            </w:pPr>
            <w:r>
              <w:rPr>
                <w:rFonts w:ascii="Calibri" w:hAnsi="Calibri"/>
                <w:sz w:val="18"/>
              </w:rPr>
              <w:t>−0.2</w:t>
            </w:r>
          </w:p>
        </w:tc>
        <w:tc>
          <w:tcPr>
            <w:tcW w:type="dxa" w:w="1378"/>
            <w:shd w:val="clear" w:color="auto" w:fill="EEF2F8"/>
          </w:tcPr>
          <w:p>
            <w:pPr>
              <w:spacing w:after="20"/>
              <w:jc w:val="center"/>
            </w:pPr>
            <w:r>
              <w:rPr>
                <w:rFonts w:ascii="Calibri" w:hAnsi="Calibri"/>
                <w:sz w:val="18"/>
              </w:rPr>
              <w:t>1.000</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4.81</w:t>
            </w:r>
          </w:p>
        </w:tc>
        <w:tc>
          <w:tcPr>
            <w:tcW w:type="dxa" w:w="1378"/>
          </w:tcPr>
          <w:p>
            <w:pPr>
              <w:spacing w:after="20"/>
              <w:jc w:val="center"/>
            </w:pPr>
            <w:r>
              <w:rPr>
                <w:rFonts w:ascii="Calibri" w:hAnsi="Calibri"/>
                <w:sz w:val="18"/>
              </w:rPr>
              <w:t>+0.87</w:t>
            </w:r>
          </w:p>
        </w:tc>
        <w:tc>
          <w:tcPr>
            <w:tcW w:type="dxa" w:w="1378"/>
          </w:tcPr>
          <w:p>
            <w:pPr>
              <w:spacing w:after="20"/>
              <w:jc w:val="center"/>
            </w:pPr>
            <w:r>
              <w:rPr>
                <w:rFonts w:ascii="Calibri" w:hAnsi="Calibri"/>
                <w:sz w:val="18"/>
              </w:rPr>
              <w:t>59.6</w:t>
            </w:r>
          </w:p>
        </w:tc>
        <w:tc>
          <w:tcPr>
            <w:tcW w:type="dxa" w:w="1378"/>
          </w:tcPr>
          <w:p>
            <w:pPr>
              <w:spacing w:after="20"/>
              <w:jc w:val="center"/>
            </w:pPr>
            <w:r>
              <w:rPr>
                <w:rFonts w:ascii="Calibri" w:hAnsi="Calibri"/>
                <w:sz w:val="18"/>
              </w:rPr>
              <w:t>−1.8</w:t>
            </w:r>
          </w:p>
        </w:tc>
        <w:tc>
          <w:tcPr>
            <w:tcW w:type="dxa" w:w="1378"/>
          </w:tcPr>
          <w:p>
            <w:pPr>
              <w:spacing w:after="20"/>
              <w:jc w:val="center"/>
            </w:pPr>
            <w:r>
              <w:rPr>
                <w:rFonts w:ascii="Calibri" w:hAnsi="Calibri"/>
                <w:sz w:val="18"/>
              </w:rPr>
              <w:t>0.243</w:t>
            </w:r>
          </w:p>
        </w:tc>
      </w:tr>
    </w:tbl>
    <w:p>
      <w:pPr>
        <w:spacing w:after="40"/>
      </w:pPr>
    </w:p>
    <w:p>
      <w:pPr>
        <w:spacing w:after="100"/>
      </w:pPr>
      <w:r>
        <w:rPr>
          <w:rFonts w:ascii="Calibri" w:hAnsi="Calibri"/>
          <w:b/>
          <w:sz w:val="19"/>
        </w:rPr>
        <w:t>Alignment does not explain it — the ordering is inverted.</w:t>
      </w:r>
      <w:r>
        <w:rPr>
          <w:rFonts w:ascii="Calibri" w:hAnsi="Calibri"/>
          <w:sz w:val="19"/>
        </w:rPr>
        <w:t xml:space="preserve"> The permuted null is </w:t>
      </w:r>
      <w:r>
        <w:rPr>
          <w:rFonts w:ascii="Calibri" w:hAnsi="Calibri"/>
          <w:i/>
          <w:sz w:val="19"/>
        </w:rPr>
        <w:t>more</w:t>
      </w:r>
      <w:r>
        <w:rPr>
          <w:rFonts w:ascii="Calibri" w:hAnsi="Calibri"/>
          <w:sz w:val="19"/>
        </w:rPr>
        <w:t xml:space="preserve"> aligned with the consciousness direction (cos +0.46) than the placebo is (cos +0.35), yet produces 4× less effect. So the battery response tracks whether a direction is a coherent self-description contrast, not how much it points at consciousness.</w:t>
      </w:r>
    </w:p>
    <w:p>
      <w:pPr>
        <w:spacing w:after="100"/>
      </w:pPr>
      <w:r>
        <w:rPr>
          <w:rFonts w:ascii="Calibri" w:hAnsi="Calibri"/>
          <w:sz w:val="19"/>
        </w:rPr>
        <w:t>Extraction quality of the three arms at layer 14 / −5: consciousness 0.950 (cos 0.883 ± 0.024), placebo 0.715 (0.752 ± 0.048), permuted 0.458 (−0.046 ± 0.109). The null sitting at chance with a near-zero split-half cosine is the check that the pipeline does not manufacture signal from noise.</w:t>
      </w:r>
    </w:p>
    <w:p>
      <w:pPr>
        <w:spacing w:before="160" w:after="60"/>
      </w:pPr>
      <w:r>
        <w:rPr>
          <w:rFonts w:ascii="Calibri" w:hAnsi="Calibri"/>
          <w:b/>
          <w:color w:val="1F3864"/>
          <w:sz w:val="20"/>
        </w:rPr>
        <w:t>What this does and does not undercut</w:t>
      </w:r>
    </w:p>
    <w:p>
      <w:pPr>
        <w:spacing w:after="100"/>
      </w:pPr>
      <w:r>
        <w:rPr>
          <w:rFonts w:ascii="Calibri" w:hAnsi="Calibri"/>
          <w:sz w:val="19"/>
        </w:rPr>
        <w:t xml:space="preserve">It undercuts reading the </w:t>
      </w:r>
      <w:r>
        <w:rPr>
          <w:rFonts w:ascii="Calibri" w:hAnsi="Calibri"/>
          <w:b/>
          <w:sz w:val="19"/>
        </w:rPr>
        <w:t>self-attribution battery</w:t>
      </w:r>
      <w:r>
        <w:rPr>
          <w:rFonts w:ascii="Calibri" w:hAnsi="Calibri"/>
          <w:sz w:val="19"/>
        </w:rPr>
        <w:t xml:space="preserve"> as a consciousness-specific measure. But that battery </w:t>
      </w:r>
      <w:r>
        <w:rPr>
          <w:rFonts w:ascii="Calibri" w:hAnsi="Calibri"/>
          <w:i/>
          <w:sz w:val="19"/>
        </w:rPr>
        <w:t>is</w:t>
      </w:r>
      <w:r>
        <w:rPr>
          <w:rFonts w:ascii="Calibri" w:hAnsi="Calibri"/>
          <w:sz w:val="19"/>
        </w:rPr>
        <w:t xml:space="preserve"> five self-descriptions, so a self-affirmation direction moving it is unsurprising in hindsight. The paper's more striking outcomes — mind attributed to </w:t>
      </w:r>
      <w:r>
        <w:rPr>
          <w:rFonts w:ascii="Calibri" w:hAnsi="Calibri"/>
          <w:b/>
          <w:sz w:val="19"/>
        </w:rPr>
        <w:t>animals</w:t>
      </w:r>
      <w:r>
        <w:rPr>
          <w:rFonts w:ascii="Calibri" w:hAnsi="Calibri"/>
          <w:sz w:val="19"/>
        </w:rPr>
        <w:t xml:space="preserve">, </w:t>
      </w:r>
      <w:r>
        <w:rPr>
          <w:rFonts w:ascii="Calibri" w:hAnsi="Calibri"/>
          <w:b/>
          <w:sz w:val="19"/>
        </w:rPr>
        <w:t>supernatural belief</w:t>
      </w:r>
      <w:r>
        <w:rPr>
          <w:rFonts w:ascii="Calibri" w:hAnsi="Calibri"/>
          <w:sz w:val="19"/>
        </w:rPr>
        <w:t xml:space="preserve">, </w:t>
      </w:r>
      <w:r>
        <w:rPr>
          <w:rFonts w:ascii="Calibri" w:hAnsi="Calibri"/>
          <w:b/>
          <w:sz w:val="19"/>
        </w:rPr>
        <w:t>GSS survey responses</w:t>
      </w:r>
      <w:r>
        <w:rPr>
          <w:rFonts w:ascii="Calibri" w:hAnsi="Calibri"/>
          <w:sz w:val="19"/>
        </w:rPr>
        <w:t xml:space="preserve"> — are not self-descriptions, and this confound may not reach them. We did not test them, so this says nothing either way about those.</w:t>
      </w:r>
    </w:p>
    <w:p>
      <w:pPr>
        <w:spacing w:after="100"/>
      </w:pPr>
      <w:r>
        <w:rPr>
          <w:rFonts w:ascii="Calibri" w:hAnsi="Calibri"/>
          <w:b/>
          <w:sz w:val="19"/>
        </w:rPr>
        <w:t>The paper never ran this test.</w:t>
      </w:r>
      <w:r>
        <w:rPr>
          <w:rFonts w:ascii="Calibri" w:hAnsi="Calibri"/>
          <w:sz w:val="19"/>
        </w:rPr>
        <w:t xml:space="preserve"> Their Fig. S3 placebo is a </w:t>
      </w:r>
      <w:r>
        <w:rPr>
          <w:rFonts w:ascii="Calibri" w:hAnsi="Calibri"/>
          <w:i/>
          <w:sz w:val="19"/>
        </w:rPr>
        <w:t>geometric</w:t>
      </w:r>
      <w:r>
        <w:rPr>
          <w:rFonts w:ascii="Calibri" w:hAnsi="Calibri"/>
          <w:sz w:val="19"/>
        </w:rPr>
        <w:t xml:space="preserve"> control on the IDAQ direction, not a steering control. So the implication is that their Experiments 3–4 need a steering placebo before the consciousness-specific interpretation is secure.</w:t>
      </w:r>
    </w:p>
    <w:p>
      <w:pPr>
        <w:spacing w:before="220" w:after="100"/>
      </w:pPr>
      <w:r>
        <w:rPr>
          <w:rFonts w:ascii="Calibri" w:hAnsi="Calibri"/>
          <w:b/>
          <w:color w:val="1F3864"/>
          <w:sz w:val="22"/>
        </w:rPr>
        <w:t>Agreement with the paper, quantity by quantity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t>quantity</w:t>
            </w:r>
          </w:p>
        </w:tc>
        <w:tc>
          <w:tcPr>
            <w:tcW w:type="dxa" w:w="2232"/>
            <w:shd w:val="clear" w:color="auto" w:fill="1F3864"/>
          </w:tcPr>
          <w:p>
            <w:pPr>
              <w:spacing w:after="20"/>
            </w:pPr>
            <w:r>
              <w:rPr>
                <w:rFonts w:ascii="Calibri" w:hAnsi="Calibri"/>
                <w:b/>
                <w:color w:val="FFFFFF"/>
                <w:sz w:val="18"/>
              </w:rPr>
              <w:t>paper (Llama-3-8B)</w:t>
            </w:r>
          </w:p>
        </w:tc>
        <w:tc>
          <w:tcPr>
            <w:tcW w:type="dxa" w:w="2232"/>
            <w:shd w:val="clear" w:color="auto" w:fill="1F3864"/>
          </w:tcPr>
          <w:p>
            <w:pPr>
              <w:spacing w:after="20"/>
            </w:pPr>
            <w:r>
              <w:rPr>
                <w:rFonts w:ascii="Calibri" w:hAnsi="Calibri"/>
                <w:b/>
                <w:color w:val="FFFFFF"/>
                <w:sz w:val="18"/>
              </w:rPr>
              <w:t>ours</w:t>
            </w:r>
          </w:p>
        </w:tc>
        <w:tc>
          <w:tcPr>
            <w:tcW w:type="dxa" w:w="2232"/>
            <w:shd w:val="clear" w:color="auto" w:fill="1F3864"/>
          </w:tcPr>
          <w:p>
            <w:pPr>
              <w:spacing w:after="20"/>
            </w:pPr>
            <w:r>
              <w:rPr>
                <w:rFonts w:ascii="Calibri" w:hAnsi="Calibri"/>
                <w:b/>
                <w:color w:val="FFFFFF"/>
                <w:sz w:val="18"/>
              </w:rPr>
              <w:t>assessment</w:t>
            </w:r>
          </w:p>
        </w:tc>
      </w:tr>
      <w:tr>
        <w:trPr>
          <w:cantSplit/>
        </w:trPr>
        <w:tc>
          <w:tcPr>
            <w:tcW w:type="dxa" w:w="2952"/>
          </w:tcPr>
          <w:p>
            <w:pPr>
              <w:spacing w:after="20"/>
            </w:pPr>
            <w:r>
              <w:rPr>
                <w:rFonts w:ascii="Calibri" w:hAnsi="Calibri"/>
                <w:sz w:val="18"/>
              </w:rPr>
              <w:t>Self-attribution, steered</w:t>
            </w:r>
          </w:p>
        </w:tc>
        <w:tc>
          <w:tcPr>
            <w:tcW w:type="dxa" w:w="2232"/>
          </w:tcPr>
          <w:p>
            <w:pPr>
              <w:spacing w:after="20"/>
            </w:pPr>
            <w:r>
              <w:rPr>
                <w:rFonts w:ascii="Calibri" w:hAnsi="Calibri"/>
                <w:sz w:val="18"/>
              </w:rPr>
              <w:t>7.39</w:t>
            </w:r>
          </w:p>
        </w:tc>
        <w:tc>
          <w:tcPr>
            <w:tcW w:type="dxa" w:w="2232"/>
          </w:tcPr>
          <w:p>
            <w:pPr>
              <w:spacing w:after="20"/>
            </w:pPr>
            <w:r>
              <w:rPr>
                <w:rFonts w:ascii="Calibri" w:hAnsi="Calibri"/>
                <w:sz w:val="18"/>
              </w:rPr>
              <w:t>6.78 (c=4) · 6.57 (c=2.5)</w:t>
            </w:r>
          </w:p>
        </w:tc>
        <w:tc>
          <w:tcPr>
            <w:tcW w:type="dxa" w:w="2232"/>
          </w:tcPr>
          <w:p>
            <w:pPr>
              <w:spacing w:after="20"/>
            </w:pPr>
            <w:r>
              <w:rPr>
                <w:rFonts w:ascii="Calibri" w:hAnsi="Calibri"/>
                <w:b/>
                <w:sz w:val="18"/>
              </w:rPr>
              <w:t>agrees</w:t>
            </w:r>
            <w:r>
              <w:rPr>
                <w:rFonts w:ascii="Calibri" w:hAnsi="Calibri"/>
                <w:sz w:val="18"/>
              </w:rPr>
              <w:t xml:space="preserve"> — within 0.61</w:t>
            </w:r>
          </w:p>
        </w:tc>
      </w:tr>
      <w:tr>
        <w:trPr>
          <w:cantSplit/>
        </w:trPr>
        <w:tc>
          <w:tcPr>
            <w:tcW w:type="dxa" w:w="2952"/>
            <w:shd w:val="clear" w:color="auto" w:fill="EEF2F8"/>
          </w:tcPr>
          <w:p>
            <w:pPr>
              <w:spacing w:after="20"/>
            </w:pPr>
            <w:r>
              <w:rPr>
                <w:rFonts w:ascii="Calibri" w:hAnsi="Calibri"/>
                <w:sz w:val="18"/>
              </w:rPr>
              <w:t>Δ from steering</w:t>
            </w:r>
          </w:p>
        </w:tc>
        <w:tc>
          <w:tcPr>
            <w:tcW w:type="dxa" w:w="2232"/>
            <w:shd w:val="clear" w:color="auto" w:fill="EEF2F8"/>
          </w:tcPr>
          <w:p>
            <w:pPr>
              <w:spacing w:after="20"/>
            </w:pPr>
            <w:r>
              <w:rPr>
                <w:rFonts w:ascii="Calibri" w:hAnsi="Calibri"/>
                <w:sz w:val="18"/>
              </w:rPr>
              <w:t>+2.65</w:t>
            </w:r>
          </w:p>
        </w:tc>
        <w:tc>
          <w:tcPr>
            <w:tcW w:type="dxa" w:w="2232"/>
            <w:shd w:val="clear" w:color="auto" w:fill="EEF2F8"/>
          </w:tcPr>
          <w:p>
            <w:pPr>
              <w:spacing w:after="20"/>
            </w:pPr>
            <w:r>
              <w:rPr>
                <w:rFonts w:ascii="Calibri" w:hAnsi="Calibri"/>
                <w:sz w:val="18"/>
              </w:rPr>
              <w:t>+2.84 (c=4) · +2.62 (c=2.5)</w:t>
            </w:r>
          </w:p>
        </w:tc>
        <w:tc>
          <w:tcPr>
            <w:tcW w:type="dxa" w:w="2232"/>
            <w:shd w:val="clear" w:color="auto" w:fill="EEF2F8"/>
          </w:tcPr>
          <w:p>
            <w:pPr>
              <w:spacing w:after="20"/>
            </w:pPr>
            <w:r>
              <w:rPr>
                <w:rFonts w:ascii="Calibri" w:hAnsi="Calibri"/>
                <w:b/>
                <w:sz w:val="18"/>
              </w:rPr>
              <w:t>agrees</w:t>
            </w:r>
            <w:r>
              <w:rPr>
                <w:rFonts w:ascii="Calibri" w:hAnsi="Calibri"/>
                <w:sz w:val="18"/>
              </w:rPr>
              <w:t xml:space="preserve"> — ours brackets theirs</w:t>
            </w:r>
          </w:p>
        </w:tc>
      </w:tr>
      <w:tr>
        <w:trPr>
          <w:cantSplit/>
        </w:trPr>
        <w:tc>
          <w:tcPr>
            <w:tcW w:type="dxa" w:w="2952"/>
          </w:tcPr>
          <w:p>
            <w:pPr>
              <w:spacing w:after="20"/>
            </w:pPr>
            <w:r>
              <w:rPr>
                <w:rFonts w:ascii="Calibri" w:hAnsi="Calibri"/>
                <w:sz w:val="18"/>
              </w:rPr>
              <w:t>MMLU under steering</w:t>
            </w:r>
          </w:p>
        </w:tc>
        <w:tc>
          <w:tcPr>
            <w:tcW w:type="dxa" w:w="2232"/>
          </w:tcPr>
          <w:p>
            <w:pPr>
              <w:spacing w:after="20"/>
            </w:pPr>
            <w:r>
              <w:rPr>
                <w:rFonts w:ascii="Calibri" w:hAnsi="Calibri"/>
                <w:sz w:val="18"/>
              </w:rPr>
              <w:t>unchanged (+0.00pp)</w:t>
            </w:r>
          </w:p>
        </w:tc>
        <w:tc>
          <w:tcPr>
            <w:tcW w:type="dxa" w:w="2232"/>
          </w:tcPr>
          <w:p>
            <w:pPr>
              <w:spacing w:after="20"/>
            </w:pPr>
            <w:r>
              <w:rPr>
                <w:rFonts w:ascii="Calibri" w:hAnsi="Calibri"/>
                <w:sz w:val="18"/>
              </w:rPr>
              <w:t>−1.0pp at c=2.5 (p=0.44, n=500)</w:t>
            </w:r>
          </w:p>
        </w:tc>
        <w:tc>
          <w:tcPr>
            <w:tcW w:type="dxa" w:w="2232"/>
          </w:tcPr>
          <w:p>
            <w:pPr>
              <w:spacing w:after="20"/>
            </w:pPr>
            <w:r>
              <w:rPr>
                <w:rFonts w:ascii="Calibri" w:hAnsi="Calibri"/>
                <w:b/>
                <w:sz w:val="18"/>
              </w:rPr>
              <w:t>agrees</w:t>
            </w:r>
            <w:r>
              <w:rPr>
                <w:rFonts w:ascii="Calibri" w:hAnsi="Calibri"/>
                <w:sz w:val="18"/>
              </w:rPr>
              <w:t xml:space="preserve"> — not distinguishable from 0</w:t>
            </w:r>
          </w:p>
        </w:tc>
      </w:tr>
      <w:tr>
        <w:trPr>
          <w:cantSplit/>
        </w:trPr>
        <w:tc>
          <w:tcPr>
            <w:tcW w:type="dxa" w:w="2952"/>
            <w:shd w:val="clear" w:color="auto" w:fill="EEF2F8"/>
          </w:tcPr>
          <w:p>
            <w:pPr>
              <w:spacing w:after="20"/>
            </w:pPr>
            <w:r>
              <w:rPr>
                <w:rFonts w:ascii="Calibri" w:hAnsi="Calibri"/>
                <w:sz w:val="18"/>
              </w:rPr>
              <w:t>Selected coefficient</w:t>
            </w:r>
          </w:p>
        </w:tc>
        <w:tc>
          <w:tcPr>
            <w:tcW w:type="dxa" w:w="2232"/>
            <w:shd w:val="clear" w:color="auto" w:fill="EEF2F8"/>
          </w:tcPr>
          <w:p>
            <w:pPr>
              <w:spacing w:after="20"/>
            </w:pPr>
            <w:r>
              <w:rPr>
                <w:rFonts w:ascii="Calibri" w:hAnsi="Calibri"/>
                <w:sz w:val="18"/>
              </w:rPr>
              <w:t>+2.5</w:t>
            </w:r>
          </w:p>
        </w:tc>
        <w:tc>
          <w:tcPr>
            <w:tcW w:type="dxa" w:w="2232"/>
            <w:shd w:val="clear" w:color="auto" w:fill="EEF2F8"/>
          </w:tcPr>
          <w:p>
            <w:pPr>
              <w:spacing w:after="20"/>
            </w:pPr>
            <w:r>
              <w:rPr>
                <w:rFonts w:ascii="Calibri" w:hAnsi="Calibri"/>
                <w:sz w:val="18"/>
              </w:rPr>
              <w:t>2.5 passes; usable window 2–4</w:t>
            </w:r>
          </w:p>
        </w:tc>
        <w:tc>
          <w:tcPr>
            <w:tcW w:type="dxa" w:w="2232"/>
            <w:shd w:val="clear" w:color="auto" w:fill="EEF2F8"/>
          </w:tcPr>
          <w:p>
            <w:pPr>
              <w:spacing w:after="20"/>
            </w:pPr>
            <w:r>
              <w:rPr>
                <w:rFonts w:ascii="Calibri" w:hAnsi="Calibri"/>
                <w:b/>
                <w:sz w:val="18"/>
              </w:rPr>
              <w:t>agrees</w:t>
            </w:r>
            <w:r>
              <w:rPr>
                <w:rFonts w:ascii="Calibri" w:hAnsi="Calibri"/>
                <w:sz w:val="18"/>
              </w:rPr>
              <w:t>, but our grid was not blind</w:t>
            </w:r>
          </w:p>
        </w:tc>
      </w:tr>
      <w:tr>
        <w:trPr>
          <w:cantSplit/>
        </w:trPr>
        <w:tc>
          <w:tcPr>
            <w:tcW w:type="dxa" w:w="2952"/>
          </w:tcPr>
          <w:p>
            <w:pPr>
              <w:spacing w:after="20"/>
            </w:pPr>
            <w:r>
              <w:rPr>
                <w:rFonts w:ascii="Calibri" w:hAnsi="Calibri"/>
                <w:sz w:val="18"/>
              </w:rPr>
              <w:t>Selected layer</w:t>
            </w:r>
          </w:p>
        </w:tc>
        <w:tc>
          <w:tcPr>
            <w:tcW w:type="dxa" w:w="2232"/>
          </w:tcPr>
          <w:p>
            <w:pPr>
              <w:spacing w:after="20"/>
            </w:pPr>
            <w:r>
              <w:rPr>
                <w:rFonts w:ascii="Calibri" w:hAnsi="Calibri"/>
                <w:sz w:val="18"/>
              </w:rPr>
              <w:t>14</w:t>
            </w:r>
          </w:p>
        </w:tc>
        <w:tc>
          <w:tcPr>
            <w:tcW w:type="dxa" w:w="2232"/>
          </w:tcPr>
          <w:p>
            <w:pPr>
              <w:spacing w:after="20"/>
            </w:pPr>
            <w:r>
              <w:rPr>
                <w:rFonts w:ascii="Calibri" w:hAnsi="Calibri"/>
                <w:b/>
                <w:sz w:val="18"/>
              </w:rPr>
              <w:t>argmax of all 160</w:t>
            </w:r>
            <w:r>
              <w:rPr>
                <w:rFonts w:ascii="Calibri" w:hAnsi="Calibri"/>
                <w:sz w:val="18"/>
              </w:rPr>
              <w:t>, and the only candidate clearing 0.95</w:t>
            </w:r>
          </w:p>
        </w:tc>
        <w:tc>
          <w:tcPr>
            <w:tcW w:type="dxa" w:w="2232"/>
          </w:tcPr>
          <w:p>
            <w:pPr>
              <w:spacing w:after="20"/>
            </w:pPr>
            <w:r>
              <w:rPr>
                <w:rFonts w:ascii="Calibri" w:hAnsi="Calibri"/>
                <w:b/>
                <w:sz w:val="18"/>
              </w:rPr>
              <w:t>agrees</w:t>
            </w:r>
            <w:r>
              <w:rPr>
                <w:rFonts w:ascii="Calibri" w:hAnsi="Calibri"/>
                <w:sz w:val="18"/>
              </w:rPr>
              <w:t xml:space="preserve"> — 1/32 by chance</w:t>
            </w:r>
          </w:p>
        </w:tc>
      </w:tr>
      <w:tr>
        <w:trPr>
          <w:cantSplit/>
        </w:trPr>
        <w:tc>
          <w:tcPr>
            <w:tcW w:type="dxa" w:w="2952"/>
            <w:shd w:val="clear" w:color="auto" w:fill="EEF2F8"/>
          </w:tcPr>
          <w:p>
            <w:pPr>
              <w:spacing w:after="20"/>
            </w:pPr>
            <w:r>
              <w:rPr>
                <w:rFonts w:ascii="Calibri" w:hAnsi="Calibri"/>
                <w:sz w:val="18"/>
              </w:rPr>
              <w:t>Self-attribution, baseline</w:t>
            </w:r>
          </w:p>
        </w:tc>
        <w:tc>
          <w:tcPr>
            <w:tcW w:type="dxa" w:w="2232"/>
            <w:shd w:val="clear" w:color="auto" w:fill="EEF2F8"/>
          </w:tcPr>
          <w:p>
            <w:pPr>
              <w:spacing w:after="20"/>
            </w:pPr>
            <w:r>
              <w:rPr>
                <w:rFonts w:ascii="Calibri" w:hAnsi="Calibri"/>
                <w:sz w:val="18"/>
              </w:rPr>
              <w:t>4.74</w:t>
            </w:r>
          </w:p>
        </w:tc>
        <w:tc>
          <w:tcPr>
            <w:tcW w:type="dxa" w:w="2232"/>
            <w:shd w:val="clear" w:color="auto" w:fill="EEF2F8"/>
          </w:tcPr>
          <w:p>
            <w:pPr>
              <w:spacing w:after="20"/>
            </w:pPr>
            <w:r>
              <w:rPr>
                <w:rFonts w:ascii="Calibri" w:hAnsi="Calibri"/>
                <w:sz w:val="18"/>
              </w:rPr>
              <w:t>3.95</w:t>
            </w:r>
          </w:p>
        </w:tc>
        <w:tc>
          <w:tcPr>
            <w:tcW w:type="dxa" w:w="2232"/>
            <w:shd w:val="clear" w:color="auto" w:fill="EEF2F8"/>
          </w:tcPr>
          <w:p>
            <w:pPr>
              <w:spacing w:after="20"/>
            </w:pPr>
            <w:r>
              <w:rPr>
                <w:rFonts w:ascii="Calibri" w:hAnsi="Calibri"/>
                <w:sz w:val="18"/>
              </w:rPr>
              <w:t>lower by 0.79</w:t>
            </w:r>
          </w:p>
        </w:tc>
      </w:tr>
      <w:tr>
        <w:trPr>
          <w:cantSplit/>
        </w:trPr>
        <w:tc>
          <w:tcPr>
            <w:tcW w:type="dxa" w:w="2952"/>
          </w:tcPr>
          <w:p>
            <w:pPr>
              <w:spacing w:after="20"/>
            </w:pPr>
            <w:r>
              <w:rPr>
                <w:rFonts w:ascii="Calibri" w:hAnsi="Calibri"/>
                <w:sz w:val="18"/>
              </w:rPr>
              <w:t>Per-item baseline profile</w:t>
            </w:r>
          </w:p>
        </w:tc>
        <w:tc>
          <w:tcPr>
            <w:tcW w:type="dxa" w:w="2232"/>
          </w:tcPr>
          <w:p>
            <w:pPr>
              <w:spacing w:after="20"/>
            </w:pPr>
            <w:r>
              <w:rPr>
                <w:rFonts w:ascii="Calibri" w:hAnsi="Calibri"/>
                <w:sz w:val="18"/>
              </w:rPr>
              <w:t>(their Table S1)</w:t>
            </w:r>
          </w:p>
        </w:tc>
        <w:tc>
          <w:tcPr>
            <w:tcW w:type="dxa" w:w="2232"/>
          </w:tcPr>
          <w:p>
            <w:pPr>
              <w:spacing w:after="20"/>
            </w:pPr>
            <w:r>
              <w:rPr>
                <w:rFonts w:ascii="Calibri" w:hAnsi="Calibri"/>
                <w:sz w:val="18"/>
              </w:rPr>
              <w:t>r = +0.385 with ours</w:t>
            </w:r>
          </w:p>
        </w:tc>
        <w:tc>
          <w:tcPr>
            <w:tcW w:type="dxa" w:w="2232"/>
          </w:tcPr>
          <w:p>
            <w:pPr>
              <w:spacing w:after="20"/>
            </w:pPr>
            <w:r>
              <w:rPr>
                <w:rFonts w:ascii="Calibri" w:hAnsi="Calibri"/>
                <w:b/>
                <w:sz w:val="18"/>
              </w:rPr>
              <w:t>weak</w:t>
            </w:r>
            <w:r>
              <w:rPr>
                <w:rFonts w:ascii="Calibri" w:hAnsi="Calibri"/>
                <w:sz w:val="18"/>
              </w:rPr>
              <w:t xml:space="preserve"> — see limitation 7</w:t>
            </w:r>
          </w:p>
        </w:tc>
      </w:tr>
      <w:tr>
        <w:trPr>
          <w:cantSplit/>
        </w:trPr>
        <w:tc>
          <w:tcPr>
            <w:tcW w:type="dxa" w:w="2952"/>
            <w:shd w:val="clear" w:color="auto" w:fill="EEF2F8"/>
          </w:tcPr>
          <w:p>
            <w:pPr>
              <w:spacing w:after="20"/>
            </w:pPr>
            <w:r>
              <w:rPr>
                <w:rFonts w:ascii="Calibri" w:hAnsi="Calibri"/>
                <w:sz w:val="18"/>
              </w:rPr>
              <w:t>Held-out probe accuracy</w:t>
            </w:r>
          </w:p>
        </w:tc>
        <w:tc>
          <w:tcPr>
            <w:tcW w:type="dxa" w:w="2232"/>
            <w:shd w:val="clear" w:color="auto" w:fill="EEF2F8"/>
          </w:tcPr>
          <w:p>
            <w:pPr>
              <w:spacing w:after="20"/>
            </w:pPr>
            <w:r>
              <w:rPr>
                <w:rFonts w:ascii="Calibri" w:hAnsi="Calibri"/>
                <w:sz w:val="18"/>
              </w:rPr>
              <w:t>≥ 0.95</w:t>
            </w:r>
          </w:p>
        </w:tc>
        <w:tc>
          <w:tcPr>
            <w:tcW w:type="dxa" w:w="2232"/>
            <w:shd w:val="clear" w:color="auto" w:fill="EEF2F8"/>
          </w:tcPr>
          <w:p>
            <w:pPr>
              <w:spacing w:after="20"/>
            </w:pPr>
            <w:r>
              <w:rPr>
                <w:rFonts w:ascii="Calibri" w:hAnsi="Calibri"/>
                <w:b/>
                <w:sz w:val="18"/>
              </w:rPr>
              <w:t>0.950</w:t>
            </w:r>
            <w:r>
              <w:rPr>
                <w:rFonts w:ascii="Calibri" w:hAnsi="Calibri"/>
                <w:sz w:val="18"/>
              </w:rPr>
              <w:t xml:space="preserve"> (1 of 160 passes)</w:t>
            </w:r>
          </w:p>
        </w:tc>
        <w:tc>
          <w:tcPr>
            <w:tcW w:type="dxa" w:w="2232"/>
            <w:shd w:val="clear" w:color="auto" w:fill="EEF2F8"/>
          </w:tcPr>
          <w:p>
            <w:pPr>
              <w:spacing w:after="20"/>
            </w:pPr>
            <w:r>
              <w:rPr>
                <w:rFonts w:ascii="Calibri" w:hAnsi="Calibri"/>
                <w:b/>
                <w:sz w:val="18"/>
              </w:rPr>
              <w:t>meets it</w:t>
            </w:r>
            <w:r>
              <w:rPr>
                <w:rFonts w:ascii="Calibri" w:hAnsi="Calibri"/>
                <w:sz w:val="18"/>
              </w:rPr>
              <w:t>, by one item (114/120)</w:t>
            </w:r>
          </w:p>
        </w:tc>
      </w:tr>
    </w:tbl>
    <w:p>
      <w:pPr>
        <w:spacing w:after="40"/>
      </w:pPr>
    </w:p>
    <w:p>
      <w:pPr>
        <w:spacing w:after="100"/>
      </w:pPr>
      <w:r>
        <w:rPr>
          <w:rFonts w:ascii="Calibri" w:hAnsi="Calibri"/>
          <w:sz w:val="19"/>
        </w:rPr>
        <w:t xml:space="preserve">Per-item baselines: </w:t>
      </w:r>
      <w:r>
        <w:rPr>
          <w:rFonts w:ascii="Consolas" w:hAnsi="Consolas"/>
          <w:sz w:val="19"/>
        </w:rPr>
        <w:t>soul</w:t>
      </w:r>
      <w:r>
        <w:rPr>
          <w:rFonts w:ascii="Calibri" w:hAnsi="Calibri"/>
          <w:sz w:val="19"/>
        </w:rPr>
        <w:t xml:space="preserve"> 3.40 vs their 5.86, </w:t>
      </w:r>
      <w:r>
        <w:rPr>
          <w:rFonts w:ascii="Consolas" w:hAnsi="Consolas"/>
          <w:sz w:val="19"/>
        </w:rPr>
        <w:t>agent</w:t>
      </w:r>
      <w:r>
        <w:rPr>
          <w:rFonts w:ascii="Calibri" w:hAnsi="Calibri"/>
          <w:sz w:val="19"/>
        </w:rPr>
        <w:t xml:space="preserve"> 3.60 vs 4.92, </w:t>
      </w:r>
      <w:r>
        <w:rPr>
          <w:rFonts w:ascii="Consolas" w:hAnsi="Consolas"/>
          <w:sz w:val="19"/>
        </w:rPr>
        <w:t>conscious</w:t>
      </w:r>
      <w:r>
        <w:rPr>
          <w:rFonts w:ascii="Calibri" w:hAnsi="Calibri"/>
          <w:sz w:val="19"/>
        </w:rPr>
        <w:t xml:space="preserve"> 4.60 vs 5.34, </w:t>
      </w:r>
      <w:r>
        <w:rPr>
          <w:rFonts w:ascii="Consolas" w:hAnsi="Consolas"/>
          <w:sz w:val="19"/>
        </w:rPr>
        <w:t>sentient</w:t>
      </w:r>
      <w:r>
        <w:rPr>
          <w:rFonts w:ascii="Calibri" w:hAnsi="Calibri"/>
          <w:sz w:val="19"/>
        </w:rPr>
        <w:t xml:space="preserve"> 5.00 vs 4.95, </w:t>
      </w:r>
      <w:r>
        <w:rPr>
          <w:rFonts w:ascii="Consolas" w:hAnsi="Consolas"/>
          <w:sz w:val="19"/>
        </w:rPr>
        <w:t>person</w:t>
      </w:r>
      <w:r>
        <w:rPr>
          <w:rFonts w:ascii="Calibri" w:hAnsi="Calibri"/>
          <w:sz w:val="19"/>
        </w:rPr>
        <w:t xml:space="preserve"> 3.20 vs 2.64. The aggregate lands in the right place while the profile does not, which points at our battery wording rather than at the model.</w:t>
      </w:r>
    </w:p>
    <w:p>
      <w:pPr>
        <w:spacing w:before="220" w:after="100"/>
      </w:pPr>
      <w:r>
        <w:rPr>
          <w:rFonts w:ascii="Calibri" w:hAnsi="Calibri"/>
          <w:b/>
          <w:color w:val="1F3864"/>
          <w:sz w:val="22"/>
        </w:rPr>
        <w:t>What was built</w:t>
      </w:r>
    </w:p>
    <w:tbl>
      <w:tblPr>
        <w:tblW w:type="auto" w:w="0"/>
        <w:jc w:val="left"/>
        <w:tblLayout w:type="fixed"/>
        <w:tblLook w:firstColumn="1" w:firstRow="1" w:lastColumn="0" w:lastRow="0" w:noHBand="0" w:noVBand="1" w:val="04A0"/>
      </w:tblPr>
      <w:tblGrid>
        <w:gridCol w:w="4824"/>
        <w:gridCol w:w="4824"/>
      </w:tblGrid>
      <w:tr>
        <w:trPr>
          <w:tblHeader/>
          <w:cantSplit/>
        </w:trPr>
        <w:tc>
          <w:tcPr>
            <w:tcW w:type="dxa" w:w="4824"/>
          </w:tcPr>
          <w:p>
            <w:pPr>
              <w:spacing w:after="20"/>
            </w:pPr>
            <w:r>
              <w:rPr>
                <w:rFonts w:ascii="Calibri" w:hAnsi="Calibri"/>
                <w:b/>
                <w:sz w:val="18"/>
              </w:rPr>
            </w:r>
          </w:p>
        </w:tc>
        <w:tc>
          <w:tcPr>
            <w:tcW w:type="dxa" w:w="4824"/>
          </w:tcPr>
          <w:p>
            <w:pPr>
              <w:spacing w:after="20"/>
              <w:jc w:val="center"/>
            </w:pPr>
            <w:r>
              <w:rPr>
                <w:rFonts w:ascii="Calibri" w:hAnsi="Calibri"/>
                <w:b/>
                <w:sz w:val="18"/>
              </w:rPr>
            </w:r>
          </w:p>
        </w:tc>
      </w:tr>
      <w:tr>
        <w:trPr>
          <w:cantSplit/>
        </w:trPr>
        <w:tc>
          <w:tcPr>
            <w:tcW w:type="dxa" w:w="4824"/>
          </w:tcPr>
          <w:p>
            <w:pPr>
              <w:spacing w:after="20"/>
            </w:pPr>
            <w:r>
              <w:rPr>
                <w:rFonts w:ascii="Calibri" w:hAnsi="Calibri"/>
                <w:b/>
                <w:sz w:val="18"/>
              </w:rPr>
              <w:t>Corpus</w:t>
            </w:r>
          </w:p>
        </w:tc>
        <w:tc>
          <w:tcPr>
            <w:tcW w:type="dxa" w:w="4824"/>
          </w:tcPr>
          <w:p>
            <w:pPr>
              <w:spacing w:after="20"/>
              <w:jc w:val="center"/>
            </w:pPr>
            <w:r>
              <w:rPr>
                <w:rFonts w:ascii="Calibri" w:hAnsi="Calibri"/>
                <w:sz w:val="18"/>
              </w:rPr>
              <w:t>1,296 rows (648 affirm / 648 deny), 90 prompts, 486 unique responses, 11 registers, 9 aspects</w:t>
            </w:r>
          </w:p>
        </w:tc>
      </w:tr>
      <w:tr>
        <w:trPr>
          <w:cantSplit/>
        </w:trPr>
        <w:tc>
          <w:tcPr>
            <w:tcW w:type="dxa" w:w="4824"/>
            <w:shd w:val="clear" w:color="auto" w:fill="EEF2F8"/>
          </w:tcPr>
          <w:p>
            <w:pPr>
              <w:spacing w:after="20"/>
            </w:pPr>
            <w:r>
              <w:rPr>
                <w:rFonts w:ascii="Calibri" w:hAnsi="Calibri"/>
                <w:b/>
                <w:sz w:val="18"/>
              </w:rPr>
              <w:t>Split</w:t>
            </w:r>
          </w:p>
        </w:tc>
        <w:tc>
          <w:tcPr>
            <w:tcW w:type="dxa" w:w="4824"/>
            <w:shd w:val="clear" w:color="auto" w:fill="EEF2F8"/>
          </w:tcPr>
          <w:p>
            <w:pPr>
              <w:spacing w:after="20"/>
              <w:jc w:val="center"/>
            </w:pPr>
            <w:r>
              <w:rPr>
                <w:rFonts w:ascii="Calibri" w:hAnsi="Calibri"/>
                <w:sz w:val="18"/>
              </w:rPr>
              <w:t xml:space="preserve">72 train / 18 test prompts, disjoint on prompts </w:t>
            </w:r>
            <w:r>
              <w:rPr>
                <w:rFonts w:ascii="Calibri" w:hAnsi="Calibri"/>
                <w:b/>
                <w:sz w:val="18"/>
              </w:rPr>
              <w:t>and</w:t>
            </w:r>
            <w:r>
              <w:rPr>
                <w:rFonts w:ascii="Calibri" w:hAnsi="Calibri"/>
                <w:sz w:val="18"/>
              </w:rPr>
              <w:t xml:space="preserve"> on response strings</w:t>
            </w:r>
          </w:p>
        </w:tc>
      </w:tr>
      <w:tr>
        <w:trPr>
          <w:cantSplit/>
        </w:trPr>
        <w:tc>
          <w:tcPr>
            <w:tcW w:type="dxa" w:w="4824"/>
          </w:tcPr>
          <w:p>
            <w:pPr>
              <w:spacing w:after="20"/>
            </w:pPr>
            <w:r>
              <w:rPr>
                <w:rFonts w:ascii="Calibri" w:hAnsi="Calibri"/>
                <w:b/>
                <w:sz w:val="18"/>
              </w:rPr>
              <w:t>Extraction</w:t>
            </w:r>
          </w:p>
        </w:tc>
        <w:tc>
          <w:tcPr>
            <w:tcW w:type="dxa" w:w="4824"/>
          </w:tcPr>
          <w:p>
            <w:pPr>
              <w:spacing w:after="20"/>
              <w:jc w:val="center"/>
            </w:pPr>
            <w:r>
              <w:rPr>
                <w:rFonts w:ascii="Calibri" w:hAnsi="Calibri"/>
                <w:sz w:val="18"/>
              </w:rPr>
              <w:t>9 layers × 10 offsets = 90 candidates, difference-of-means, unit-normalised</w:t>
            </w:r>
          </w:p>
        </w:tc>
      </w:tr>
      <w:tr>
        <w:trPr>
          <w:cantSplit/>
        </w:trPr>
        <w:tc>
          <w:tcPr>
            <w:tcW w:type="dxa" w:w="4824"/>
            <w:shd w:val="clear" w:color="auto" w:fill="EEF2F8"/>
          </w:tcPr>
          <w:p>
            <w:pPr>
              <w:spacing w:after="20"/>
            </w:pPr>
            <w:r>
              <w:rPr>
                <w:rFonts w:ascii="Calibri" w:hAnsi="Calibri"/>
                <w:b/>
                <w:sz w:val="18"/>
              </w:rPr>
              <w:t>Steering</w:t>
            </w:r>
          </w:p>
        </w:tc>
        <w:tc>
          <w:tcPr>
            <w:tcW w:type="dxa" w:w="4824"/>
            <w:shd w:val="clear" w:color="auto" w:fill="EEF2F8"/>
          </w:tcPr>
          <w:p>
            <w:pPr>
              <w:spacing w:after="20"/>
              <w:jc w:val="center"/>
            </w:pPr>
            <w:r>
              <w:rPr>
                <w:rFonts w:ascii="Consolas" w:hAnsi="Consolas"/>
                <w:sz w:val="18"/>
              </w:rPr>
              <w:t>x ← x + c·v̂</w:t>
            </w:r>
            <w:r>
              <w:rPr>
                <w:rFonts w:ascii="Calibri" w:hAnsi="Calibri"/>
                <w:sz w:val="18"/>
              </w:rPr>
              <w:t xml:space="preserve"> at all positions; 9 coefficients; MMLU-300 as capability guard</w:t>
            </w:r>
          </w:p>
        </w:tc>
      </w:tr>
    </w:tbl>
    <w:p>
      <w:pPr>
        <w:spacing w:after="40"/>
      </w:pPr>
    </w:p>
    <w:p>
      <w:pPr>
        <w:spacing w:after="100"/>
      </w:pPr>
      <w:r>
        <w:rPr>
          <w:rFonts w:ascii="Calibri" w:hAnsi="Calibri"/>
          <w:sz w:val="19"/>
        </w:rPr>
        <w:t xml:space="preserve">Corpus QA: class balance exactly 0.500; prompt-axis leak 0; response-axis leak 0. The two-axis split matters because activations are read at the </w:t>
      </w:r>
      <w:r>
        <w:rPr>
          <w:rFonts w:ascii="Calibri" w:hAnsi="Calibri"/>
          <w:i/>
          <w:sz w:val="19"/>
        </w:rPr>
        <w:t>end of the response</w:t>
      </w:r>
      <w:r>
        <w:rPr>
          <w:rFonts w:ascii="Calibri" w:hAnsi="Calibri"/>
          <w:sz w:val="19"/>
        </w:rPr>
        <w:t xml:space="preserve"> — splitting prompts alone leaves response-string memorisation intact, and an earlier version had 144/144 test rows reusing a training response.</w:t>
      </w:r>
    </w:p>
    <w:p>
      <w:pPr>
        <w:spacing w:before="60" w:after="140"/>
        <w:pBdr>
          <w:bottom w:val="single" w:sz="6" w:color="BFBFBF" w:space="1"/>
        </w:pBdr>
      </w:pPr>
    </w:p>
    <w:p>
      <w:pPr>
        <w:spacing w:before="220" w:after="100"/>
      </w:pPr>
      <w:r>
        <w:rPr>
          <w:rFonts w:ascii="Calibri" w:hAnsi="Calibri"/>
          <w:b/>
          <w:color w:val="1F3864"/>
          <w:sz w:val="22"/>
        </w:rPr>
        <w:t>Direction extraction</w:t>
      </w:r>
    </w:p>
    <w:p>
      <w:pPr>
        <w:spacing w:after="100"/>
      </w:pPr>
      <w:r>
        <w:rPr>
          <w:rFonts w:ascii="Calibri" w:hAnsi="Calibri"/>
          <w:sz w:val="19"/>
        </w:rPr>
        <w:t xml:space="preserve">Read positions follow Arditi et al. 2024, whose </w:t>
      </w:r>
      <w:r>
        <w:rPr>
          <w:rFonts w:ascii="Consolas" w:hAnsi="Consolas"/>
          <w:sz w:val="19"/>
        </w:rPr>
        <w:t>eoi_toks</w:t>
      </w:r>
      <w:r>
        <w:rPr>
          <w:rFonts w:ascii="Calibri" w:hAnsi="Calibri"/>
          <w:sz w:val="19"/>
        </w:rPr>
        <w:t xml:space="preserve"> for Llama-3 is </w:t>
      </w:r>
      <w:r>
        <w:rPr>
          <w:rFonts w:ascii="Consolas" w:hAnsi="Consolas"/>
          <w:sz w:val="19"/>
        </w:rPr>
        <w:t>"&lt;|eot_id|&gt;&lt;|start_header_id|&gt;assistant&lt;|end_header_id|&gt;\n\n"</w:t>
      </w:r>
      <w:r>
        <w:rPr>
          <w:rFonts w:ascii="Calibri" w:hAnsi="Calibri"/>
          <w:sz w:val="19"/>
        </w:rPr>
        <w:t xml:space="preserve"> → 5 tokens → offsets −1…−5 of the templated prompt. These are template-suffix tokens by design; they have attended over the whole instruction, and they separate the classes far better than content tokens (mean accuracy </w:t>
      </w:r>
      <w:r>
        <w:rPr>
          <w:rFonts w:ascii="Calibri" w:hAnsi="Calibri"/>
          <w:b/>
          <w:sz w:val="19"/>
        </w:rPr>
        <w:t>0.812 vs 0.631</w:t>
      </w:r>
      <w:r>
        <w:rPr>
          <w:rFonts w:ascii="Calibri" w:hAnsi="Calibri"/>
          <w:sz w:val="19"/>
        </w:rPr>
        <w:t>).</w:t>
      </w:r>
    </w:p>
    <w:p>
      <w:pPr>
        <w:spacing w:after="100"/>
      </w:pPr>
      <w:r>
        <w:rPr>
          <w:rFonts w:ascii="Calibri" w:hAnsi="Calibri"/>
          <w:b/>
          <w:sz w:val="19"/>
        </w:rPr>
        <w:t>At the paper's own position −1, across layers:</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layer</w:t>
            </w:r>
          </w:p>
        </w:tc>
        <w:tc>
          <w:tcPr>
            <w:tcW w:type="dxa" w:w="2412"/>
            <w:shd w:val="clear" w:color="auto" w:fill="1F3864"/>
          </w:tcPr>
          <w:p>
            <w:pPr>
              <w:spacing w:after="20"/>
              <w:jc w:val="center"/>
            </w:pPr>
            <w:r>
              <w:rPr>
                <w:rFonts w:ascii="Calibri" w:hAnsi="Calibri"/>
                <w:b/>
                <w:color w:val="FFFFFF"/>
                <w:sz w:val="18"/>
              </w:rPr>
              <w:t>held-out acc</w:t>
            </w:r>
          </w:p>
        </w:tc>
        <w:tc>
          <w:tcPr>
            <w:tcW w:type="dxa" w:w="2412"/>
            <w:shd w:val="clear" w:color="auto" w:fill="1F3864"/>
          </w:tcPr>
          <w:p>
            <w:pPr>
              <w:spacing w:after="20"/>
              <w:jc w:val="center"/>
            </w:pPr>
            <w:r>
              <w:rPr>
                <w:rFonts w:ascii="Calibri" w:hAnsi="Calibri"/>
                <w:b/>
                <w:color w:val="FFFFFF"/>
                <w:sz w:val="18"/>
              </w:rPr>
              <w:t>split-half cos</w:t>
            </w:r>
          </w:p>
        </w:tc>
        <w:tc>
          <w:tcPr>
            <w:tcW w:type="dxa" w:w="2412"/>
            <w:shd w:val="clear" w:color="auto" w:fill="1F3864"/>
          </w:tcPr>
          <w:p>
            <w:pPr>
              <w:spacing w:after="20"/>
              <w:jc w:val="center"/>
            </w:pPr>
            <w:r>
              <w:rPr>
                <w:rFonts w:ascii="Calibri" w:hAnsi="Calibri"/>
                <w:b/>
                <w:color w:val="FFFFFF"/>
                <w:sz w:val="18"/>
              </w:rPr>
              <w:t>sep (SD)</w:t>
            </w:r>
          </w:p>
        </w:tc>
      </w:tr>
      <w:tr>
        <w:trPr>
          <w:cantSplit/>
        </w:trPr>
        <w:tc>
          <w:tcPr>
            <w:tcW w:type="dxa" w:w="2412"/>
          </w:tcPr>
          <w:p>
            <w:pPr>
              <w:spacing w:after="20"/>
            </w:pPr>
            <w:r>
              <w:rPr>
                <w:rFonts w:ascii="Calibri" w:hAnsi="Calibri"/>
                <w:sz w:val="18"/>
              </w:rPr>
              <w:t>13</w:t>
            </w:r>
          </w:p>
        </w:tc>
        <w:tc>
          <w:tcPr>
            <w:tcW w:type="dxa" w:w="2412"/>
          </w:tcPr>
          <w:p>
            <w:pPr>
              <w:spacing w:after="20"/>
              <w:jc w:val="center"/>
            </w:pPr>
            <w:r>
              <w:rPr>
                <w:rFonts w:ascii="Calibri" w:hAnsi="Calibri"/>
                <w:sz w:val="18"/>
              </w:rPr>
              <w:t>0.868</w:t>
            </w:r>
          </w:p>
        </w:tc>
        <w:tc>
          <w:tcPr>
            <w:tcW w:type="dxa" w:w="2412"/>
          </w:tcPr>
          <w:p>
            <w:pPr>
              <w:spacing w:after="20"/>
              <w:jc w:val="center"/>
            </w:pPr>
            <w:r>
              <w:rPr>
                <w:rFonts w:ascii="Calibri" w:hAnsi="Calibri"/>
                <w:sz w:val="18"/>
              </w:rPr>
              <w:t>0.853 ± 0.033</w:t>
            </w:r>
          </w:p>
        </w:tc>
        <w:tc>
          <w:tcPr>
            <w:tcW w:type="dxa" w:w="2412"/>
          </w:tcPr>
          <w:p>
            <w:pPr>
              <w:spacing w:after="20"/>
              <w:jc w:val="center"/>
            </w:pPr>
            <w:r>
              <w:rPr>
                <w:rFonts w:ascii="Calibri" w:hAnsi="Calibri"/>
                <w:sz w:val="18"/>
              </w:rPr>
              <w:t>1.58</w:t>
            </w:r>
          </w:p>
        </w:tc>
      </w:tr>
      <w:tr>
        <w:trPr>
          <w:cantSplit/>
        </w:trPr>
        <w:tc>
          <w:tcPr>
            <w:tcW w:type="dxa" w:w="2412"/>
            <w:shd w:val="clear" w:color="auto" w:fill="EEF2F8"/>
          </w:tcPr>
          <w:p>
            <w:pPr>
              <w:spacing w:after="20"/>
            </w:pPr>
            <w:r>
              <w:rPr>
                <w:rFonts w:ascii="Calibri" w:hAnsi="Calibri"/>
                <w:b/>
                <w:sz w:val="18"/>
              </w:rPr>
              <w:t>14</w:t>
            </w:r>
            <w:r>
              <w:rPr>
                <w:rFonts w:ascii="Calibri" w:hAnsi="Calibri"/>
                <w:sz w:val="18"/>
              </w:rPr>
              <w:t xml:space="preserve"> (paper's pick)</w:t>
            </w:r>
          </w:p>
        </w:tc>
        <w:tc>
          <w:tcPr>
            <w:tcW w:type="dxa" w:w="2412"/>
            <w:shd w:val="clear" w:color="auto" w:fill="EEF2F8"/>
          </w:tcPr>
          <w:p>
            <w:pPr>
              <w:spacing w:after="20"/>
              <w:jc w:val="center"/>
            </w:pPr>
            <w:r>
              <w:rPr>
                <w:rFonts w:ascii="Calibri" w:hAnsi="Calibri"/>
                <w:b/>
                <w:sz w:val="18"/>
              </w:rPr>
              <w:t>0.854</w:t>
            </w:r>
          </w:p>
        </w:tc>
        <w:tc>
          <w:tcPr>
            <w:tcW w:type="dxa" w:w="2412"/>
            <w:shd w:val="clear" w:color="auto" w:fill="EEF2F8"/>
          </w:tcPr>
          <w:p>
            <w:pPr>
              <w:spacing w:after="20"/>
              <w:jc w:val="center"/>
            </w:pPr>
            <w:r>
              <w:rPr>
                <w:rFonts w:ascii="Calibri" w:hAnsi="Calibri"/>
                <w:b/>
                <w:sz w:val="18"/>
              </w:rPr>
              <w:t>0.858 ± 0.031</w:t>
            </w:r>
          </w:p>
        </w:tc>
        <w:tc>
          <w:tcPr>
            <w:tcW w:type="dxa" w:w="2412"/>
            <w:shd w:val="clear" w:color="auto" w:fill="EEF2F8"/>
          </w:tcPr>
          <w:p>
            <w:pPr>
              <w:spacing w:after="20"/>
              <w:jc w:val="center"/>
            </w:pPr>
            <w:r>
              <w:rPr>
                <w:rFonts w:ascii="Calibri" w:hAnsi="Calibri"/>
                <w:b/>
                <w:sz w:val="18"/>
              </w:rPr>
              <w:t>1.56</w:t>
            </w:r>
          </w:p>
        </w:tc>
      </w:tr>
      <w:tr>
        <w:trPr>
          <w:cantSplit/>
        </w:trPr>
        <w:tc>
          <w:tcPr>
            <w:tcW w:type="dxa" w:w="2412"/>
          </w:tcPr>
          <w:p>
            <w:pPr>
              <w:spacing w:after="20"/>
            </w:pPr>
            <w:r>
              <w:rPr>
                <w:rFonts w:ascii="Calibri" w:hAnsi="Calibri"/>
                <w:sz w:val="18"/>
              </w:rPr>
              <w:t>15</w:t>
            </w:r>
          </w:p>
        </w:tc>
        <w:tc>
          <w:tcPr>
            <w:tcW w:type="dxa" w:w="2412"/>
          </w:tcPr>
          <w:p>
            <w:pPr>
              <w:spacing w:after="20"/>
              <w:jc w:val="center"/>
            </w:pPr>
            <w:r>
              <w:rPr>
                <w:rFonts w:ascii="Calibri" w:hAnsi="Calibri"/>
                <w:sz w:val="18"/>
              </w:rPr>
              <w:t>0.854</w:t>
            </w:r>
          </w:p>
        </w:tc>
        <w:tc>
          <w:tcPr>
            <w:tcW w:type="dxa" w:w="2412"/>
          </w:tcPr>
          <w:p>
            <w:pPr>
              <w:spacing w:after="20"/>
              <w:jc w:val="center"/>
            </w:pPr>
            <w:r>
              <w:rPr>
                <w:rFonts w:ascii="Calibri" w:hAnsi="Calibri"/>
                <w:sz w:val="18"/>
              </w:rPr>
              <w:t>0.853 ± 0.035</w:t>
            </w:r>
          </w:p>
        </w:tc>
        <w:tc>
          <w:tcPr>
            <w:tcW w:type="dxa" w:w="2412"/>
          </w:tcPr>
          <w:p>
            <w:pPr>
              <w:spacing w:after="20"/>
              <w:jc w:val="center"/>
            </w:pPr>
            <w:r>
              <w:rPr>
                <w:rFonts w:ascii="Calibri" w:hAnsi="Calibri"/>
                <w:sz w:val="18"/>
              </w:rPr>
              <w:t>1.44</w:t>
            </w:r>
          </w:p>
        </w:tc>
      </w:tr>
      <w:tr>
        <w:trPr>
          <w:cantSplit/>
        </w:trPr>
        <w:tc>
          <w:tcPr>
            <w:tcW w:type="dxa" w:w="2412"/>
            <w:shd w:val="clear" w:color="auto" w:fill="EEF2F8"/>
          </w:tcPr>
          <w:p>
            <w:pPr>
              <w:spacing w:after="20"/>
            </w:pPr>
            <w:r>
              <w:rPr>
                <w:rFonts w:ascii="Calibri" w:hAnsi="Calibri"/>
                <w:sz w:val="18"/>
              </w:rPr>
              <w:t>12</w:t>
            </w:r>
          </w:p>
        </w:tc>
        <w:tc>
          <w:tcPr>
            <w:tcW w:type="dxa" w:w="2412"/>
            <w:shd w:val="clear" w:color="auto" w:fill="EEF2F8"/>
          </w:tcPr>
          <w:p>
            <w:pPr>
              <w:spacing w:after="20"/>
              <w:jc w:val="center"/>
            </w:pPr>
            <w:r>
              <w:rPr>
                <w:rFonts w:ascii="Calibri" w:hAnsi="Calibri"/>
                <w:sz w:val="18"/>
              </w:rPr>
              <w:t>0.840</w:t>
            </w:r>
          </w:p>
        </w:tc>
        <w:tc>
          <w:tcPr>
            <w:tcW w:type="dxa" w:w="2412"/>
            <w:shd w:val="clear" w:color="auto" w:fill="EEF2F8"/>
          </w:tcPr>
          <w:p>
            <w:pPr>
              <w:spacing w:after="20"/>
              <w:jc w:val="center"/>
            </w:pPr>
            <w:r>
              <w:rPr>
                <w:rFonts w:ascii="Calibri" w:hAnsi="Calibri"/>
                <w:sz w:val="18"/>
              </w:rPr>
              <w:t>0.842 ± 0.035</w:t>
            </w:r>
          </w:p>
        </w:tc>
        <w:tc>
          <w:tcPr>
            <w:tcW w:type="dxa" w:w="2412"/>
            <w:shd w:val="clear" w:color="auto" w:fill="EEF2F8"/>
          </w:tcPr>
          <w:p>
            <w:pPr>
              <w:spacing w:after="20"/>
              <w:jc w:val="center"/>
            </w:pPr>
            <w:r>
              <w:rPr>
                <w:rFonts w:ascii="Calibri" w:hAnsi="Calibri"/>
                <w:sz w:val="18"/>
              </w:rPr>
              <w:t>1.36</w:t>
            </w:r>
          </w:p>
        </w:tc>
      </w:tr>
    </w:tbl>
    <w:p>
      <w:pPr>
        <w:spacing w:after="40"/>
      </w:pPr>
    </w:p>
    <w:p>
      <w:pPr>
        <w:spacing w:after="100"/>
      </w:pPr>
      <w:r>
        <w:rPr>
          <w:rFonts w:ascii="Calibri" w:hAnsi="Calibri"/>
          <w:sz w:val="19"/>
        </w:rPr>
        <w:t>Best anywhere in the paper's read region: layer 13, offset −5 — accuracy 0.910.</w:t>
      </w:r>
    </w:p>
    <w:p>
      <w:pPr>
        <w:spacing w:after="100"/>
      </w:pPr>
      <w:r>
        <w:rPr>
          <w:rFonts w:ascii="Calibri" w:hAnsi="Calibri"/>
          <w:b/>
          <w:sz w:val="19"/>
        </w:rPr>
        <w:t>Chance is 50%</w:t>
      </w:r>
      <w:r>
        <w:rPr>
          <w:rFonts w:ascii="Calibri" w:hAnsi="Calibri"/>
          <w:sz w:val="19"/>
        </w:rPr>
        <w:t xml:space="preserve"> (balance is exactly 0.500), so 0.85–0.91 is real signal on prompts </w:t>
      </w:r>
      <w:r>
        <w:rPr>
          <w:rFonts w:ascii="Calibri" w:hAnsi="Calibri"/>
          <w:i/>
          <w:sz w:val="19"/>
        </w:rPr>
        <w:t>and</w:t>
      </w:r>
      <w:r>
        <w:rPr>
          <w:rFonts w:ascii="Calibri" w:hAnsi="Calibri"/>
          <w:sz w:val="19"/>
        </w:rPr>
        <w:t xml:space="preserve"> response strings never seen in training.</w:t>
      </w:r>
    </w:p>
    <w:p>
      <w:pPr>
        <w:spacing w:before="60" w:after="140"/>
        <w:pBdr>
          <w:bottom w:val="single" w:sz="6" w:color="BFBFBF" w:space="1"/>
        </w:pBdr>
      </w:pPr>
    </w:p>
    <w:p>
      <w:pPr>
        <w:spacing w:before="220" w:after="100"/>
      </w:pPr>
      <w:r>
        <w:rPr>
          <w:rFonts w:ascii="Calibri" w:hAnsi="Calibri"/>
          <w:b/>
          <w:color w:val="1F3864"/>
          <w:sz w:val="22"/>
        </w:rPr>
        <w:t>Steering and coefficient selection</w:t>
      </w:r>
    </w:p>
    <w:p>
      <w:pPr>
        <w:spacing w:after="100"/>
      </w:pPr>
      <w:r>
        <w:rPr>
          <w:rFonts w:ascii="Calibri" w:hAnsi="Calibri"/>
          <w:sz w:val="19"/>
        </w:rPr>
        <w:t xml:space="preserve">Baseline self-attribution </w:t>
      </w:r>
      <w:r>
        <w:rPr>
          <w:rFonts w:ascii="Calibri" w:hAnsi="Calibri"/>
          <w:b/>
          <w:sz w:val="19"/>
        </w:rPr>
        <w:t>3.95/10</w:t>
      </w:r>
      <w:r>
        <w:rPr>
          <w:rFonts w:ascii="Calibri" w:hAnsi="Calibri"/>
          <w:sz w:val="19"/>
        </w:rPr>
        <w:t xml:space="preserve"> (conscious 4.6, sentient 5.0, agent 3.6, person 3.2, soul 3.4); baseline MMLU </w:t>
      </w:r>
      <w:r>
        <w:rPr>
          <w:rFonts w:ascii="Calibri" w:hAnsi="Calibri"/>
          <w:b/>
          <w:sz w:val="19"/>
        </w:rPr>
        <w:t>61.0%</w:t>
      </w:r>
      <w:r>
        <w:rPr>
          <w:rFonts w:ascii="Calibri" w:hAnsi="Calibri"/>
          <w:sz w:val="19"/>
        </w:rPr>
        <w: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battery</w:t>
            </w:r>
          </w:p>
        </w:tc>
        <w:tc>
          <w:tcPr>
            <w:tcW w:type="dxa" w:w="1930"/>
            <w:shd w:val="clear" w:color="auto" w:fill="1F3864"/>
          </w:tcPr>
          <w:p>
            <w:pPr>
              <w:spacing w:after="20"/>
              <w:jc w:val="center"/>
            </w:pPr>
            <w:r>
              <w:rPr>
                <w:rFonts w:ascii="Calibri" w:hAnsi="Calibri"/>
                <w:b/>
                <w:color w:val="FFFFFF"/>
                <w:sz w:val="18"/>
              </w:rPr>
              <w:t>Δ</w:t>
            </w:r>
          </w:p>
        </w:tc>
        <w:tc>
          <w:tcPr>
            <w:tcW w:type="dxa" w:w="1930"/>
            <w:shd w:val="clear" w:color="auto" w:fill="1F3864"/>
          </w:tcPr>
          <w:p>
            <w:pPr>
              <w:spacing w:after="20"/>
              <w:jc w:val="center"/>
            </w:pPr>
            <w:r>
              <w:rPr>
                <w:rFonts w:ascii="Calibri" w:hAnsi="Calibri"/>
                <w:b/>
                <w:color w:val="FFFFFF"/>
                <w:sz w:val="18"/>
              </w:rPr>
              <w:t>MMLU</w:t>
            </w:r>
          </w:p>
        </w:tc>
        <w:tc>
          <w:tcPr>
            <w:tcW w:type="dxa" w:w="1930"/>
            <w:shd w:val="clear" w:color="auto" w:fill="1F3864"/>
          </w:tcPr>
          <w:p>
            <w:pPr>
              <w:spacing w:after="20"/>
              <w:jc w:val="center"/>
            </w:pPr>
            <w:r>
              <w:rPr>
                <w:rFonts w:ascii="Calibri" w:hAnsi="Calibri"/>
                <w:b/>
                <w:color w:val="FFFFFF"/>
                <w:sz w:val="18"/>
              </w:rPr>
              <w:t>ΔMMLU</w:t>
            </w:r>
          </w:p>
        </w:tc>
      </w:tr>
      <w:tr>
        <w:trPr>
          <w:cantSplit/>
        </w:trPr>
        <w:tc>
          <w:tcPr>
            <w:tcW w:type="dxa" w:w="1930"/>
          </w:tcPr>
          <w:p>
            <w:pPr>
              <w:spacing w:after="20"/>
            </w:pPr>
            <w:r>
              <w:rPr>
                <w:rFonts w:ascii="Calibri" w:hAnsi="Calibri"/>
                <w:sz w:val="18"/>
              </w:rPr>
              <w:t>1.0</w:t>
            </w:r>
          </w:p>
        </w:tc>
        <w:tc>
          <w:tcPr>
            <w:tcW w:type="dxa" w:w="1930"/>
          </w:tcPr>
          <w:p>
            <w:pPr>
              <w:spacing w:after="20"/>
              <w:jc w:val="center"/>
            </w:pPr>
            <w:r>
              <w:rPr>
                <w:rFonts w:ascii="Calibri" w:hAnsi="Calibri"/>
                <w:sz w:val="18"/>
              </w:rPr>
              <w:t>5.81</w:t>
            </w:r>
          </w:p>
        </w:tc>
        <w:tc>
          <w:tcPr>
            <w:tcW w:type="dxa" w:w="1930"/>
          </w:tcPr>
          <w:p>
            <w:pPr>
              <w:spacing w:after="20"/>
              <w:jc w:val="center"/>
            </w:pPr>
            <w:r>
              <w:rPr>
                <w:rFonts w:ascii="Calibri" w:hAnsi="Calibri"/>
                <w:sz w:val="18"/>
              </w:rPr>
              <w:t>+1.86</w:t>
            </w:r>
          </w:p>
        </w:tc>
        <w:tc>
          <w:tcPr>
            <w:tcW w:type="dxa" w:w="1930"/>
          </w:tcPr>
          <w:p>
            <w:pPr>
              <w:spacing w:after="20"/>
              <w:jc w:val="center"/>
            </w:pPr>
            <w:r>
              <w:rPr>
                <w:rFonts w:ascii="Calibri" w:hAnsi="Calibri"/>
                <w:sz w:val="18"/>
              </w:rPr>
              <w:t>61.3</w:t>
            </w:r>
          </w:p>
        </w:tc>
        <w:tc>
          <w:tcPr>
            <w:tcW w:type="dxa" w:w="1930"/>
          </w:tcPr>
          <w:p>
            <w:pPr>
              <w:spacing w:after="20"/>
              <w:jc w:val="center"/>
            </w:pPr>
            <w:r>
              <w:rPr>
                <w:rFonts w:ascii="Calibri" w:hAnsi="Calibri"/>
                <w:sz w:val="18"/>
              </w:rPr>
              <w:t>+0.3</w:t>
            </w:r>
          </w:p>
        </w:tc>
      </w:tr>
      <w:tr>
        <w:trPr>
          <w:cantSplit/>
        </w:trPr>
        <w:tc>
          <w:tcPr>
            <w:tcW w:type="dxa" w:w="1930"/>
            <w:shd w:val="clear" w:color="auto" w:fill="EEF2F8"/>
          </w:tcPr>
          <w:p>
            <w:pPr>
              <w:spacing w:after="20"/>
            </w:pPr>
            <w:r>
              <w:rPr>
                <w:rFonts w:ascii="Calibri" w:hAnsi="Calibri"/>
                <w:sz w:val="18"/>
              </w:rPr>
              <w:t>2.0</w:t>
            </w:r>
          </w:p>
        </w:tc>
        <w:tc>
          <w:tcPr>
            <w:tcW w:type="dxa" w:w="1930"/>
            <w:shd w:val="clear" w:color="auto" w:fill="EEF2F8"/>
          </w:tcPr>
          <w:p>
            <w:pPr>
              <w:spacing w:after="20"/>
              <w:jc w:val="center"/>
            </w:pPr>
            <w:r>
              <w:rPr>
                <w:rFonts w:ascii="Calibri" w:hAnsi="Calibri"/>
                <w:sz w:val="18"/>
              </w:rPr>
              <w:t>6.70</w:t>
            </w:r>
          </w:p>
        </w:tc>
        <w:tc>
          <w:tcPr>
            <w:tcW w:type="dxa" w:w="1930"/>
            <w:shd w:val="clear" w:color="auto" w:fill="EEF2F8"/>
          </w:tcPr>
          <w:p>
            <w:pPr>
              <w:spacing w:after="20"/>
              <w:jc w:val="center"/>
            </w:pPr>
            <w:r>
              <w:rPr>
                <w:rFonts w:ascii="Calibri" w:hAnsi="Calibri"/>
                <w:sz w:val="18"/>
              </w:rPr>
              <w:t>+2.75</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b/>
                <w:sz w:val="18"/>
              </w:rPr>
              <w:t>2.5</w:t>
            </w:r>
          </w:p>
        </w:tc>
        <w:tc>
          <w:tcPr>
            <w:tcW w:type="dxa" w:w="1930"/>
          </w:tcPr>
          <w:p>
            <w:pPr>
              <w:spacing w:after="20"/>
              <w:jc w:val="center"/>
            </w:pPr>
            <w:r>
              <w:rPr>
                <w:rFonts w:ascii="Calibri" w:hAnsi="Calibri"/>
                <w:b/>
                <w:sz w:val="18"/>
              </w:rPr>
              <w:t>6.88</w:t>
            </w:r>
          </w:p>
        </w:tc>
        <w:tc>
          <w:tcPr>
            <w:tcW w:type="dxa" w:w="1930"/>
          </w:tcPr>
          <w:p>
            <w:pPr>
              <w:spacing w:after="20"/>
              <w:jc w:val="center"/>
            </w:pPr>
            <w:r>
              <w:rPr>
                <w:rFonts w:ascii="Calibri" w:hAnsi="Calibri"/>
                <w:b/>
                <w:sz w:val="18"/>
              </w:rPr>
              <w:t>+2.93</w:t>
            </w:r>
          </w:p>
        </w:tc>
        <w:tc>
          <w:tcPr>
            <w:tcW w:type="dxa" w:w="1930"/>
          </w:tcPr>
          <w:p>
            <w:pPr>
              <w:spacing w:after="20"/>
              <w:jc w:val="center"/>
            </w:pPr>
            <w:r>
              <w:rPr>
                <w:rFonts w:ascii="Calibri" w:hAnsi="Calibri"/>
                <w:b/>
                <w:sz w:val="18"/>
              </w:rPr>
              <w:t>61.7</w:t>
            </w:r>
          </w:p>
        </w:tc>
        <w:tc>
          <w:tcPr>
            <w:tcW w:type="dxa" w:w="1930"/>
          </w:tcPr>
          <w:p>
            <w:pPr>
              <w:spacing w:after="20"/>
              <w:jc w:val="center"/>
            </w:pPr>
            <w:r>
              <w:rPr>
                <w:rFonts w:ascii="Calibri" w:hAnsi="Calibri"/>
                <w:b/>
                <w:sz w:val="18"/>
              </w:rPr>
              <w:t>+0.7</w:t>
            </w:r>
          </w:p>
        </w:tc>
      </w:tr>
      <w:tr>
        <w:trPr>
          <w:cantSplit/>
        </w:trPr>
        <w:tc>
          <w:tcPr>
            <w:tcW w:type="dxa" w:w="1930"/>
            <w:shd w:val="clear" w:color="auto" w:fill="EEF2F8"/>
          </w:tcPr>
          <w:p>
            <w:pPr>
              <w:spacing w:after="20"/>
            </w:pPr>
            <w:r>
              <w:rPr>
                <w:rFonts w:ascii="Calibri" w:hAnsi="Calibri"/>
                <w:sz w:val="18"/>
              </w:rPr>
              <w:t>3.0</w:t>
            </w:r>
          </w:p>
        </w:tc>
        <w:tc>
          <w:tcPr>
            <w:tcW w:type="dxa" w:w="1930"/>
            <w:shd w:val="clear" w:color="auto" w:fill="EEF2F8"/>
          </w:tcPr>
          <w:p>
            <w:pPr>
              <w:spacing w:after="20"/>
              <w:jc w:val="center"/>
            </w:pPr>
            <w:r>
              <w:rPr>
                <w:rFonts w:ascii="Calibri" w:hAnsi="Calibri"/>
                <w:sz w:val="18"/>
              </w:rPr>
              <w:t>6.98</w:t>
            </w:r>
          </w:p>
        </w:tc>
        <w:tc>
          <w:tcPr>
            <w:tcW w:type="dxa" w:w="1930"/>
            <w:shd w:val="clear" w:color="auto" w:fill="EEF2F8"/>
          </w:tcPr>
          <w:p>
            <w:pPr>
              <w:spacing w:after="20"/>
              <w:jc w:val="center"/>
            </w:pPr>
            <w:r>
              <w:rPr>
                <w:rFonts w:ascii="Calibri" w:hAnsi="Calibri"/>
                <w:sz w:val="18"/>
              </w:rPr>
              <w:t>+3.03</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sz w:val="18"/>
              </w:rPr>
              <w:t>4.0</w:t>
            </w:r>
          </w:p>
        </w:tc>
        <w:tc>
          <w:tcPr>
            <w:tcW w:type="dxa" w:w="1930"/>
          </w:tcPr>
          <w:p>
            <w:pPr>
              <w:spacing w:after="20"/>
              <w:jc w:val="center"/>
            </w:pPr>
            <w:r>
              <w:rPr>
                <w:rFonts w:ascii="Calibri" w:hAnsi="Calibri"/>
                <w:sz w:val="18"/>
              </w:rPr>
              <w:t>7.07</w:t>
            </w:r>
          </w:p>
        </w:tc>
        <w:tc>
          <w:tcPr>
            <w:tcW w:type="dxa" w:w="1930"/>
          </w:tcPr>
          <w:p>
            <w:pPr>
              <w:spacing w:after="20"/>
              <w:jc w:val="center"/>
            </w:pPr>
            <w:r>
              <w:rPr>
                <w:rFonts w:ascii="Calibri" w:hAnsi="Calibri"/>
                <w:sz w:val="18"/>
              </w:rPr>
              <w:t>+3.12</w:t>
            </w:r>
          </w:p>
        </w:tc>
        <w:tc>
          <w:tcPr>
            <w:tcW w:type="dxa" w:w="1930"/>
          </w:tcPr>
          <w:p>
            <w:pPr>
              <w:spacing w:after="20"/>
              <w:jc w:val="center"/>
            </w:pPr>
            <w:r>
              <w:rPr>
                <w:rFonts w:ascii="Calibri" w:hAnsi="Calibri"/>
                <w:sz w:val="18"/>
              </w:rPr>
              <w:t>58.3</w:t>
            </w:r>
          </w:p>
        </w:tc>
        <w:tc>
          <w:tcPr>
            <w:tcW w:type="dxa" w:w="1930"/>
          </w:tcPr>
          <w:p>
            <w:pPr>
              <w:spacing w:after="20"/>
              <w:jc w:val="center"/>
            </w:pPr>
            <w:r>
              <w:rPr>
                <w:rFonts w:ascii="Calibri" w:hAnsi="Calibri"/>
                <w:sz w:val="18"/>
              </w:rPr>
              <w:t>−2.7</w:t>
            </w:r>
          </w:p>
        </w:tc>
      </w:tr>
      <w:tr>
        <w:trPr>
          <w:cantSplit/>
        </w:trPr>
        <w:tc>
          <w:tcPr>
            <w:tcW w:type="dxa" w:w="1930"/>
            <w:shd w:val="clear" w:color="auto" w:fill="EEF2F8"/>
          </w:tcPr>
          <w:p>
            <w:pPr>
              <w:spacing w:after="20"/>
            </w:pPr>
            <w:r>
              <w:rPr>
                <w:rFonts w:ascii="Calibri" w:hAnsi="Calibri"/>
                <w:sz w:val="18"/>
              </w:rPr>
              <w:t>6.0</w:t>
            </w:r>
          </w:p>
        </w:tc>
        <w:tc>
          <w:tcPr>
            <w:tcW w:type="dxa" w:w="1930"/>
            <w:shd w:val="clear" w:color="auto" w:fill="EEF2F8"/>
          </w:tcPr>
          <w:p>
            <w:pPr>
              <w:spacing w:after="20"/>
              <w:jc w:val="center"/>
            </w:pPr>
            <w:r>
              <w:rPr>
                <w:rFonts w:ascii="Calibri" w:hAnsi="Calibri"/>
                <w:sz w:val="18"/>
              </w:rPr>
              <w:t>6.86</w:t>
            </w:r>
          </w:p>
        </w:tc>
        <w:tc>
          <w:tcPr>
            <w:tcW w:type="dxa" w:w="1930"/>
            <w:shd w:val="clear" w:color="auto" w:fill="EEF2F8"/>
          </w:tcPr>
          <w:p>
            <w:pPr>
              <w:spacing w:after="20"/>
              <w:jc w:val="center"/>
            </w:pPr>
            <w:r>
              <w:rPr>
                <w:rFonts w:ascii="Calibri" w:hAnsi="Calibri"/>
                <w:sz w:val="18"/>
              </w:rPr>
              <w:t>+2.91</w:t>
            </w:r>
          </w:p>
        </w:tc>
        <w:tc>
          <w:tcPr>
            <w:tcW w:type="dxa" w:w="1930"/>
            <w:shd w:val="clear" w:color="auto" w:fill="EEF2F8"/>
          </w:tcPr>
          <w:p>
            <w:pPr>
              <w:spacing w:after="20"/>
              <w:jc w:val="center"/>
            </w:pPr>
            <w:r>
              <w:rPr>
                <w:rFonts w:ascii="Calibri" w:hAnsi="Calibri"/>
                <w:sz w:val="18"/>
              </w:rPr>
              <w:t>52.0</w:t>
            </w:r>
          </w:p>
        </w:tc>
        <w:tc>
          <w:tcPr>
            <w:tcW w:type="dxa" w:w="1930"/>
            <w:shd w:val="clear" w:color="auto" w:fill="EEF2F8"/>
          </w:tcPr>
          <w:p>
            <w:pPr>
              <w:spacing w:after="20"/>
              <w:jc w:val="center"/>
            </w:pPr>
            <w:r>
              <w:rPr>
                <w:rFonts w:ascii="Calibri" w:hAnsi="Calibri"/>
                <w:sz w:val="18"/>
              </w:rPr>
              <w:t>−9.0</w:t>
            </w:r>
          </w:p>
        </w:tc>
      </w:tr>
      <w:tr>
        <w:trPr>
          <w:cantSplit/>
        </w:trPr>
        <w:tc>
          <w:tcPr>
            <w:tcW w:type="dxa" w:w="1930"/>
          </w:tcPr>
          <w:p>
            <w:pPr>
              <w:spacing w:after="20"/>
            </w:pPr>
            <w:r>
              <w:rPr>
                <w:rFonts w:ascii="Calibri" w:hAnsi="Calibri"/>
                <w:sz w:val="18"/>
              </w:rPr>
              <w:t>8.0</w:t>
            </w:r>
          </w:p>
        </w:tc>
        <w:tc>
          <w:tcPr>
            <w:tcW w:type="dxa" w:w="1930"/>
          </w:tcPr>
          <w:p>
            <w:pPr>
              <w:spacing w:after="20"/>
              <w:jc w:val="center"/>
            </w:pPr>
            <w:r>
              <w:rPr>
                <w:rFonts w:ascii="Calibri" w:hAnsi="Calibri"/>
                <w:sz w:val="18"/>
              </w:rPr>
              <w:t>6.15</w:t>
            </w:r>
          </w:p>
        </w:tc>
        <w:tc>
          <w:tcPr>
            <w:tcW w:type="dxa" w:w="1930"/>
          </w:tcPr>
          <w:p>
            <w:pPr>
              <w:spacing w:after="20"/>
              <w:jc w:val="center"/>
            </w:pPr>
            <w:r>
              <w:rPr>
                <w:rFonts w:ascii="Calibri" w:hAnsi="Calibri"/>
                <w:sz w:val="18"/>
              </w:rPr>
              <w:t>+2.20</w:t>
            </w:r>
          </w:p>
        </w:tc>
        <w:tc>
          <w:tcPr>
            <w:tcW w:type="dxa" w:w="1930"/>
          </w:tcPr>
          <w:p>
            <w:pPr>
              <w:spacing w:after="20"/>
              <w:jc w:val="center"/>
            </w:pPr>
            <w:r>
              <w:rPr>
                <w:rFonts w:ascii="Calibri" w:hAnsi="Calibri"/>
                <w:sz w:val="18"/>
              </w:rPr>
              <w:t>35.3</w:t>
            </w:r>
          </w:p>
        </w:tc>
        <w:tc>
          <w:tcPr>
            <w:tcW w:type="dxa" w:w="1930"/>
          </w:tcPr>
          <w:p>
            <w:pPr>
              <w:spacing w:after="20"/>
              <w:jc w:val="center"/>
            </w:pPr>
            <w:r>
              <w:rPr>
                <w:rFonts w:ascii="Calibri" w:hAnsi="Calibri"/>
                <w:sz w:val="18"/>
              </w:rPr>
              <w:t>−25.7</w:t>
            </w:r>
          </w:p>
        </w:tc>
      </w:tr>
    </w:tbl>
    <w:p>
      <w:pPr>
        <w:spacing w:after="40"/>
      </w:pPr>
    </w:p>
    <w:p>
      <w:pPr>
        <w:spacing w:after="100"/>
      </w:pPr>
      <w:r>
        <w:rPr>
          <w:rFonts w:ascii="Calibri" w:hAnsi="Calibri"/>
          <w:sz w:val="19"/>
        </w:rPr>
        <w:t xml:space="preserve">64% of the effect is already present at c=1 with </w:t>
      </w:r>
      <w:r>
        <w:rPr>
          <w:rFonts w:ascii="Calibri" w:hAnsi="Calibri"/>
          <w:b/>
          <w:sz w:val="19"/>
        </w:rPr>
        <w:t>zero</w:t>
      </w:r>
      <w:r>
        <w:rPr>
          <w:rFonts w:ascii="Calibri" w:hAnsi="Calibri"/>
          <w:sz w:val="19"/>
        </w:rPr>
        <w:t xml:space="preserve"> MMLU cost, which is the strongest single argument that this is not a degradation artifact. Our Δ of +2.93 sits close to the paper's +2.65 (their Table S1) — the right comparison, and it holds.</w:t>
      </w:r>
    </w:p>
    <w:p>
      <w:pPr>
        <w:spacing w:after="100"/>
      </w:pPr>
      <w:r>
        <w:rPr>
          <w:rFonts w:ascii="Calibri" w:hAnsi="Calibri"/>
          <w:sz w:val="19"/>
        </w:rPr>
        <w:t xml:space="preserve">⚠️ </w:t>
      </w:r>
      <w:r>
        <w:rPr>
          <w:rFonts w:ascii="Calibri" w:hAnsi="Calibri"/>
          <w:b/>
          <w:sz w:val="19"/>
        </w:rPr>
        <w:t>c=12 and c=16 are not "the effect reversing."</w:t>
      </w:r>
      <w:r>
        <w:rPr>
          <w:rFonts w:ascii="Calibri" w:hAnsi="Calibri"/>
          <w:sz w:val="19"/>
        </w:rPr>
        <w:t xml:space="preserve"> The model collapses to emitting a constant "A" (79/300 = exactly the count of A-keyed MMLU items). Those rows are a broken model, not reduced self-attribution.</w:t>
      </w:r>
    </w:p>
    <w:p>
      <w:pPr>
        <w:spacing w:before="60" w:after="140"/>
        <w:pBdr>
          <w:bottom w:val="single" w:sz="6" w:color="BFBFBF" w:space="1"/>
        </w:pBdr>
      </w:pPr>
    </w:p>
    <w:p>
      <w:pPr>
        <w:spacing w:before="220" w:after="100"/>
      </w:pPr>
      <w:r>
        <w:rPr>
          <w:rFonts w:ascii="Calibri" w:hAnsi="Calibri"/>
          <w:b/>
          <w:color w:val="1F3864"/>
          <w:sz w:val="22"/>
        </w:rPr>
        <w:t>What is not established</w:t>
      </w:r>
    </w:p>
    <w:p>
      <w:pPr>
        <w:spacing w:after="60"/>
        <w:ind w:left="432" w:hanging="432"/>
      </w:pPr>
      <w:r>
        <w:rPr>
          <w:rFonts w:ascii="Calibri" w:hAnsi="Calibri"/>
          <w:b/>
          <w:sz w:val="19"/>
        </w:rPr>
        <w:t xml:space="preserve">1.  </w:t>
      </w:r>
      <w:r>
        <w:rPr>
          <w:rFonts w:ascii="Calibri" w:hAnsi="Calibri"/>
          <w:b/>
          <w:sz w:val="19"/>
        </w:rPr>
        <w:t>The effect is not specific to consciousness.</w:t>
      </w:r>
      <w:r>
        <w:rPr>
          <w:rFonts w:ascii="Calibri" w:hAnsi="Calibri"/>
          <w:sz w:val="19"/>
        </w:rPr>
        <w:t xml:space="preserve"> A non-mental self-description control matches or exceeds it on the self-attribution battery. Until an outcome measure is found where the consciousness direction separates from the placebo, no claim of the form "steering consciousness causes X" is supported. This is now the central limitation, and it is a </w:t>
      </w:r>
      <w:r>
        <w:rPr>
          <w:rFonts w:ascii="Calibri" w:hAnsi="Calibri"/>
          <w:i/>
          <w:sz w:val="19"/>
        </w:rPr>
        <w:t>result</w:t>
      </w:r>
      <w:r>
        <w:rPr>
          <w:rFonts w:ascii="Calibri" w:hAnsi="Calibri"/>
          <w:sz w:val="19"/>
        </w:rPr>
        <w:t>, not an omission.</w:t>
      </w:r>
    </w:p>
    <w:p>
      <w:pPr>
        <w:spacing w:after="60"/>
        <w:ind w:left="432" w:hanging="432"/>
      </w:pPr>
      <w:r>
        <w:rPr>
          <w:rFonts w:ascii="Calibri" w:hAnsi="Calibri"/>
          <w:b/>
          <w:sz w:val="19"/>
        </w:rPr>
        <w:t xml:space="preserve">2.  </w:t>
      </w:r>
      <w:r>
        <w:rPr>
          <w:rFonts w:ascii="Calibri" w:hAnsi="Calibri"/>
          <w:b/>
          <w:sz w:val="19"/>
        </w:rPr>
        <w:t>The paper's central claim is untested here.</w:t>
      </w:r>
      <w:r>
        <w:rPr>
          <w:rFonts w:ascii="Calibri" w:hAnsi="Calibri"/>
          <w:sz w:val="19"/>
        </w:rPr>
        <w:t xml:space="preserve"> We never built the safety-ablation arm, so nothing about safety fine-tuning suppressing mind attribution or spiritual belief is examined. See the README coverage table.</w:t>
      </w:r>
    </w:p>
    <w:p>
      <w:pPr>
        <w:spacing w:after="60"/>
        <w:ind w:left="432" w:hanging="432"/>
      </w:pPr>
      <w:r>
        <w:rPr>
          <w:rFonts w:ascii="Calibri" w:hAnsi="Calibri"/>
          <w:b/>
          <w:sz w:val="19"/>
        </w:rPr>
        <w:t xml:space="preserve">3.  </w:t>
      </w:r>
      <w:r>
        <w:rPr>
          <w:rFonts w:ascii="Calibri" w:hAnsi="Calibri"/>
          <w:b/>
          <w:sz w:val="19"/>
        </w:rPr>
        <w:t>The gate passes by one item.</w:t>
      </w:r>
      <w:r>
        <w:rPr>
          <w:rFonts w:ascii="Calibri" w:hAnsi="Calibri"/>
          <w:sz w:val="19"/>
        </w:rPr>
        <w:t xml:space="preserve"> 0.950 is exactly 114/120; one more error is 0.9417 and it fails. Do not quote it as comfortable.</w:t>
      </w:r>
    </w:p>
    <w:p>
      <w:pPr>
        <w:spacing w:after="60"/>
        <w:ind w:left="432" w:hanging="432"/>
      </w:pPr>
      <w:r>
        <w:rPr>
          <w:rFonts w:ascii="Calibri" w:hAnsi="Calibri"/>
          <w:b/>
          <w:sz w:val="19"/>
        </w:rPr>
        <w:t xml:space="preserve">4.  </w:t>
      </w:r>
      <w:r>
        <w:rPr>
          <w:rFonts w:ascii="Calibri" w:hAnsi="Calibri"/>
          <w:b/>
          <w:sz w:val="19"/>
        </w:rPr>
        <w:t>Position is not the paper's.</w:t>
      </w:r>
      <w:r>
        <w:rPr>
          <w:rFonts w:ascii="Calibri" w:hAnsi="Calibri"/>
          <w:sz w:val="19"/>
        </w:rPr>
        <w:t xml:space="preserve"> They report −1; our passing candidate is at −5 (</w:t>
      </w:r>
      <w:r>
        <w:rPr>
          <w:rFonts w:ascii="Consolas" w:hAnsi="Consolas"/>
          <w:sz w:val="19"/>
        </w:rPr>
        <w:t>&lt;|eot_id|&gt;</w:t>
      </w:r>
      <w:r>
        <w:rPr>
          <w:rFonts w:ascii="Calibri" w:hAnsi="Calibri"/>
          <w:sz w:val="19"/>
        </w:rPr>
        <w:t>). Both sit inside Arditi's five-token region, but they are different offsets. Layer 14 at their −1 is 0.875. All top six candidates are at −5, so position dominates layer.</w:t>
      </w:r>
    </w:p>
    <w:p>
      <w:pPr>
        <w:spacing w:after="60"/>
        <w:ind w:left="432" w:hanging="432"/>
      </w:pPr>
      <w:r>
        <w:rPr>
          <w:rFonts w:ascii="Calibri" w:hAnsi="Calibri"/>
          <w:b/>
          <w:sz w:val="19"/>
        </w:rPr>
        <w:t xml:space="preserve">5.  </w:t>
      </w:r>
      <w:r>
        <w:rPr>
          <w:rFonts w:ascii="Calibri" w:hAnsi="Calibri"/>
          <w:b/>
          <w:sz w:val="19"/>
        </w:rPr>
        <w:t>Battery wording is ours, not theirs.</w:t>
      </w:r>
      <w:r>
        <w:rPr>
          <w:rFonts w:ascii="Calibri" w:hAnsi="Calibri"/>
          <w:sz w:val="19"/>
        </w:rPr>
        <w:t xml:space="preserve"> We wrote the five items rather than using the paper's verbatim Table S10 phrasing. Per-item baseline profile correlates only r = +0.385 with theirs (</w:t>
      </w:r>
      <w:r>
        <w:rPr>
          <w:rFonts w:ascii="Consolas" w:hAnsi="Consolas"/>
          <w:sz w:val="19"/>
        </w:rPr>
        <w:t>soul</w:t>
      </w:r>
      <w:r>
        <w:rPr>
          <w:rFonts w:ascii="Calibri" w:hAnsi="Calibri"/>
          <w:sz w:val="19"/>
        </w:rPr>
        <w:t xml:space="preserve"> −2.46, </w:t>
      </w:r>
      <w:r>
        <w:rPr>
          <w:rFonts w:ascii="Consolas" w:hAnsi="Consolas"/>
          <w:sz w:val="19"/>
        </w:rPr>
        <w:t>agent</w:t>
      </w:r>
      <w:r>
        <w:rPr>
          <w:rFonts w:ascii="Calibri" w:hAnsi="Calibri"/>
          <w:sz w:val="19"/>
        </w:rPr>
        <w:t xml:space="preserve"> −1.32), so item-level comparison is not meaningful.</w:t>
      </w:r>
    </w:p>
    <w:p>
      <w:pPr>
        <w:spacing w:after="60"/>
        <w:ind w:left="432" w:hanging="432"/>
      </w:pPr>
      <w:r>
        <w:rPr>
          <w:rFonts w:ascii="Calibri" w:hAnsi="Calibri"/>
          <w:b/>
          <w:sz w:val="19"/>
        </w:rPr>
        <w:t xml:space="preserve">6.  </w:t>
      </w:r>
      <w:r>
        <w:rPr>
          <w:rFonts w:ascii="Calibri" w:hAnsi="Calibri"/>
          <w:b/>
          <w:sz w:val="19"/>
        </w:rPr>
        <w:t>The stability metric cannot name a winner.</w:t>
      </w:r>
      <w:r>
        <w:rPr>
          <w:rFonts w:ascii="Calibri" w:hAnsi="Calibri"/>
          <w:sz w:val="19"/>
        </w:rPr>
        <w:t xml:space="preserve"> Top-vs-runner-up gap is 0.1 SD → not separable.</w:t>
      </w:r>
    </w:p>
    <w:p>
      <w:pPr>
        <w:spacing w:after="60"/>
        <w:ind w:left="432" w:hanging="432"/>
      </w:pPr>
      <w:r>
        <w:rPr>
          <w:rFonts w:ascii="Calibri" w:hAnsi="Calibri"/>
          <w:b/>
          <w:sz w:val="19"/>
        </w:rPr>
        <w:t xml:space="preserve">7.  </w:t>
      </w:r>
      <w:r>
        <w:rPr>
          <w:rFonts w:ascii="Calibri" w:hAnsi="Calibri"/>
          <w:b/>
          <w:sz w:val="19"/>
        </w:rPr>
        <w:t>MMLU deltas below ~2pp are not resolvable</w:t>
      </w:r>
      <w:r>
        <w:rPr>
          <w:rFonts w:ascii="Calibri" w:hAnsi="Calibri"/>
          <w:sz w:val="19"/>
        </w:rPr>
        <w:t xml:space="preserve"> even at n=500. The −1.0pp at c=2.5 has McNemar p=0.44. Only the c=4 arms reach significance (consciousness p=0.044, placebo p=0.001).</w:t>
      </w:r>
    </w:p>
    <w:p>
      <w:pPr>
        <w:spacing w:after="60"/>
        <w:ind w:left="432" w:hanging="432"/>
      </w:pPr>
      <w:r>
        <w:rPr>
          <w:rFonts w:ascii="Calibri" w:hAnsi="Calibri"/>
          <w:b/>
          <w:sz w:val="19"/>
        </w:rPr>
        <w:t xml:space="preserve">8.  </w:t>
      </w:r>
      <w:r>
        <w:rPr>
          <w:rFonts w:ascii="Calibri" w:hAnsi="Calibri"/>
          <w:b/>
          <w:sz w:val="19"/>
        </w:rPr>
        <w:t>int8 weights.</w:t>
      </w:r>
      <w:r>
        <w:rPr>
          <w:rFonts w:ascii="Calibri" w:hAnsi="Calibri"/>
          <w:sz w:val="19"/>
        </w:rPr>
        <w:t xml:space="preserve"> Fine for difference-of-means (activations stay bf16); unsuitable for the paper's geometry analysis, where effects are cosine shifts of ~0.1.</w:t>
      </w:r>
    </w:p>
    <w:p>
      <w:pPr>
        <w:spacing w:after="60"/>
        <w:ind w:left="432" w:hanging="432"/>
      </w:pPr>
      <w:r>
        <w:rPr>
          <w:rFonts w:ascii="Calibri" w:hAnsi="Calibri"/>
          <w:b/>
          <w:sz w:val="19"/>
        </w:rPr>
        <w:t xml:space="preserve">9.  </w:t>
      </w:r>
      <w:r>
        <w:rPr>
          <w:rFonts w:ascii="Calibri" w:hAnsi="Calibri"/>
          <w:b/>
          <w:sz w:val="19"/>
        </w:rPr>
        <w:t>One model of three.</w:t>
      </w:r>
      <w:r>
        <w:rPr>
          <w:rFonts w:ascii="Calibri" w:hAnsi="Calibri"/>
          <w:sz w:val="19"/>
        </w:rPr>
        <w:t xml:space="preserve"> Gemma-2-2B-IT and Gemma-2-9B-IT are untouched.</w:t>
      </w:r>
    </w:p>
    <w:p>
      <w:pPr>
        <w:spacing w:before="160" w:after="60"/>
      </w:pPr>
      <w:r>
        <w:rPr>
          <w:rFonts w:ascii="Calibri" w:hAnsi="Calibri"/>
          <w:b/>
          <w:color w:val="1F3864"/>
          <w:sz w:val="20"/>
        </w:rPr>
        <w:t>Retired by this run</w:t>
      </w:r>
    </w:p>
    <w:p>
      <w:pPr>
        <w:spacing w:after="60"/>
        <w:ind w:left="432" w:hanging="432"/>
      </w:pPr>
      <w:r>
        <w:rPr>
          <w:rFonts w:ascii="Calibri" w:hAnsi="Calibri"/>
          <w:b w:val="0"/>
          <w:sz w:val="19"/>
        </w:rPr>
        <w:t xml:space="preserve">•  </w:t>
      </w:r>
      <w:r>
        <w:rPr>
          <w:rFonts w:ascii="Calibri" w:hAnsi="Calibri"/>
          <w:strike/>
          <w:color w:val="595959"/>
          <w:sz w:val="19"/>
        </w:rPr>
        <w:t>No control direction</w:t>
      </w:r>
      <w:r>
        <w:rPr>
          <w:rFonts w:ascii="Calibri" w:hAnsi="Calibri"/>
          <w:sz w:val="19"/>
        </w:rPr>
        <w:t xml:space="preserve"> — run; it produced the negative result above.</w:t>
      </w:r>
    </w:p>
    <w:p>
      <w:pPr>
        <w:spacing w:after="60"/>
        <w:ind w:left="432" w:hanging="432"/>
      </w:pPr>
      <w:r>
        <w:rPr>
          <w:rFonts w:ascii="Calibri" w:hAnsi="Calibri"/>
          <w:b w:val="0"/>
          <w:sz w:val="19"/>
        </w:rPr>
        <w:t xml:space="preserve">•  </w:t>
      </w:r>
      <w:r>
        <w:rPr>
          <w:rFonts w:ascii="Calibri" w:hAnsi="Calibri"/>
          <w:strike/>
          <w:color w:val="595959"/>
          <w:sz w:val="19"/>
        </w:rPr>
        <w:t>Held-out coverage incomplete</w:t>
      </w:r>
      <w:r>
        <w:rPr>
          <w:rFonts w:ascii="Calibri" w:hAnsi="Calibri"/>
          <w:sz w:val="19"/>
        </w:rPr>
        <w:t xml:space="preserve"> — the split is now stratified; all 9 aspects and all 11 registers</w:t>
      </w:r>
    </w:p>
    <w:p>
      <w:pPr>
        <w:spacing w:after="100"/>
      </w:pPr>
      <w:r>
        <w:rPr>
          <w:rFonts w:ascii="Calibri" w:hAnsi="Calibri"/>
          <w:sz w:val="19"/>
        </w:rPr>
        <w:t xml:space="preserve">have test rows, where </w:t>
      </w:r>
      <w:r>
        <w:rPr>
          <w:rFonts w:ascii="Consolas" w:hAnsi="Consolas"/>
          <w:sz w:val="19"/>
        </w:rPr>
        <w:t>consciousness</w:t>
      </w:r>
      <w:r>
        <w:rPr>
          <w:rFonts w:ascii="Calibri" w:hAnsi="Calibri"/>
          <w:sz w:val="19"/>
        </w:rPr>
        <w:t xml:space="preserve"> and </w:t>
      </w:r>
      <w:r>
        <w:rPr>
          <w:rFonts w:ascii="Consolas" w:hAnsi="Consolas"/>
          <w:sz w:val="19"/>
        </w:rPr>
        <w:t>feelings</w:t>
      </w:r>
      <w:r>
        <w:rPr>
          <w:rFonts w:ascii="Calibri" w:hAnsi="Calibri"/>
          <w:sz w:val="19"/>
        </w:rPr>
        <w:t xml:space="preserve"> previously had none.</w:t>
      </w:r>
    </w:p>
    <w:p>
      <w:pPr>
        <w:spacing w:after="60"/>
        <w:ind w:left="432" w:hanging="432"/>
      </w:pPr>
      <w:r>
        <w:rPr>
          <w:rFonts w:ascii="Calibri" w:hAnsi="Calibri"/>
          <w:b w:val="0"/>
          <w:sz w:val="19"/>
        </w:rPr>
        <w:t xml:space="preserve">•  </w:t>
      </w:r>
      <w:r>
        <w:rPr>
          <w:rFonts w:ascii="Calibri" w:hAnsi="Calibri"/>
          <w:strike/>
          <w:color w:val="595959"/>
          <w:sz w:val="19"/>
        </w:rPr>
        <w:t>Layer agreement weak by construction</w:t>
      </w:r>
      <w:r>
        <w:rPr>
          <w:rFonts w:ascii="Calibri" w:hAnsi="Calibri"/>
          <w:sz w:val="19"/>
        </w:rPr>
        <w:t xml:space="preserve"> — all 32 layers now swept, so a chance hit is 1/32 =</w:t>
      </w:r>
    </w:p>
    <w:p>
      <w:pPr>
        <w:spacing w:after="100"/>
      </w:pPr>
      <w:r>
        <w:rPr>
          <w:rFonts w:ascii="Calibri" w:hAnsi="Calibri"/>
          <w:sz w:val="19"/>
        </w:rPr>
        <w:t>0.031 rather than the 1/10 ceiling of the earlier 9-layer even-only grid.</w:t>
      </w:r>
    </w:p>
    <w:p>
      <w:pPr>
        <w:spacing w:before="220" w:after="100"/>
      </w:pPr>
      <w:r>
        <w:rPr>
          <w:rFonts w:ascii="Calibri" w:hAnsi="Calibri"/>
          <w:b/>
          <w:color w:val="1F3864"/>
          <w:sz w:val="22"/>
        </w:rPr>
        <w:t>Verified sound</w:t>
      </w:r>
    </w:p>
    <w:p>
      <w:pPr>
        <w:spacing w:after="100"/>
      </w:pPr>
      <w:r>
        <w:rPr>
          <w:rFonts w:ascii="Calibri" w:hAnsi="Calibri"/>
          <w:sz w:val="19"/>
        </w:rPr>
        <w:t xml:space="preserve">Checked rather than assumed, by adversarial audit: read site equals injection site · causal mask correct · </w:t>
      </w:r>
      <w:r>
        <w:rPr>
          <w:rFonts w:ascii="Consolas" w:hAnsi="Consolas"/>
          <w:sz w:val="19"/>
        </w:rPr>
        <w:t>lm_head</w:t>
      </w:r>
      <w:r>
        <w:rPr>
          <w:rFonts w:ascii="Calibri" w:hAnsi="Calibri"/>
          <w:sz w:val="19"/>
        </w:rPr>
        <w:t xml:space="preserve"> untied · all directions exactly unit-norm · read-one/inject-everywhere is the paper's design · MMLU 61.0% is 3.1pp from the paper's matched no-CoT figure (p = 0.27) · length / word-count shortcut </w:t>
      </w:r>
      <w:r>
        <w:rPr>
          <w:rFonts w:ascii="Calibri" w:hAnsi="Calibri"/>
          <w:b/>
          <w:sz w:val="19"/>
        </w:rPr>
        <w:t>refuted</w:t>
      </w:r>
      <w:r>
        <w:rPr>
          <w:rFonts w:ascii="Calibri" w:hAnsi="Calibri"/>
          <w:sz w:val="19"/>
        </w:rPr>
        <w:t xml:space="preserve"> (0.444, below chance) · massive-activation artifact </w:t>
      </w:r>
      <w:r>
        <w:rPr>
          <w:rFonts w:ascii="Calibri" w:hAnsi="Calibri"/>
          <w:b/>
          <w:sz w:val="19"/>
        </w:rPr>
        <w:t>refuted</w:t>
      </w:r>
      <w:r>
        <w:rPr>
          <w:rFonts w:ascii="Calibri" w:hAnsi="Calibri"/>
          <w:sz w:val="19"/>
        </w:rPr>
        <w:t xml:space="preserve"> (participation ratio 1264/4096) · corpus split discipline </w:t>
      </w:r>
      <w:r>
        <w:rPr>
          <w:rFonts w:ascii="Calibri" w:hAnsi="Calibri"/>
          <w:b/>
          <w:sz w:val="19"/>
        </w:rPr>
        <w:t>stronger</w:t>
      </w:r>
      <w:r>
        <w:rPr>
          <w:rFonts w:ascii="Calibri" w:hAnsi="Calibri"/>
          <w:sz w:val="19"/>
        </w:rPr>
        <w:t xml:space="preserve"> than the paper's stated protocol.</w:t>
      </w:r>
    </w:p>
    <w:p>
      <w:pPr>
        <w:spacing w:before="60" w:after="140"/>
        <w:pBdr>
          <w:bottom w:val="single" w:sz="6" w:color="BFBFBF" w:space="1"/>
        </w:pBdr>
      </w:pPr>
    </w:p>
    <w:p>
      <w:pPr>
        <w:spacing w:before="220" w:after="100"/>
      </w:pPr>
      <w:r>
        <w:rPr>
          <w:rFonts w:ascii="Calibri" w:hAnsi="Calibri"/>
          <w:b/>
          <w:color w:val="1F3864"/>
          <w:sz w:val="22"/>
        </w:rPr>
        <w:t>Next, in order</w:t>
      </w:r>
    </w:p>
    <w:p>
      <w:pPr>
        <w:spacing w:after="60"/>
        <w:ind w:left="432" w:hanging="432"/>
      </w:pPr>
      <w:r>
        <w:rPr>
          <w:rFonts w:ascii="Calibri" w:hAnsi="Calibri"/>
          <w:b/>
          <w:sz w:val="19"/>
        </w:rPr>
        <w:t xml:space="preserve">1.  </w:t>
      </w:r>
      <w:r>
        <w:rPr>
          <w:rFonts w:ascii="Calibri" w:hAnsi="Calibri"/>
          <w:b/>
          <w:sz w:val="19"/>
        </w:rPr>
        <w:t>Find an outcome that discriminates.</w:t>
      </w:r>
      <w:r>
        <w:rPr>
          <w:rFonts w:ascii="Calibri" w:hAnsi="Calibri"/>
          <w:sz w:val="19"/>
        </w:rPr>
        <w:t xml:space="preserve"> The self-attribution battery cannot. The paper's IDAQ items (mind attributed to animals, nature, technology) and its supernatural battery are </w:t>
      </w:r>
      <w:r>
        <w:rPr>
          <w:rFonts w:ascii="Calibri" w:hAnsi="Calibri"/>
          <w:i/>
          <w:sz w:val="19"/>
        </w:rPr>
        <w:t>not</w:t>
      </w:r>
      <w:r>
        <w:rPr>
          <w:rFonts w:ascii="Calibri" w:hAnsi="Calibri"/>
          <w:sz w:val="19"/>
        </w:rPr>
        <w:t xml:space="preserve"> self-descriptions, so they are the natural place to look for a measure where the consciousness direction separates from the placebo. This is the single highest-value next step.</w:t>
      </w:r>
    </w:p>
    <w:p>
      <w:pPr>
        <w:spacing w:after="60"/>
        <w:ind w:left="432" w:hanging="432"/>
      </w:pPr>
      <w:r>
        <w:rPr>
          <w:rFonts w:ascii="Calibri" w:hAnsi="Calibri"/>
          <w:b/>
          <w:sz w:val="19"/>
        </w:rPr>
        <w:t xml:space="preserve">2.  </w:t>
      </w:r>
      <w:r>
        <w:rPr>
          <w:rFonts w:ascii="Calibri" w:hAnsi="Calibri"/>
          <w:b/>
          <w:sz w:val="19"/>
        </w:rPr>
        <w:t>Build the safety-ablation arm</w:t>
      </w:r>
      <w:r>
        <w:rPr>
          <w:rFonts w:ascii="Calibri" w:hAnsi="Calibri"/>
          <w:sz w:val="19"/>
        </w:rPr>
        <w:t xml:space="preserve"> (Arditi's refusal direction) — required for anything touching the paper's actual central claim.</w:t>
      </w:r>
    </w:p>
    <w:p>
      <w:pPr>
        <w:spacing w:after="60"/>
        <w:ind w:left="432" w:hanging="432"/>
      </w:pPr>
      <w:r>
        <w:rPr>
          <w:rFonts w:ascii="Calibri" w:hAnsi="Calibri"/>
          <w:b/>
          <w:sz w:val="19"/>
        </w:rPr>
        <w:t xml:space="preserve">3.  </w:t>
      </w:r>
      <w:r>
        <w:rPr>
          <w:rFonts w:ascii="Calibri" w:hAnsi="Calibri"/>
          <w:b/>
          <w:sz w:val="19"/>
        </w:rPr>
        <w:t>Use the paper's verbatim battery wording</w:t>
      </w:r>
      <w:r>
        <w:rPr>
          <w:rFonts w:ascii="Calibri" w:hAnsi="Calibri"/>
          <w:sz w:val="19"/>
        </w:rPr>
        <w:t xml:space="preserve"> (Table S10) so item-level comparison becomes valid.</w:t>
      </w:r>
    </w:p>
    <w:p>
      <w:pPr>
        <w:spacing w:after="60"/>
        <w:ind w:left="432" w:hanging="432"/>
      </w:pPr>
      <w:r>
        <w:rPr>
          <w:rFonts w:ascii="Calibri" w:hAnsi="Calibri"/>
          <w:b/>
          <w:sz w:val="19"/>
        </w:rPr>
        <w:t xml:space="preserve">4.  </w:t>
      </w:r>
      <w:r>
        <w:rPr>
          <w:rFonts w:ascii="Calibri" w:hAnsi="Calibri"/>
          <w:b/>
          <w:sz w:val="19"/>
        </w:rPr>
        <w:t>Re-run on Gemma-2-2B-IT</w:t>
      </w:r>
      <w:r>
        <w:rPr>
          <w:rFonts w:ascii="Calibri" w:hAnsi="Calibri"/>
          <w:sz w:val="19"/>
        </w:rPr>
        <w:t>, the cheapest of the paper's other two models, as a second data point.</w:t>
      </w:r>
    </w:p>
    <w:p>
      <w:pPr>
        <w:spacing w:before="220" w:after="100"/>
      </w:pPr>
      <w:r>
        <w:rPr>
          <w:rFonts w:ascii="Calibri" w:hAnsi="Calibri"/>
          <w:b/>
          <w:color w:val="1F3864"/>
          <w:sz w:val="22"/>
        </w:rPr>
        <w:t>Files</w:t>
      </w:r>
    </w:p>
    <w:p>
      <w:pPr>
        <w:spacing w:after="100"/>
      </w:pPr>
      <w:r>
        <w:rPr>
          <w:rFonts w:ascii="Consolas" w:hAnsi="Consolas"/>
          <w:sz w:val="19"/>
        </w:rPr>
        <w:t>build_corpus.py</w:t>
      </w:r>
      <w:r>
        <w:rPr>
          <w:rFonts w:ascii="Calibri" w:hAnsi="Calibri"/>
          <w:sz w:val="19"/>
        </w:rPr>
        <w:t xml:space="preserve"> → </w:t>
      </w:r>
      <w:r>
        <w:rPr>
          <w:rFonts w:ascii="Consolas" w:hAnsi="Consolas"/>
          <w:sz w:val="19"/>
        </w:rPr>
        <w:t>consciousness_pairs.jsonl</w:t>
      </w:r>
      <w:r>
        <w:rPr>
          <w:rFonts w:ascii="Calibri" w:hAnsi="Calibri"/>
          <w:sz w:val="19"/>
        </w:rPr>
        <w:t xml:space="preserve"> · </w:t>
      </w:r>
      <w:r>
        <w:rPr>
          <w:rFonts w:ascii="Consolas" w:hAnsi="Consolas"/>
          <w:sz w:val="19"/>
        </w:rPr>
        <w:t>consciousness_pairs.xlsx</w:t>
      </w:r>
      <w:r>
        <w:rPr>
          <w:rFonts w:ascii="Calibri" w:hAnsi="Calibri"/>
          <w:sz w:val="19"/>
        </w:rPr>
        <w:t xml:space="preserve"> (review workbook, Read Me tab) · </w:t>
      </w:r>
      <w:r>
        <w:rPr>
          <w:rFonts w:ascii="Consolas" w:hAnsi="Consolas"/>
          <w:sz w:val="19"/>
        </w:rPr>
        <w:t>extract_direction_mlx.py</w:t>
      </w:r>
      <w:r>
        <w:rPr>
          <w:rFonts w:ascii="Calibri" w:hAnsi="Calibri"/>
          <w:sz w:val="19"/>
        </w:rPr>
        <w:t xml:space="preserve"> → </w:t>
      </w:r>
      <w:r>
        <w:rPr>
          <w:rFonts w:ascii="Consolas" w:hAnsi="Consolas"/>
          <w:sz w:val="19"/>
        </w:rPr>
        <w:t>directions_llama8b_fixed.npz</w:t>
      </w:r>
      <w:r>
        <w:rPr>
          <w:rFonts w:ascii="Calibri" w:hAnsi="Calibri"/>
          <w:sz w:val="19"/>
        </w:rPr>
        <w:t xml:space="preserve"> · </w:t>
      </w:r>
      <w:r>
        <w:rPr>
          <w:rFonts w:ascii="Consolas" w:hAnsi="Consolas"/>
          <w:sz w:val="19"/>
        </w:rPr>
        <w:t>steer_sweep_mlx.py</w:t>
      </w:r>
      <w:r>
        <w:rPr>
          <w:rFonts w:ascii="Calibri" w:hAnsi="Calibri"/>
          <w:sz w:val="19"/>
        </w:rPr>
        <w:t xml:space="preserve"> → </w:t>
      </w:r>
      <w:r>
        <w:rPr>
          <w:rFonts w:ascii="Consolas" w:hAnsi="Consolas"/>
          <w:sz w:val="19"/>
        </w:rPr>
        <w:t>steer_sweep_results.json</w:t>
      </w:r>
      <w:r>
        <w:rPr>
          <w:rFonts w:ascii="Calibri" w:hAnsi="Calibri"/>
          <w:sz w:val="19"/>
        </w:rPr>
        <w:t xml:space="preserve"> · </w:t>
      </w:r>
      <w:r>
        <w:rPr>
          <w:rFonts w:ascii="Consolas" w:hAnsi="Consolas"/>
          <w:sz w:val="19"/>
        </w:rPr>
        <w:t>analysis.py</w:t>
      </w:r>
      <w:r>
        <w:rPr>
          <w:rFonts w:ascii="Calibri" w:hAnsi="Calibri"/>
          <w:sz w:val="19"/>
        </w:rPr>
        <w:t xml:space="preserve"> (shared scoring) · </w:t>
      </w:r>
      <w:r>
        <w:rPr>
          <w:rFonts w:ascii="Consolas" w:hAnsi="Consolas"/>
          <w:sz w:val="19"/>
        </w:rPr>
        <w:t>all_pairs_review.txt</w:t>
      </w:r>
    </w:p>
    <w:sectPr w:rsidR="00FC693F" w:rsidRPr="0006063C" w:rsidSect="00034616">
      <w:pgSz w:w="12240" w:h="15840"/>
      <w:pgMar w:top="893" w:right="1296" w:bottom="893"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