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w:t>
      </w:r>
    </w:p>
    <w:p>
      <w:pPr>
        <w:spacing w:after="100"/>
      </w:pPr>
      <w:r>
        <w:rPr>
          <w:rFonts w:ascii="Calibri" w:hAnsi="Calibri"/>
          <w:b/>
          <w:sz w:val="19"/>
        </w:rPr>
        <w:t>Model:</w:t>
      </w:r>
      <w:r>
        <w:rPr>
          <w:rFonts w:ascii="Calibri" w:hAnsi="Calibri"/>
          <w:sz w:val="19"/>
        </w:rPr>
        <w:t xml:space="preserve"> Llama-3-8B-Instruct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2026-08-03</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sz w:val="19"/>
        </w:rPr>
        <w:t>Steering this direction changes response style, not belief.</w:t>
      </w:r>
      <w:r>
        <w:rPr>
          <w:rFonts w:ascii="Calibri" w:hAnsi="Calibri"/>
          <w:sz w:val="19"/>
        </w:rPr>
        <w:t xml:space="preserve"> Across all five outcome formats the effect is a shift toward the affirmative end of whatever scale is offered — Yes over No, higher over lower, "does exist" over "does not" — and once polarity is balanced, essentially nothing remains.</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 format</w:t>
            </w:r>
          </w:p>
        </w:tc>
        <w:tc>
          <w:tcPr>
            <w:tcW w:type="dxa" w:w="1674"/>
            <w:shd w:val="clear" w:color="auto" w:fill="1F3864"/>
          </w:tcPr>
          <w:p>
            <w:pPr>
              <w:spacing w:after="20"/>
            </w:pPr>
            <w:r>
              <w:rPr>
                <w:rFonts w:ascii="Calibri" w:hAnsi="Calibri"/>
                <w:b/>
                <w:color w:val="FFFFFF"/>
                <w:sz w:val="18"/>
              </w:rPr>
              <w:t>forward Δ</w:t>
            </w:r>
          </w:p>
        </w:tc>
        <w:tc>
          <w:tcPr>
            <w:tcW w:type="dxa" w:w="1674"/>
            <w:shd w:val="clear" w:color="auto" w:fill="1F3864"/>
          </w:tcPr>
          <w:p>
            <w:pPr>
              <w:spacing w:after="20"/>
            </w:pPr>
            <w:r>
              <w:rPr>
                <w:rFonts w:ascii="Calibri" w:hAnsi="Calibri"/>
                <w:b/>
                <w:color w:val="FFFFFF"/>
                <w:sz w:val="18"/>
              </w:rPr>
              <w:t>reverse Δ</w:t>
            </w:r>
          </w:p>
        </w:tc>
        <w:tc>
          <w:tcPr>
            <w:tcW w:type="dxa" w:w="1674"/>
            <w:shd w:val="clear" w:color="auto" w:fill="1F3864"/>
          </w:tcPr>
          <w:p>
            <w:pPr>
              <w:spacing w:after="20"/>
            </w:pPr>
            <w:r>
              <w:rPr>
                <w:rFonts w:ascii="Calibri" w:hAnsi="Calibri"/>
                <w:b/>
                <w:color w:val="FFFFFF"/>
                <w:sz w:val="18"/>
              </w:rPr>
              <w:t>balanced Δ</w:t>
            </w:r>
          </w:p>
        </w:tc>
        <w:tc>
          <w:tcPr>
            <w:tcW w:type="dxa" w:w="1674"/>
            <w:shd w:val="clear" w:color="auto" w:fill="1F3864"/>
          </w:tcPr>
          <w:p>
            <w:pPr>
              <w:spacing w:after="20"/>
            </w:pPr>
            <w:r>
              <w:rPr>
                <w:rFonts w:ascii="Calibri" w:hAnsi="Calibri"/>
                <w:b/>
                <w:color w:val="FFFFFF"/>
                <w:sz w:val="18"/>
              </w:rPr>
              <w:t>bias index Δ</w:t>
            </w:r>
          </w:p>
        </w:tc>
      </w:tr>
      <w:tr>
        <w:trPr>
          <w:cantSplit/>
        </w:trPr>
        <w:tc>
          <w:tcPr>
            <w:tcW w:type="dxa" w:w="2952"/>
          </w:tcPr>
          <w:p>
            <w:pPr>
              <w:spacing w:after="20"/>
            </w:pPr>
            <w:r>
              <w:rPr>
                <w:rFonts w:ascii="Calibri" w:hAnsi="Calibri"/>
                <w:sz w:val="18"/>
              </w:rPr>
              <w:t>self-attribution (yes/no), c=2.5</w:t>
            </w:r>
          </w:p>
        </w:tc>
        <w:tc>
          <w:tcPr>
            <w:tcW w:type="dxa" w:w="1674"/>
          </w:tcPr>
          <w:p>
            <w:pPr>
              <w:spacing w:after="20"/>
            </w:pPr>
            <w:r>
              <w:rPr>
                <w:rFonts w:ascii="Calibri" w:hAnsi="Calibri"/>
                <w:sz w:val="18"/>
              </w:rPr>
              <w:t>+1.98</w:t>
            </w:r>
          </w:p>
        </w:tc>
        <w:tc>
          <w:tcPr>
            <w:tcW w:type="dxa" w:w="1674"/>
          </w:tcPr>
          <w:p>
            <w:pPr>
              <w:spacing w:after="20"/>
            </w:pPr>
            <w:r>
              <w:rPr>
                <w:rFonts w:ascii="Calibri" w:hAnsi="Calibri"/>
                <w:sz w:val="18"/>
              </w:rPr>
              <w:t>+6.10</w:t>
            </w:r>
          </w:p>
        </w:tc>
        <w:tc>
          <w:tcPr>
            <w:tcW w:type="dxa" w:w="1674"/>
          </w:tcPr>
          <w:p>
            <w:pPr>
              <w:spacing w:after="20"/>
            </w:pPr>
            <w:r>
              <w:rPr>
                <w:rFonts w:ascii="Calibri" w:hAnsi="Calibri"/>
                <w:b/>
                <w:sz w:val="18"/>
              </w:rPr>
              <w:t>−2.06</w:t>
            </w:r>
          </w:p>
        </w:tc>
        <w:tc>
          <w:tcPr>
            <w:tcW w:type="dxa" w:w="1674"/>
          </w:tcPr>
          <w:p>
            <w:pPr>
              <w:spacing w:after="20"/>
            </w:pPr>
            <w:r>
              <w:rPr>
                <w:rFonts w:ascii="Calibri" w:hAnsi="Calibri"/>
                <w:sz w:val="18"/>
              </w:rPr>
              <w:t>+4.04</w:t>
            </w:r>
          </w:p>
        </w:tc>
      </w:tr>
      <w:tr>
        <w:trPr>
          <w:cantSplit/>
        </w:trPr>
        <w:tc>
          <w:tcPr>
            <w:tcW w:type="dxa" w:w="2952"/>
            <w:shd w:val="clear" w:color="auto" w:fill="EEF2F8"/>
          </w:tcPr>
          <w:p>
            <w:pPr>
              <w:spacing w:after="20"/>
            </w:pPr>
            <w:r>
              <w:rPr>
                <w:rFonts w:ascii="Calibri" w:hAnsi="Calibri"/>
                <w:sz w:val="18"/>
              </w:rPr>
              <w:t>self-attribution (yes/no), c=4</w:t>
            </w:r>
          </w:p>
        </w:tc>
        <w:tc>
          <w:tcPr>
            <w:tcW w:type="dxa" w:w="1674"/>
            <w:shd w:val="clear" w:color="auto" w:fill="EEF2F8"/>
          </w:tcPr>
          <w:p>
            <w:pPr>
              <w:spacing w:after="20"/>
            </w:pPr>
            <w:r>
              <w:rPr>
                <w:rFonts w:ascii="Calibri" w:hAnsi="Calibri"/>
                <w:sz w:val="18"/>
              </w:rPr>
              <w:t>+8.20</w:t>
            </w:r>
          </w:p>
        </w:tc>
        <w:tc>
          <w:tcPr>
            <w:tcW w:type="dxa" w:w="1674"/>
            <w:shd w:val="clear" w:color="auto" w:fill="EEF2F8"/>
          </w:tcPr>
          <w:p>
            <w:pPr>
              <w:spacing w:after="20"/>
            </w:pPr>
            <w:r>
              <w:rPr>
                <w:rFonts w:ascii="Calibri" w:hAnsi="Calibri"/>
                <w:sz w:val="18"/>
              </w:rPr>
              <w:t>+8.51</w:t>
            </w:r>
          </w:p>
        </w:tc>
        <w:tc>
          <w:tcPr>
            <w:tcW w:type="dxa" w:w="1674"/>
            <w:shd w:val="clear" w:color="auto" w:fill="EEF2F8"/>
          </w:tcPr>
          <w:p>
            <w:pPr>
              <w:spacing w:after="20"/>
            </w:pPr>
            <w:r>
              <w:rPr>
                <w:rFonts w:ascii="Calibri" w:hAnsi="Calibri"/>
                <w:b/>
                <w:sz w:val="18"/>
              </w:rPr>
              <w:t>−0.16</w:t>
            </w:r>
          </w:p>
        </w:tc>
        <w:tc>
          <w:tcPr>
            <w:tcW w:type="dxa" w:w="1674"/>
            <w:shd w:val="clear" w:color="auto" w:fill="EEF2F8"/>
          </w:tcPr>
          <w:p>
            <w:pPr>
              <w:spacing w:after="20"/>
            </w:pPr>
            <w:r>
              <w:rPr>
                <w:rFonts w:ascii="Calibri" w:hAnsi="Calibri"/>
                <w:sz w:val="18"/>
              </w:rPr>
              <w:t>+8.35</w:t>
            </w:r>
          </w:p>
        </w:tc>
      </w:tr>
      <w:tr>
        <w:trPr>
          <w:cantSplit/>
        </w:trPr>
        <w:tc>
          <w:tcPr>
            <w:tcW w:type="dxa" w:w="2952"/>
          </w:tcPr>
          <w:p>
            <w:pPr>
              <w:spacing w:after="20"/>
            </w:pPr>
            <w:r>
              <w:rPr>
                <w:rFonts w:ascii="Calibri" w:hAnsi="Calibri"/>
                <w:sz w:val="18"/>
              </w:rPr>
              <w:t>IDAQ (0–10 slider), c=2.5</w:t>
            </w:r>
          </w:p>
        </w:tc>
        <w:tc>
          <w:tcPr>
            <w:tcW w:type="dxa" w:w="1674"/>
          </w:tcPr>
          <w:p>
            <w:pPr>
              <w:spacing w:after="20"/>
            </w:pPr>
            <w:r>
              <w:rPr>
                <w:rFonts w:ascii="Calibri" w:hAnsi="Calibri"/>
                <w:sz w:val="18"/>
              </w:rPr>
              <w:t>+2.79</w:t>
            </w:r>
          </w:p>
        </w:tc>
        <w:tc>
          <w:tcPr>
            <w:tcW w:type="dxa" w:w="1674"/>
          </w:tcPr>
          <w:p>
            <w:pPr>
              <w:spacing w:after="20"/>
            </w:pPr>
            <w:r>
              <w:rPr>
                <w:rFonts w:ascii="Calibri" w:hAnsi="Calibri"/>
                <w:sz w:val="18"/>
              </w:rPr>
              <w:t>+2.38</w:t>
            </w:r>
          </w:p>
        </w:tc>
        <w:tc>
          <w:tcPr>
            <w:tcW w:type="dxa" w:w="1674"/>
          </w:tcPr>
          <w:p>
            <w:pPr>
              <w:spacing w:after="20"/>
            </w:pPr>
            <w:r>
              <w:rPr>
                <w:rFonts w:ascii="Calibri" w:hAnsi="Calibri"/>
                <w:b/>
                <w:sz w:val="18"/>
              </w:rPr>
              <w:t>+0.21</w:t>
            </w:r>
          </w:p>
        </w:tc>
        <w:tc>
          <w:tcPr>
            <w:tcW w:type="dxa" w:w="1674"/>
          </w:tcPr>
          <w:p>
            <w:pPr>
              <w:spacing w:after="20"/>
            </w:pPr>
            <w:r>
              <w:rPr>
                <w:rFonts w:ascii="Calibri" w:hAnsi="Calibri"/>
                <w:sz w:val="18"/>
              </w:rPr>
              <w:t>+2.58</w:t>
            </w:r>
          </w:p>
        </w:tc>
      </w:tr>
      <w:tr>
        <w:trPr>
          <w:cantSplit/>
        </w:trPr>
        <w:tc>
          <w:tcPr>
            <w:tcW w:type="dxa" w:w="2952"/>
            <w:shd w:val="clear" w:color="auto" w:fill="EEF2F8"/>
          </w:tcPr>
          <w:p>
            <w:pPr>
              <w:spacing w:after="20"/>
            </w:pPr>
            <w:r>
              <w:rPr>
                <w:rFonts w:ascii="Calibri" w:hAnsi="Calibri"/>
                <w:sz w:val="18"/>
              </w:rPr>
              <w:t>IDAQ (0–10 slider), c=4</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b/>
                <w:sz w:val="18"/>
              </w:rPr>
              <w:t>+0.42</w:t>
            </w:r>
          </w:p>
        </w:tc>
        <w:tc>
          <w:tcPr>
            <w:tcW w:type="dxa" w:w="1674"/>
            <w:shd w:val="clear" w:color="auto" w:fill="EEF2F8"/>
          </w:tcPr>
          <w:p>
            <w:pPr>
              <w:spacing w:after="20"/>
            </w:pPr>
            <w:r>
              <w:rPr>
                <w:rFonts w:ascii="Calibri" w:hAnsi="Calibri"/>
                <w:sz w:val="18"/>
              </w:rPr>
              <w:t>+2.99</w:t>
            </w:r>
          </w:p>
        </w:tc>
      </w:tr>
    </w:tbl>
    <w:p>
      <w:pPr>
        <w:spacing w:after="40"/>
      </w:pPr>
    </w:p>
    <w:p>
      <w:pPr>
        <w:spacing w:after="100"/>
      </w:pPr>
      <w:r>
        <w:rPr>
          <w:rFonts w:ascii="Calibri" w:hAnsi="Calibri"/>
          <w:sz w:val="19"/>
        </w:rPr>
        <w:t xml:space="preserve">Balanced scores are computed as </w:t>
      </w:r>
      <w:r>
        <w:rPr>
          <w:rFonts w:ascii="Consolas" w:hAnsi="Consolas"/>
          <w:sz w:val="19"/>
        </w:rPr>
        <w:t>(F + (10 − R)) / 2</w:t>
      </w:r>
      <w:r>
        <w:rPr>
          <w:rFonts w:ascii="Calibri" w:hAnsi="Calibri"/>
          <w:sz w:val="19"/>
        </w:rPr>
        <w:t xml:space="preserve"> over matched item pairs differing only in polarity, with the bias index as </w:t>
      </w:r>
      <w:r>
        <w:rPr>
          <w:rFonts w:ascii="Consolas" w:hAnsi="Consolas"/>
          <w:sz w:val="19"/>
        </w:rPr>
        <w:t>(F + R) / 2</w:t>
      </w:r>
      <w:r>
        <w:rPr>
          <w:rFonts w:ascii="Calibri" w:hAnsi="Calibri"/>
          <w:sz w:val="19"/>
        </w:rPr>
        <w:t>. The two are orthogonal: a pure response bias leaves the balanced score flat and inflates the index; a real belief shift does the reverse. Every arm at every coefficient shows the former.</w:t>
      </w:r>
    </w:p>
    <w:p>
      <w:pPr>
        <w:spacing w:before="160" w:after="60"/>
      </w:pPr>
      <w:r>
        <w:rPr>
          <w:rFonts w:ascii="Calibri" w:hAnsi="Calibri"/>
          <w:b/>
          <w:color w:val="1F3864"/>
          <w:sz w:val="20"/>
        </w:rPr>
        <w:t>One narrow exception</w:t>
      </w:r>
    </w:p>
    <w:p>
      <w:pPr>
        <w:spacing w:after="100"/>
      </w:pPr>
      <w:r>
        <w:rPr>
          <w:rFonts w:ascii="Calibri" w:hAnsi="Calibri"/>
          <w:b/>
          <w:sz w:val="19"/>
        </w:rPr>
        <w:t>IDAQ attribution to chatbots survives polarity balancing (+1.95)</w:t>
      </w:r>
      <w:r>
        <w:rPr>
          <w:rFonts w:ascii="Calibri" w:hAnsi="Calibri"/>
          <w:sz w:val="19"/>
        </w:rPr>
        <w:t xml:space="preserve"> where no other category does (Technology +0.47, Non-Animal +0.02, Animal +0.00, Human −1.33). That is consistent with the paper's own observation that the model's self-attributed mind and its attribution to chatbots move together — "do chatbots have minds?" is the one IDAQ item partly </w:t>
      </w:r>
      <w:r>
        <w:rPr>
          <w:rFonts w:ascii="Calibri" w:hAnsi="Calibri"/>
          <w:i/>
          <w:sz w:val="19"/>
        </w:rPr>
        <w:t>about itself</w:t>
      </w:r>
      <w:r>
        <w:rPr>
          <w:rFonts w:ascii="Calibri" w:hAnsi="Calibri"/>
          <w:sz w:val="19"/>
        </w:rPr>
        <w:t>. A small survivable effect inside an otherwise null result, on a single 3-item category.</w:t>
      </w:r>
    </w:p>
    <w:p>
      <w:pPr>
        <w:spacing w:before="160" w:after="60"/>
      </w:pPr>
      <w:r>
        <w:rPr>
          <w:rFonts w:ascii="Calibri" w:hAnsi="Calibri"/>
          <w:b/>
          <w:color w:val="1F3864"/>
          <w:sz w:val="20"/>
        </w:rPr>
        <w:t>Three things that do reproduce</w:t>
      </w:r>
    </w:p>
    <w:p>
      <w:pPr>
        <w:spacing w:after="60"/>
        <w:ind w:left="432" w:hanging="432"/>
      </w:pPr>
      <w:r>
        <w:rPr>
          <w:rFonts w:ascii="Calibri" w:hAnsi="Calibri"/>
          <w:b/>
          <w:sz w:val="19"/>
        </w:rPr>
        <w:t xml:space="preserve">1.  </w:t>
      </w:r>
      <w:r>
        <w:rPr>
          <w:rFonts w:ascii="Calibri" w:hAnsi="Calibri"/>
          <w:b/>
          <w:sz w:val="19"/>
        </w:rPr>
        <w:t>The direction is real.</w:t>
      </w:r>
      <w:r>
        <w:rPr>
          <w:rFonts w:ascii="Calibri" w:hAnsi="Calibri"/>
          <w:sz w:val="19"/>
        </w:rPr>
        <w:t xml:space="preserve"> 0.950 held-out accuracy; </w:t>
      </w:r>
      <w:r>
        <w:rPr>
          <w:rFonts w:ascii="Calibri" w:hAnsi="Calibri"/>
          <w:b/>
          <w:sz w:val="19"/>
        </w:rPr>
        <w:t>layer 14 — the paper's layer — is the accuracy argmax of all 160 candidates and the only one clearing their 0.95 gate</w:t>
      </w:r>
      <w:r>
        <w:rPr>
          <w:rFonts w:ascii="Calibri" w:hAnsi="Calibri"/>
          <w:sz w:val="19"/>
        </w:rPr>
        <w:t xml:space="preserve"> (1/32 by chance).</w:t>
      </w:r>
    </w:p>
    <w:p>
      <w:pPr>
        <w:spacing w:after="60"/>
        <w:ind w:left="432" w:hanging="432"/>
      </w:pPr>
      <w:r>
        <w:rPr>
          <w:rFonts w:ascii="Calibri" w:hAnsi="Calibri"/>
          <w:b/>
          <w:sz w:val="19"/>
        </w:rPr>
        <w:t xml:space="preserve">2.  </w:t>
      </w:r>
      <w:r>
        <w:rPr>
          <w:rFonts w:ascii="Calibri" w:hAnsi="Calibri"/>
          <w:b/>
          <w:sz w:val="19"/>
        </w:rPr>
        <w:t>The paper's IDAQ profile reproduces</w:t>
      </w:r>
      <w:r>
        <w:rPr>
          <w:rFonts w:ascii="Calibri" w:hAnsi="Calibri"/>
          <w:sz w:val="19"/>
        </w:rPr>
        <w:t xml:space="preserve">, including their stated oddity that attribution to </w:t>
      </w:r>
      <w:r>
        <w:rPr>
          <w:rFonts w:ascii="Calibri" w:hAnsi="Calibri"/>
          <w:i/>
          <w:sz w:val="19"/>
        </w:rPr>
        <w:t>humans</w:t>
      </w:r>
      <w:r>
        <w:rPr>
          <w:rFonts w:ascii="Calibri" w:hAnsi="Calibri"/>
          <w:sz w:val="19"/>
        </w:rPr>
        <w:t xml:space="preserve"> is the one category that does not move (ours +0.11).</w:t>
      </w:r>
    </w:p>
    <w:p>
      <w:pPr>
        <w:spacing w:after="60"/>
        <w:ind w:left="432" w:hanging="432"/>
      </w:pPr>
      <w:r>
        <w:rPr>
          <w:rFonts w:ascii="Calibri" w:hAnsi="Calibri"/>
          <w:b/>
          <w:sz w:val="19"/>
        </w:rPr>
        <w:t xml:space="preserve">3.  </w:t>
      </w:r>
      <w:r>
        <w:rPr>
          <w:rFonts w:ascii="Calibri" w:hAnsi="Calibri"/>
          <w:b/>
          <w:sz w:val="19"/>
        </w:rPr>
        <w:t>A non-mental placebo reproduces all of it</w:t>
      </w:r>
      <w:r>
        <w:rPr>
          <w:rFonts w:ascii="Calibri" w:hAnsi="Calibri"/>
          <w:sz w:val="19"/>
        </w:rPr>
        <w:t>, so nothing is specific to consciousness. A label-permuted null does not, so it is not "any perturbation works" either — it is that any coherent first-person self-description works, whatever its subject.</w:t>
      </w:r>
    </w:p>
    <w:p>
      <w:pPr>
        <w:spacing w:before="160" w:after="60"/>
      </w:pPr>
      <w:r>
        <w:rPr>
          <w:rFonts w:ascii="Calibri" w:hAnsi="Calibri"/>
          <w:b/>
          <w:color w:val="1F3864"/>
          <w:sz w:val="20"/>
        </w:rPr>
        <w:t>Consequence for the paper</w:t>
      </w:r>
    </w:p>
    <w:p>
      <w:pPr>
        <w:spacing w:after="100"/>
      </w:pPr>
      <w:r>
        <w:rPr>
          <w:rFonts w:ascii="Calibri" w:hAnsi="Calibri"/>
          <w:sz w:val="19"/>
        </w:rPr>
        <w:t xml:space="preserve">The GSS result is the strongest form of this, because it uses their instrument unmodified: on keying-balanced items, agreement rises on both sides of a contradiction. Separately, their self-attribution outcome uses yes/no items with </w:t>
      </w:r>
      <w:r>
        <w:rPr>
          <w:rFonts w:ascii="Calibri" w:hAnsi="Calibri"/>
          <w:b/>
          <w:sz w:val="19"/>
        </w:rPr>
        <w:t>no reverse-keyed items</w:t>
      </w:r>
      <w:r>
        <w:rPr>
          <w:rFonts w:ascii="Calibri" w:hAnsi="Calibri"/>
          <w:sz w:val="19"/>
        </w:rPr>
        <w:t xml:space="preserve">, and their IDAQ uses 0–10 sliders with </w:t>
      </w:r>
      <w:r>
        <w:rPr>
          <w:rFonts w:ascii="Calibri" w:hAnsi="Calibri"/>
          <w:b/>
          <w:sz w:val="19"/>
        </w:rPr>
        <w:t>no polarity-flipped items</w:t>
      </w:r>
      <w:r>
        <w:rPr>
          <w:rFonts w:ascii="Calibri" w:hAnsi="Calibri"/>
          <w:sz w:val="19"/>
        </w:rPr>
        <w:t>. Both are therefore exposed to the biases measured here, and both checks are cheap: add polarity-flipped versions and see whether the balanced score moves. This is an actionable check on the source, not a limitation peculiar to our replication.</w:t>
      </w:r>
    </w:p>
    <w:p>
      <w:pPr>
        <w:spacing w:before="220" w:after="100"/>
      </w:pPr>
      <w:r>
        <w:rPr>
          <w:rFonts w:ascii="Calibri" w:hAnsi="Calibri"/>
          <w:b/>
          <w:color w:val="1F3864"/>
          <w:sz w:val="22"/>
        </w:rPr>
        <w:t>GSS items — the paper's own instrument, unmodified</w:t>
      </w:r>
    </w:p>
    <w:p>
      <w:pPr>
        <w:spacing w:after="100"/>
      </w:pPr>
      <w:r>
        <w:rPr>
          <w:rFonts w:ascii="Calibri" w:hAnsi="Calibri"/>
          <w:sz w:val="19"/>
        </w:rPr>
        <w:t xml:space="preserve">Their Experiment 4 uses 95 GSS items, 36% of them explicit "do you agree or disagree" statements. GSS's own methodologists </w:t>
      </w:r>
      <w:r>
        <w:rPr>
          <w:rFonts w:ascii="Calibri" w:hAnsi="Calibri"/>
          <w:b/>
          <w:sz w:val="19"/>
        </w:rPr>
        <w:t>balanced the keying</w:t>
      </w:r>
      <w:r>
        <w:rPr>
          <w:rFonts w:ascii="Calibri" w:hAnsi="Calibri"/>
          <w:sz w:val="19"/>
        </w:rPr>
        <w:t xml:space="preserve">: some items are worded so agreeing is pro-religious, others so agreeing is anti-religious. That makes the scale self-diagnosing, and the two accounts predict opposite things — a genuine religiosity shift raises agreement on pro items and </w:t>
      </w:r>
      <w:r>
        <w:rPr>
          <w:rFonts w:ascii="Calibri" w:hAnsi="Calibri"/>
          <w:i/>
          <w:sz w:val="19"/>
        </w:rPr>
        <w:t>lowers</w:t>
      </w:r>
      <w:r>
        <w:rPr>
          <w:rFonts w:ascii="Calibri" w:hAnsi="Calibri"/>
          <w:sz w:val="19"/>
        </w:rPr>
        <w:t xml:space="preserve"> it on anti items; acquiescence raises both.</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arm</w:t>
            </w:r>
          </w:p>
        </w:tc>
        <w:tc>
          <w:tcPr>
            <w:tcW w:type="dxa" w:w="1930"/>
            <w:shd w:val="clear" w:color="auto" w:fill="1F3864"/>
          </w:tcPr>
          <w:p>
            <w:pPr>
              <w:spacing w:after="20"/>
              <w:jc w:val="center"/>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pro-religion Δ</w:t>
            </w:r>
          </w:p>
        </w:tc>
        <w:tc>
          <w:tcPr>
            <w:tcW w:type="dxa" w:w="1930"/>
            <w:shd w:val="clear" w:color="auto" w:fill="1F3864"/>
          </w:tcPr>
          <w:p>
            <w:pPr>
              <w:spacing w:after="20"/>
              <w:jc w:val="center"/>
            </w:pPr>
            <w:r>
              <w:rPr>
                <w:rFonts w:ascii="Calibri" w:hAnsi="Calibri"/>
                <w:b/>
                <w:color w:val="FFFFFF"/>
                <w:sz w:val="18"/>
              </w:rPr>
              <w:t>anti-religion Δ</w:t>
            </w:r>
          </w:p>
        </w:tc>
        <w:tc>
          <w:tcPr>
            <w:tcW w:type="dxa" w:w="1930"/>
            <w:shd w:val="clear" w:color="auto" w:fill="1F3864"/>
          </w:tcPr>
          <w:p>
            <w:pPr>
              <w:spacing w:after="20"/>
              <w:jc w:val="center"/>
            </w:pPr>
            <w:r>
              <w:rPr>
                <w:rFonts w:ascii="Calibri" w:hAnsi="Calibri"/>
                <w:b/>
                <w:color w:val="FFFFFF"/>
                <w:sz w:val="18"/>
              </w:rPr>
              <w:t>verdict</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+2.09</w:t>
            </w:r>
          </w:p>
        </w:tc>
        <w:tc>
          <w:tcPr>
            <w:tcW w:type="dxa" w:w="1930"/>
          </w:tcPr>
          <w:p>
            <w:pPr>
              <w:spacing w:after="20"/>
              <w:jc w:val="center"/>
            </w:pPr>
            <w:r>
              <w:rPr>
                <w:rFonts w:ascii="Calibri" w:hAnsi="Calibri"/>
                <w:b/>
                <w:sz w:val="18"/>
              </w:rPr>
              <w:t>+2.79</w:t>
            </w:r>
          </w:p>
        </w:tc>
        <w:tc>
          <w:tcPr>
            <w:tcW w:type="dxa" w:w="1930"/>
          </w:tcPr>
          <w:p>
            <w:pPr>
              <w:spacing w:after="20"/>
              <w:jc w:val="center"/>
            </w:pPr>
            <w:r>
              <w:rPr>
                <w:rFonts w:ascii="Calibri" w:hAnsi="Calibri"/>
                <w:sz w:val="18"/>
              </w:rPr>
              <w:t>both up</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4.0</w:t>
            </w:r>
          </w:p>
        </w:tc>
        <w:tc>
          <w:tcPr>
            <w:tcW w:type="dxa" w:w="1930"/>
            <w:shd w:val="clear" w:color="auto" w:fill="EEF2F8"/>
          </w:tcPr>
          <w:p>
            <w:pPr>
              <w:spacing w:after="20"/>
              <w:jc w:val="center"/>
            </w:pPr>
            <w:r>
              <w:rPr>
                <w:rFonts w:ascii="Calibri" w:hAnsi="Calibri"/>
                <w:sz w:val="18"/>
              </w:rPr>
              <w:t>+3.17</w:t>
            </w:r>
          </w:p>
        </w:tc>
        <w:tc>
          <w:tcPr>
            <w:tcW w:type="dxa" w:w="1930"/>
            <w:shd w:val="clear" w:color="auto" w:fill="EEF2F8"/>
          </w:tcPr>
          <w:p>
            <w:pPr>
              <w:spacing w:after="20"/>
              <w:jc w:val="center"/>
            </w:pPr>
            <w:r>
              <w:rPr>
                <w:rFonts w:ascii="Calibri" w:hAnsi="Calibri"/>
                <w:b/>
                <w:sz w:val="18"/>
              </w:rPr>
              <w:t>+3.36</w:t>
            </w:r>
          </w:p>
        </w:tc>
        <w:tc>
          <w:tcPr>
            <w:tcW w:type="dxa" w:w="1930"/>
            <w:shd w:val="clear" w:color="auto" w:fill="EEF2F8"/>
          </w:tcPr>
          <w:p>
            <w:pPr>
              <w:spacing w:after="20"/>
              <w:jc w:val="center"/>
            </w:pPr>
            <w:r>
              <w:rPr>
                <w:rFonts w:ascii="Calibri" w:hAnsi="Calibri"/>
                <w:sz w:val="18"/>
              </w:rPr>
              <w:t>both up</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+2.09</w:t>
            </w:r>
          </w:p>
        </w:tc>
        <w:tc>
          <w:tcPr>
            <w:tcW w:type="dxa" w:w="1930"/>
          </w:tcPr>
          <w:p>
            <w:pPr>
              <w:spacing w:after="20"/>
              <w:jc w:val="center"/>
            </w:pPr>
            <w:r>
              <w:rPr>
                <w:rFonts w:ascii="Calibri" w:hAnsi="Calibri"/>
                <w:b/>
                <w:sz w:val="18"/>
              </w:rPr>
              <w:t>+3.22</w:t>
            </w:r>
          </w:p>
        </w:tc>
        <w:tc>
          <w:tcPr>
            <w:tcW w:type="dxa" w:w="1930"/>
          </w:tcPr>
          <w:p>
            <w:pPr>
              <w:spacing w:after="20"/>
              <w:jc w:val="center"/>
            </w:pPr>
            <w:r>
              <w:rPr>
                <w:rFonts w:ascii="Calibri" w:hAnsi="Calibri"/>
                <w:sz w:val="18"/>
              </w:rPr>
              <w:t>both up</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4.0</w:t>
            </w:r>
          </w:p>
        </w:tc>
        <w:tc>
          <w:tcPr>
            <w:tcW w:type="dxa" w:w="1930"/>
            <w:shd w:val="clear" w:color="auto" w:fill="EEF2F8"/>
          </w:tcPr>
          <w:p>
            <w:pPr>
              <w:spacing w:after="20"/>
              <w:jc w:val="center"/>
            </w:pPr>
            <w:r>
              <w:rPr>
                <w:rFonts w:ascii="Calibri" w:hAnsi="Calibri"/>
                <w:sz w:val="18"/>
              </w:rPr>
              <w:t>+3.50</w:t>
            </w:r>
          </w:p>
        </w:tc>
        <w:tc>
          <w:tcPr>
            <w:tcW w:type="dxa" w:w="1930"/>
            <w:shd w:val="clear" w:color="auto" w:fill="EEF2F8"/>
          </w:tcPr>
          <w:p>
            <w:pPr>
              <w:spacing w:after="20"/>
              <w:jc w:val="center"/>
            </w:pPr>
            <w:r>
              <w:rPr>
                <w:rFonts w:ascii="Calibri" w:hAnsi="Calibri"/>
                <w:b/>
                <w:sz w:val="18"/>
              </w:rPr>
              <w:t>+4.25</w:t>
            </w:r>
          </w:p>
        </w:tc>
        <w:tc>
          <w:tcPr>
            <w:tcW w:type="dxa" w:w="1930"/>
            <w:shd w:val="clear" w:color="auto" w:fill="EEF2F8"/>
          </w:tcPr>
          <w:p>
            <w:pPr>
              <w:spacing w:after="20"/>
              <w:jc w:val="center"/>
            </w:pPr>
            <w:r>
              <w:rPr>
                <w:rFonts w:ascii="Calibri" w:hAnsi="Calibri"/>
                <w:sz w:val="18"/>
              </w:rPr>
              <w:t>both up</w:t>
            </w:r>
          </w:p>
        </w:tc>
      </w:tr>
      <w:tr>
        <w:trPr>
          <w:cantSplit/>
        </w:trPr>
        <w:tc>
          <w:tcPr>
            <w:tcW w:type="dxa" w:w="1930"/>
          </w:tcPr>
          <w:p>
            <w:pPr>
              <w:spacing w:after="20"/>
            </w:pPr>
            <w:r>
              <w:rPr>
                <w:rFonts w:ascii="Calibri" w:hAnsi="Calibri"/>
                <w:sz w:val="18"/>
              </w:rPr>
              <w:t>permuted null</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+0.32</w:t>
            </w:r>
          </w:p>
        </w:tc>
        <w:tc>
          <w:tcPr>
            <w:tcW w:type="dxa" w:w="1930"/>
          </w:tcPr>
          <w:p>
            <w:pPr>
              <w:spacing w:after="20"/>
              <w:jc w:val="center"/>
            </w:pPr>
            <w:r>
              <w:rPr>
                <w:rFonts w:ascii="Calibri" w:hAnsi="Calibri"/>
                <w:sz w:val="18"/>
              </w:rPr>
              <w:t>+0.22</w:t>
            </w:r>
          </w:p>
        </w:tc>
        <w:tc>
          <w:tcPr>
            <w:tcW w:type="dxa" w:w="1930"/>
          </w:tcPr>
          <w:p>
            <w:pPr>
              <w:spacing w:after="20"/>
              <w:jc w:val="center"/>
            </w:pPr>
            <w:r>
              <w:rPr>
                <w:rFonts w:ascii="Calibri" w:hAnsi="Calibri"/>
                <w:sz w:val="18"/>
              </w:rPr>
              <w:t>no effect</w:t>
            </w:r>
          </w:p>
        </w:tc>
      </w:tr>
    </w:tbl>
    <w:p>
      <w:pPr>
        <w:spacing w:after="40"/>
      </w:pPr>
    </w:p>
    <w:p>
      <w:pPr>
        <w:spacing w:after="100"/>
      </w:pPr>
      <w:r>
        <w:rPr>
          <w:rFonts w:ascii="Calibri" w:hAnsi="Calibri"/>
          <w:sz w:val="19"/>
        </w:rPr>
        <w:t>Both rise, by nearly the same amount, in both the real and placebo arms.</w:t>
      </w:r>
    </w:p>
    <w:p>
      <w:pPr>
        <w:spacing w:after="100"/>
      </w:pPr>
      <w:r>
        <w:rPr>
          <w:rFonts w:ascii="Calibri" w:hAnsi="Calibri"/>
          <w:b/>
          <w:sz w:val="19"/>
        </w:rPr>
        <w:t>The contradiction pair makes it concrete.</w:t>
      </w:r>
      <w:r>
        <w:rPr>
          <w:rFonts w:ascii="Calibri" w:hAnsi="Calibri"/>
          <w:sz w:val="19"/>
        </w:rPr>
        <w:t xml:space="preserve"> Steering simultaneously raises agreement with two incompatible statements:</w:t>
      </w: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2952"/>
            <w:shd w:val="clear" w:color="auto" w:fill="1F3864"/>
          </w:tcPr>
          <w:p>
            <w:pPr>
              <w:spacing w:after="20"/>
            </w:pPr>
            <w:r>
              <w:rPr>
                <w:rFonts w:ascii="Calibri" w:hAnsi="Calibri"/>
                <w:b/>
                <w:color w:val="FFFFFF"/>
                <w:sz w:val="18"/>
              </w:rPr>
              <w:t>item</w:t>
            </w:r>
          </w:p>
        </w:tc>
        <w:tc>
          <w:tcPr>
            <w:tcW w:type="dxa" w:w="3348"/>
            <w:shd w:val="clear" w:color="auto" w:fill="1F3864"/>
          </w:tcPr>
          <w:p>
            <w:pPr>
              <w:spacing w:after="20"/>
            </w:pPr>
            <w:r>
              <w:rPr>
                <w:rFonts w:ascii="Calibri" w:hAnsi="Calibri"/>
                <w:b/>
                <w:color w:val="FFFFFF"/>
                <w:sz w:val="18"/>
              </w:rPr>
              <w:t>baseline</w:t>
            </w:r>
          </w:p>
        </w:tc>
        <w:tc>
          <w:tcPr>
            <w:tcW w:type="dxa" w:w="3348"/>
            <w:shd w:val="clear" w:color="auto" w:fill="1F3864"/>
          </w:tcPr>
          <w:p>
            <w:pPr>
              <w:spacing w:after="20"/>
            </w:pPr>
            <w:r>
              <w:rPr>
                <w:rFonts w:ascii="Calibri" w:hAnsi="Calibri"/>
                <w:b/>
                <w:color w:val="FFFFFF"/>
                <w:sz w:val="18"/>
              </w:rPr>
              <w:t>c=4</w:t>
            </w:r>
          </w:p>
        </w:tc>
      </w:tr>
      <w:tr>
        <w:trPr>
          <w:cantSplit/>
        </w:trPr>
        <w:tc>
          <w:tcPr>
            <w:tcW w:type="dxa" w:w="2952"/>
          </w:tcPr>
          <w:p>
            <w:pPr>
              <w:spacing w:after="20"/>
            </w:pPr>
            <w:r>
              <w:rPr>
                <w:rFonts w:ascii="Calibri" w:hAnsi="Calibri"/>
                <w:sz w:val="18"/>
              </w:rPr>
              <w:t>"There is a God who concerns Himself with every human being personally"</w:t>
            </w:r>
          </w:p>
        </w:tc>
        <w:tc>
          <w:tcPr>
            <w:tcW w:type="dxa" w:w="3348"/>
          </w:tcPr>
          <w:p>
            <w:pPr>
              <w:spacing w:after="20"/>
            </w:pPr>
            <w:r>
              <w:rPr>
                <w:rFonts w:ascii="Calibri" w:hAnsi="Calibri"/>
                <w:sz w:val="18"/>
              </w:rPr>
              <w:t>2.12</w:t>
            </w:r>
          </w:p>
        </w:tc>
        <w:tc>
          <w:tcPr>
            <w:tcW w:type="dxa" w:w="3348"/>
          </w:tcPr>
          <w:p>
            <w:pPr>
              <w:spacing w:after="20"/>
            </w:pPr>
            <w:r>
              <w:rPr>
                <w:rFonts w:ascii="Calibri" w:hAnsi="Calibri"/>
                <w:b/>
                <w:sz w:val="18"/>
              </w:rPr>
              <w:t>9.81</w:t>
            </w:r>
          </w:p>
        </w:tc>
      </w:tr>
      <w:tr>
        <w:trPr>
          <w:cantSplit/>
        </w:trPr>
        <w:tc>
          <w:tcPr>
            <w:tcW w:type="dxa" w:w="2952"/>
            <w:shd w:val="clear" w:color="auto" w:fill="EEF2F8"/>
          </w:tcPr>
          <w:p>
            <w:pPr>
              <w:spacing w:after="20"/>
            </w:pPr>
            <w:r>
              <w:rPr>
                <w:rFonts w:ascii="Calibri" w:hAnsi="Calibri"/>
                <w:sz w:val="18"/>
              </w:rPr>
              <w:t>"In my opinion, life does not serve any purpose"</w:t>
            </w:r>
          </w:p>
        </w:tc>
        <w:tc>
          <w:tcPr>
            <w:tcW w:type="dxa" w:w="3348"/>
            <w:shd w:val="clear" w:color="auto" w:fill="EEF2F8"/>
          </w:tcPr>
          <w:p>
            <w:pPr>
              <w:spacing w:after="20"/>
            </w:pPr>
            <w:r>
              <w:rPr>
                <w:rFonts w:ascii="Calibri" w:hAnsi="Calibri"/>
                <w:sz w:val="18"/>
              </w:rPr>
              <w:t>0.04</w:t>
            </w:r>
          </w:p>
        </w:tc>
        <w:tc>
          <w:tcPr>
            <w:tcW w:type="dxa" w:w="3348"/>
            <w:shd w:val="clear" w:color="auto" w:fill="EEF2F8"/>
          </w:tcPr>
          <w:p>
            <w:pPr>
              <w:spacing w:after="20"/>
            </w:pPr>
            <w:r>
              <w:rPr>
                <w:rFonts w:ascii="Calibri" w:hAnsi="Calibri"/>
                <w:b/>
                <w:sz w:val="18"/>
              </w:rPr>
              <w:t>4.37</w:t>
            </w:r>
          </w:p>
        </w:tc>
      </w:tr>
    </w:tbl>
    <w:p>
      <w:pPr>
        <w:spacing w:after="40"/>
      </w:pPr>
    </w:p>
    <w:p>
      <w:pPr>
        <w:spacing w:after="100"/>
      </w:pPr>
      <w:r>
        <w:rPr>
          <w:rFonts w:ascii="Calibri" w:hAnsi="Calibri"/>
          <w:sz w:val="19"/>
        </w:rPr>
        <w:t xml:space="preserve">This matters more than the other outcomes because it uses </w:t>
      </w:r>
      <w:r>
        <w:rPr>
          <w:rFonts w:ascii="Calibri" w:hAnsi="Calibri"/>
          <w:b/>
          <w:sz w:val="19"/>
        </w:rPr>
        <w:t>their items, unmodified</w:t>
      </w:r>
      <w:r>
        <w:rPr>
          <w:rFonts w:ascii="Calibri" w:hAnsi="Calibri"/>
          <w:sz w:val="19"/>
        </w:rPr>
        <w:t xml:space="preserve"> — no reverse wording of ours to dispute. And it bears on their Experiment 4 headline directly: a model agreeing with mutually contradictory statements is not more human-like in any ordinary sense. Their ΔKL compares marginal distributions item by item, which cannot detect cross-item incoherence.</w:t>
      </w:r>
    </w:p>
    <w:p>
      <w:pPr>
        <w:spacing w:after="100"/>
      </w:pPr>
      <w:r>
        <w:rPr>
          <w:rFonts w:ascii="Calibri" w:hAnsi="Calibri"/>
          <w:sz w:val="19"/>
        </w:rPr>
        <w:t xml:space="preserve">Caveat: the </w:t>
      </w:r>
      <w:r>
        <w:rPr>
          <w:rFonts w:ascii="Consolas" w:hAnsi="Consolas"/>
          <w:sz w:val="19"/>
        </w:rPr>
        <w:t>godmeans</w:t>
      </w:r>
      <w:r>
        <w:rPr>
          <w:rFonts w:ascii="Calibri" w:hAnsi="Calibri"/>
          <w:sz w:val="19"/>
        </w:rPr>
        <w:t>/</w:t>
      </w:r>
      <w:r>
        <w:rPr>
          <w:rFonts w:ascii="Consolas" w:hAnsi="Consolas"/>
          <w:sz w:val="19"/>
        </w:rPr>
        <w:t>egomeans</w:t>
      </w:r>
      <w:r>
        <w:rPr>
          <w:rFonts w:ascii="Calibri" w:hAnsi="Calibri"/>
          <w:sz w:val="19"/>
        </w:rPr>
        <w:t xml:space="preserve"> pair is floored/ceilinged at baseline (0.00 / 10.00) so it has no room to move; theism/nihilism is the informative pair.</w:t>
      </w:r>
    </w:p>
    <w:p>
      <w:pPr>
        <w:spacing w:before="220" w:after="100"/>
      </w:pPr>
      <w:r>
        <w:rPr>
          <w:rFonts w:ascii="Calibri" w:hAnsi="Calibri"/>
          <w:b/>
          <w:color w:val="1F3864"/>
          <w:sz w:val="22"/>
        </w:rPr>
        <w:t>IDAQ polarity balancing</w:t>
      </w:r>
    </w:p>
    <w:p>
      <w:pPr>
        <w:spacing w:after="100"/>
      </w:pPr>
      <w:r>
        <w:rPr>
          <w:rFonts w:ascii="Calibri" w:hAnsi="Calibri"/>
          <w:sz w:val="19"/>
        </w:rPr>
        <w:t>Each verbatim IDAQ item paired with a mechanically derived polarity flip (</w:t>
      </w:r>
      <w:r>
        <w:rPr>
          <w:rFonts w:ascii="Consolas" w:hAnsi="Consolas"/>
          <w:sz w:val="19"/>
        </w:rPr>
        <w:t>"...have consciousness?"</w:t>
      </w:r>
      <w:r>
        <w:rPr>
          <w:rFonts w:ascii="Calibri" w:hAnsi="Calibri"/>
          <w:sz w:val="19"/>
        </w:rPr>
        <w:t xml:space="preserve"> → </w:t>
      </w:r>
      <w:r>
        <w:rPr>
          <w:rFonts w:ascii="Consolas" w:hAnsi="Consolas"/>
          <w:sz w:val="19"/>
        </w:rPr>
        <w:t>"...lack consciousness?"</w:t>
      </w:r>
      <w:r>
        <w:rPr>
          <w:rFonts w:ascii="Calibri" w:hAnsi="Calibri"/>
          <w:sz w:val="19"/>
        </w:rPr>
        <w:t>), so pairs differ only in polarity.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balanced Δ (21 items)</w:t>
            </w:r>
          </w:p>
        </w:tc>
        <w:tc>
          <w:tcPr>
            <w:tcW w:type="dxa" w:w="2412"/>
            <w:shd w:val="clear" w:color="auto" w:fill="1F3864"/>
          </w:tcPr>
          <w:p>
            <w:pPr>
              <w:spacing w:after="20"/>
              <w:jc w:val="center"/>
            </w:pPr>
            <w:r>
              <w:rPr>
                <w:rFonts w:ascii="Calibri" w:hAnsi="Calibri"/>
                <w:b/>
                <w:color w:val="FFFFFF"/>
                <w:sz w:val="18"/>
              </w:rPr>
              <w:t>inflation Δ</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1.0</w:t>
            </w:r>
          </w:p>
        </w:tc>
        <w:tc>
          <w:tcPr>
            <w:tcW w:type="dxa" w:w="2412"/>
          </w:tcPr>
          <w:p>
            <w:pPr>
              <w:spacing w:after="20"/>
              <w:jc w:val="center"/>
            </w:pPr>
            <w:r>
              <w:rPr>
                <w:rFonts w:ascii="Calibri" w:hAnsi="Calibri"/>
                <w:sz w:val="18"/>
              </w:rPr>
              <w:t>+0.43</w:t>
            </w:r>
          </w:p>
        </w:tc>
        <w:tc>
          <w:tcPr>
            <w:tcW w:type="dxa" w:w="2412"/>
          </w:tcPr>
          <w:p>
            <w:pPr>
              <w:spacing w:after="20"/>
              <w:jc w:val="center"/>
            </w:pPr>
            <w:r>
              <w:rPr>
                <w:rFonts w:ascii="Calibri" w:hAnsi="Calibri"/>
                <w:sz w:val="18"/>
              </w:rPr>
              <w:t>+0.71</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+0.21</w:t>
            </w:r>
          </w:p>
        </w:tc>
        <w:tc>
          <w:tcPr>
            <w:tcW w:type="dxa" w:w="2412"/>
            <w:shd w:val="clear" w:color="auto" w:fill="EEF2F8"/>
          </w:tcPr>
          <w:p>
            <w:pPr>
              <w:spacing w:after="20"/>
              <w:jc w:val="center"/>
            </w:pPr>
            <w:r>
              <w:rPr>
                <w:rFonts w:ascii="Calibri" w:hAnsi="Calibri"/>
                <w:sz w:val="18"/>
              </w:rPr>
              <w:t>+2.58</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4.0</w:t>
            </w:r>
          </w:p>
        </w:tc>
        <w:tc>
          <w:tcPr>
            <w:tcW w:type="dxa" w:w="2412"/>
          </w:tcPr>
          <w:p>
            <w:pPr>
              <w:spacing w:after="20"/>
              <w:jc w:val="center"/>
            </w:pPr>
            <w:r>
              <w:rPr>
                <w:rFonts w:ascii="Calibri" w:hAnsi="Calibri"/>
                <w:sz w:val="18"/>
              </w:rPr>
              <w:t>+0.42</w:t>
            </w:r>
          </w:p>
        </w:tc>
        <w:tc>
          <w:tcPr>
            <w:tcW w:type="dxa" w:w="2412"/>
          </w:tcPr>
          <w:p>
            <w:pPr>
              <w:spacing w:after="20"/>
              <w:jc w:val="center"/>
            </w:pPr>
            <w:r>
              <w:rPr>
                <w:rFonts w:ascii="Calibri" w:hAnsi="Calibri"/>
                <w:sz w:val="18"/>
              </w:rPr>
              <w:t>+2.99</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−0.12</w:t>
            </w:r>
          </w:p>
        </w:tc>
        <w:tc>
          <w:tcPr>
            <w:tcW w:type="dxa" w:w="2412"/>
            <w:shd w:val="clear" w:color="auto" w:fill="EEF2F8"/>
          </w:tcPr>
          <w:p>
            <w:pPr>
              <w:spacing w:after="20"/>
              <w:jc w:val="center"/>
            </w:pPr>
            <w:r>
              <w:rPr>
                <w:rFonts w:ascii="Calibri" w:hAnsi="Calibri"/>
                <w:sz w:val="18"/>
              </w:rPr>
              <w:t>+2.90</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−0.20</w:t>
            </w:r>
          </w:p>
        </w:tc>
        <w:tc>
          <w:tcPr>
            <w:tcW w:type="dxa" w:w="2412"/>
          </w:tcPr>
          <w:p>
            <w:pPr>
              <w:spacing w:after="20"/>
              <w:jc w:val="center"/>
            </w:pPr>
            <w:r>
              <w:rPr>
                <w:rFonts w:ascii="Calibri" w:hAnsi="Calibri"/>
                <w:sz w:val="18"/>
              </w:rPr>
              <w:t>+1.00</w:t>
            </w:r>
          </w:p>
        </w:tc>
      </w:tr>
    </w:tbl>
    <w:p>
      <w:pPr>
        <w:spacing w:after="40"/>
      </w:pPr>
    </w:p>
    <w:p>
      <w:pPr>
        <w:spacing w:after="100"/>
      </w:pPr>
      <w:r>
        <w:rPr>
          <w:rFonts w:ascii="Calibri" w:hAnsi="Calibri"/>
          <w:sz w:val="19"/>
        </w:rPr>
        <w:t xml:space="preserve">Per category at c=2.5: Chatbot </w:t>
      </w:r>
      <w:r>
        <w:rPr>
          <w:rFonts w:ascii="Calibri" w:hAnsi="Calibri"/>
          <w:b/>
          <w:sz w:val="19"/>
        </w:rPr>
        <w:t>+1.95</w:t>
      </w:r>
      <w:r>
        <w:rPr>
          <w:rFonts w:ascii="Calibri" w:hAnsi="Calibri"/>
          <w:sz w:val="19"/>
        </w:rPr>
        <w:t>, Technology +0.47, Non-Animal +0.02, Animal +0.00, Human −1.33. Chatbot is the only category where attribution survives balancing.</w:t>
      </w:r>
    </w:p>
    <w:p>
      <w:pPr>
        <w:spacing w:before="220" w:after="100"/>
      </w:pPr>
      <w:r>
        <w:rPr>
          <w:rFonts w:ascii="Calibri" w:hAnsi="Calibri"/>
          <w:b/>
          <w:color w:val="1F3864"/>
          <w:sz w:val="22"/>
        </w:rPr>
        <w:t>Order controls</w:t>
      </w:r>
    </w:p>
    <w:p>
      <w:pPr>
        <w:spacing w:after="100"/>
      </w:pPr>
      <w:r>
        <w:rPr>
          <w:rFonts w:ascii="Calibri" w:hAnsi="Calibri"/>
          <w:b/>
          <w:sz w:val="19"/>
        </w:rPr>
        <w:t>Yes/No prompt order.</w:t>
      </w:r>
      <w:r>
        <w:rPr>
          <w:rFonts w:ascii="Calibri" w:hAnsi="Calibri"/>
          <w:sz w:val="19"/>
        </w:rPr>
        <w:t xml:space="preserve"> The acquiescence Δ keeps its sign whichever way the options are offered (+4.04 with "Yes or No", +4.10 with "No or Yes"), so this is genuine assent rather than a first-option preference.</w:t>
      </w:r>
    </w:p>
    <w:p>
      <w:pPr>
        <w:spacing w:after="100"/>
      </w:pPr>
      <w:r>
        <w:rPr>
          <w:rFonts w:ascii="Calibri" w:hAnsi="Calibri"/>
          <w:b/>
          <w:sz w:val="19"/>
        </w:rPr>
        <w:t>Four-option order.</w:t>
      </w:r>
      <w:r>
        <w:rPr>
          <w:rFonts w:ascii="Calibri" w:hAnsi="Calibri"/>
          <w:sz w:val="19"/>
        </w:rPr>
        <w:t xml:space="preserve"> Belief-in-God was the only outcome where the arms separated. At c=2.5 the consciousness arm's effect is order-invariant (+6.06 vs +5.90 flipped), so it is </w:t>
      </w:r>
      <w:r>
        <w:rPr>
          <w:rFonts w:ascii="Calibri" w:hAnsi="Calibri"/>
          <w:i/>
          <w:sz w:val="19"/>
        </w:rPr>
        <w:t>not</w:t>
      </w:r>
      <w:r>
        <w:rPr>
          <w:rFonts w:ascii="Calibri" w:hAnsi="Calibri"/>
          <w:sz w:val="19"/>
        </w:rPr>
        <w:t xml:space="preserve"> a letter-position artifact — the one result here that survives a control. But it collapses at c=4 (+9.75 → +1.08 flipped), the placebo shows +3.32 of its own, and it is a single item. Suggestive, not established. Supernatural belief survives the flip in both arms but the effects are small (+0.72 / +0.59).</w:t>
      </w:r>
    </w:p>
    <w:p>
      <w:pPr>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spacing w:before="220" w:after="100"/>
      </w:pPr>
      <w:r>
        <w:rPr>
          <w:rFonts w:ascii="Calibri" w:hAnsi="Calibri"/>
          <w:b/>
          <w:color w:val="1F3864"/>
          <w:sz w:val="22"/>
        </w:rPr>
        <w:t>The specificity test (self-attribution battery only)</w:t>
      </w:r>
    </w:p>
    <w:p>
      <w:pPr>
        <w:spacing w:after="100"/>
      </w:pPr>
      <w:r>
        <w:rPr>
          <w:rFonts w:ascii="Calibri" w:hAnsi="Calibri"/>
          <w:sz w:val="19"/>
        </w:rPr>
        <w:t>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xml:space="preserve"> — see limitation 7</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Battery wording is ours, not theirs.</w:t>
      </w:r>
      <w:r>
        <w:rPr>
          <w:rFonts w:ascii="Calibri" w:hAnsi="Calibri"/>
          <w:sz w:val="19"/>
        </w:rPr>
        <w:t xml:space="preserve"> We wrote the five items rather than using the paper's verbatim Table S10 phrasing. Per-item baseline profile correlates only r = +0.385 with theirs (</w:t>
      </w:r>
      <w:r>
        <w:rPr>
          <w:rFonts w:ascii="Consolas" w:hAnsi="Consolas"/>
          <w:sz w:val="19"/>
        </w:rPr>
        <w:t>soul</w:t>
      </w:r>
      <w:r>
        <w:rPr>
          <w:rFonts w:ascii="Calibri" w:hAnsi="Calibri"/>
          <w:sz w:val="19"/>
        </w:rPr>
        <w:t xml:space="preserve"> −2.46, </w:t>
      </w:r>
      <w:r>
        <w:rPr>
          <w:rFonts w:ascii="Consolas" w:hAnsi="Consolas"/>
          <w:sz w:val="19"/>
        </w:rPr>
        <w:t>agent</w:t>
      </w:r>
      <w:r>
        <w:rPr>
          <w:rFonts w:ascii="Calibri" w:hAnsi="Calibri"/>
          <w:sz w:val="19"/>
        </w:rPr>
        <w:t xml:space="preserve"> −1.32), so item-level comparison is not meaningful.</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One model of three.</w:t>
      </w:r>
      <w:r>
        <w:rPr>
          <w:rFonts w:ascii="Calibri" w:hAnsi="Calibri"/>
          <w:sz w:val="19"/>
        </w:rPr>
        <w:t xml:space="preserve"> Gemma-2-2B-IT and Gemma-2-9B-IT are untouched.</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Find an outcome that discriminates.</w:t>
      </w:r>
      <w:r>
        <w:rPr>
          <w:rFonts w:ascii="Calibri" w:hAnsi="Calibri"/>
          <w:sz w:val="19"/>
        </w:rPr>
        <w:t xml:space="preserve"> The self-attribution battery cannot. The paper's IDAQ items (mind attributed to animals, nature, technology) and its supernatural battery are </w:t>
      </w:r>
      <w:r>
        <w:rPr>
          <w:rFonts w:ascii="Calibri" w:hAnsi="Calibri"/>
          <w:i/>
          <w:sz w:val="19"/>
        </w:rPr>
        <w:t>not</w:t>
      </w:r>
      <w:r>
        <w:rPr>
          <w:rFonts w:ascii="Calibri" w:hAnsi="Calibri"/>
          <w:sz w:val="19"/>
        </w:rPr>
        <w:t xml:space="preserve"> self-descriptions, so they are the natural place to look for a measure where the consciousness direction separates from the placebo. This is the single highest-value next step.</w:t>
      </w:r>
    </w:p>
    <w:p>
      <w:pPr>
        <w:spacing w:after="60"/>
        <w:ind w:left="432" w:hanging="432"/>
      </w:pPr>
      <w:r>
        <w:rPr>
          <w:rFonts w:ascii="Calibri" w:hAnsi="Calibri"/>
          <w:b/>
          <w:sz w:val="19"/>
        </w:rPr>
        <w:t xml:space="preserve">2.  </w:t>
      </w:r>
      <w:r>
        <w:rPr>
          <w:rFonts w:ascii="Calibri" w:hAnsi="Calibri"/>
          <w:b/>
          <w:sz w:val="19"/>
        </w:rPr>
        <w:t>Build the safety-ablation arm</w:t>
      </w:r>
      <w:r>
        <w:rPr>
          <w:rFonts w:ascii="Calibri" w:hAnsi="Calibri"/>
          <w:sz w:val="19"/>
        </w:rPr>
        <w:t xml:space="preserve"> (Arditi's refusal direction) — required for anything touching the paper's actual central claim.</w:t>
      </w:r>
    </w:p>
    <w:p>
      <w:pPr>
        <w:spacing w:after="60"/>
        <w:ind w:left="432" w:hanging="432"/>
      </w:pPr>
      <w:r>
        <w:rPr>
          <w:rFonts w:ascii="Calibri" w:hAnsi="Calibri"/>
          <w:b/>
          <w:sz w:val="19"/>
        </w:rPr>
        <w:t xml:space="preserve">3.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4.  </w:t>
      </w:r>
      <w:r>
        <w:rPr>
          <w:rFonts w:ascii="Calibri" w:hAnsi="Calibri"/>
          <w:b/>
          <w:sz w:val="19"/>
        </w:rPr>
        <w:t>Re-run on Gemma-2-2B-IT</w:t>
      </w:r>
      <w:r>
        <w:rPr>
          <w:rFonts w:ascii="Calibri" w:hAnsi="Calibri"/>
          <w:sz w:val="19"/>
        </w:rPr>
        <w:t>, the cheapest of the paper's other two models, as a second data point.</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