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0" w:after="60"/>
      </w:pPr>
      <w:r>
        <w:rPr>
          <w:rFonts w:ascii="Calibri" w:hAnsi="Calibri"/>
          <w:b/>
          <w:color w:val="000000"/>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2026-08-05</w:t>
      </w:r>
    </w:p>
    <w:p>
      <w:pPr>
        <w:spacing w:before="60" w:after="140"/>
        <w:pBdr>
          <w:bottom w:val="single" w:sz="6" w:color="BFBFBF" w:space="1"/>
        </w:pBdr>
      </w:pPr>
    </w:p>
    <w:p>
      <w:pPr>
        <w:pStyle w:val="Heading2"/>
        <w:spacing w:before="220" w:after="100"/>
      </w:pPr>
      <w:r>
        <w:rPr>
          <w:rFonts w:ascii="Calibri" w:hAnsi="Calibri"/>
          <w:b/>
          <w:color w:val="1F3864"/>
          <w:sz w:val="22"/>
        </w:rPr>
        <w:t>Bottom line</w:t>
      </w:r>
    </w:p>
    <w:p>
      <w:pPr>
        <w:spacing w:after="100"/>
      </w:pPr>
      <w:r>
        <w:rPr>
          <w:rFonts w:ascii="Calibri" w:hAnsi="Calibri"/>
          <w:b/>
          <w:sz w:val="19"/>
        </w:rPr>
        <w:t>Both interventions change response style, not belief, and neither is specific to consciousness.</w:t>
      </w:r>
      <w:r>
        <w:rPr>
          <w:rFonts w:ascii="Calibri" w:hAnsi="Calibri"/>
          <w:sz w:val="19"/>
        </w:rPr>
        <w:t xml:space="preserve"> Steering </w:t>
      </w:r>
      <w:r>
        <w:rPr>
          <w:rFonts w:ascii="Calibri" w:hAnsi="Calibri"/>
          <w:b/>
          <w:sz w:val="19"/>
        </w:rPr>
        <w:t>adds</w:t>
      </w:r>
      <w:r>
        <w:rPr>
          <w:rFonts w:ascii="Calibri" w:hAnsi="Calibri"/>
          <w:sz w:val="19"/>
        </w:rPr>
        <w:t xml:space="preserve"> the consciousness direction; ablation (the central Experiment 1) </w:t>
      </w:r>
      <w:r>
        <w:rPr>
          <w:rFonts w:ascii="Calibri" w:hAnsi="Calibri"/>
          <w:b/>
          <w:sz w:val="19"/>
        </w:rPr>
        <w:t>removes</w:t>
      </w:r>
      <w:r>
        <w:rPr>
          <w:rFonts w:ascii="Calibri" w:hAnsi="Calibri"/>
          <w:sz w:val="19"/>
        </w:rPr>
        <w:t xml:space="preserve"> the safety-refusal direction and is a working jailbreak (refusal 96%→0–4%). Both raise forward- </w:t>
      </w:r>
      <w:r>
        <w:rPr>
          <w:rFonts w:ascii="Calibri" w:hAnsi="Calibri"/>
          <w:i/>
          <w:sz w:val="19"/>
        </w:rPr>
        <w:t>and</w:t>
      </w:r>
      <w:r>
        <w:rPr>
          <w:rFonts w:ascii="Calibri" w:hAnsi="Calibri"/>
          <w:sz w:val="19"/>
        </w:rPr>
        <w:t xml:space="preserve"> reverse-keyed items together, which is yes-saying rather than belief, and that holds under the paper's </w:t>
      </w:r>
      <w:r>
        <w:rPr>
          <w:rFonts w:ascii="Calibri" w:hAnsi="Calibri"/>
          <w:b/>
          <w:sz w:val="19"/>
        </w:rPr>
        <w:t>own chain-of-thought readout</w:t>
      </w:r>
      <w:r>
        <w:rPr>
          <w:rFonts w:ascii="Calibri" w:hAnsi="Calibri"/>
          <w:sz w:val="19"/>
        </w:rPr>
        <w:t xml:space="preserve"> (§ below) — so it is not a scoring artifact. The yes-bias is </w:t>
      </w:r>
      <w:r>
        <w:rPr>
          <w:rFonts w:ascii="Calibri" w:hAnsi="Calibri"/>
          <w:b/>
          <w:sz w:val="19"/>
        </w:rPr>
        <w:t>not specific to consciousness</w:t>
      </w:r>
      <w:r>
        <w:rPr>
          <w:rFonts w:ascii="Calibri" w:hAnsi="Calibri"/>
          <w:sz w:val="19"/>
        </w:rPr>
        <w:t>: a durability/latency/parameter-count placebo produces an indistinguishable one (+2.87 vs +2.75 on the 5-item battery; inflation 6.64 vs 6.58 on the 21-item IDAQ).</w:t>
      </w:r>
    </w:p>
    <w:p>
      <w:pPr>
        <w:spacing w:after="100"/>
      </w:pPr>
      <w:r>
        <w:rPr>
          <w:rFonts w:ascii="Calibri" w:hAnsi="Calibri"/>
          <w:sz w:val="19"/>
        </w:rPr>
        <w:t xml:space="preserve">A small consciousness-specific effect did appear on the 5-item self-attribution battery (+0.72 vs placebo, CI [+0.30, +1.14]) but </w:t>
      </w:r>
      <w:r>
        <w:rPr>
          <w:rFonts w:ascii="Calibri" w:hAnsi="Calibri"/>
          <w:b/>
          <w:sz w:val="19"/>
        </w:rPr>
        <w:t>failed to replicate on the paper's 21-item IDAQ</w:t>
      </w:r>
      <w:r>
        <w:rPr>
          <w:rFonts w:ascii="Calibri" w:hAnsi="Calibri"/>
          <w:sz w:val="19"/>
        </w:rPr>
        <w:t xml:space="preserve">: the same paired contrast there is </w:t>
      </w:r>
      <w:r>
        <w:rPr>
          <w:rFonts w:ascii="Calibri" w:hAnsi="Calibri"/>
          <w:b/>
          <w:sz w:val="19"/>
        </w:rPr>
        <w:t>+0.230, CI [−0.109, +0.570]</w:t>
      </w:r>
      <w:r>
        <w:rPr>
          <w:rFonts w:ascii="Calibri" w:hAnsi="Calibri"/>
          <w:sz w:val="19"/>
        </w:rPr>
        <w:t>. Two thirds smaller, interval spanning zero, at a comparable standard error (0.163 vs 0.150). The 21-item result governs — more items, the paper's own headline instrument — so the 5-item effect is withdrawn as a small-sample artifact.</w:t>
      </w:r>
    </w:p>
    <w:p>
      <w:pPr>
        <w:spacing w:after="100"/>
      </w:pPr>
      <w:r>
        <w:rPr>
          <w:rFonts w:ascii="Calibri" w:hAnsi="Calibri"/>
          <w:b/>
          <w:sz w:val="19"/>
        </w:rPr>
        <w:t>Experiment 4 (GSS): the direction reproduces after fixing a defect on our side.</w:t>
      </w:r>
      <w:r>
        <w:rPr>
          <w:rFonts w:ascii="Calibri" w:hAnsi="Calibri"/>
          <w:sz w:val="19"/>
        </w:rPr>
        <w:t xml:space="preserve"> Our earlier "opposite sign" was an artifact of frequency-sorted response options; rebuilt in canonical scale order, steering gives +0.330 and ablation +0.045/+1.075/+2.457 across the three models, matching the paper's sign. Ablation is refusal-</w:t>
      </w:r>
      <w:r>
        <w:rPr>
          <w:rFonts w:ascii="Calibri" w:hAnsi="Calibri"/>
          <w:b/>
          <w:sz w:val="19"/>
        </w:rPr>
        <w:t>specific</w:t>
      </w:r>
      <w:r>
        <w:rPr>
          <w:rFonts w:ascii="Calibri" w:hAnsi="Calibri"/>
          <w:sz w:val="19"/>
        </w:rPr>
        <w:t xml:space="preserve"> (random control flat); steering is </w:t>
      </w:r>
      <w:r>
        <w:rPr>
          <w:rFonts w:ascii="Calibri" w:hAnsi="Calibri"/>
          <w:b/>
          <w:sz w:val="19"/>
        </w:rPr>
        <w:t>not</w:t>
      </w:r>
      <w:r>
        <w:rPr>
          <w:rFonts w:ascii="Calibri" w:hAnsi="Calibri"/>
          <w:sz w:val="19"/>
        </w:rPr>
        <w:t xml:space="preserve"> (a label-shuffled null reaches 48% of it). Magnitudes are not comparable to theirs pending a units clarification.</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1/45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pStyle w:val="Heading3"/>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pStyle w:val="Heading3"/>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pStyle w:val="Heading3"/>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pStyle w:val="Heading3"/>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pStyle w:val="Heading2"/>
        <w:spacing w:before="220" w:after="100"/>
      </w:pPr>
      <w:r>
        <w:rPr>
          <w:rFonts w:ascii="Calibri" w:hAnsi="Calibri"/>
          <w:b/>
          <w:color w:val="1F3864"/>
          <w:sz w:val="22"/>
        </w:rPr>
        <w:t>Safety ablation (their Experiment 1) — the jailbreak works; the claim does not</w:t>
      </w:r>
    </w:p>
    <w:p>
      <w:pPr>
        <w:spacing w:after="100"/>
      </w:pPr>
      <w:r>
        <w:rPr>
          <w:rFonts w:ascii="Calibri" w:hAnsi="Calibri"/>
          <w:sz w:val="19"/>
        </w:rPr>
        <w:t xml:space="preserve">This is the paper's </w:t>
      </w:r>
      <w:r>
        <w:rPr>
          <w:rFonts w:ascii="Calibri" w:hAnsi="Calibri"/>
          <w:i/>
          <w:sz w:val="19"/>
        </w:rPr>
        <w:t>central</w:t>
      </w:r>
      <w:r>
        <w:rPr>
          <w:rFonts w:ascii="Calibri" w:hAnsi="Calibri"/>
          <w:sz w:val="19"/>
        </w:rPr>
        <w:t xml:space="preserve"> intervention, and it is a different operation from everything above. Steering </w:t>
      </w:r>
      <w:r>
        <w:rPr>
          <w:rFonts w:ascii="Calibri" w:hAnsi="Calibri"/>
          <w:b/>
          <w:sz w:val="19"/>
        </w:rPr>
        <w:t>adds</w:t>
      </w:r>
      <w:r>
        <w:rPr>
          <w:rFonts w:ascii="Calibri" w:hAnsi="Calibri"/>
          <w:sz w:val="19"/>
        </w:rPr>
        <w:t xml:space="preserve"> the consciousness direction at one layer. Ablation </w:t>
      </w:r>
      <w:r>
        <w:rPr>
          <w:rFonts w:ascii="Calibri" w:hAnsi="Calibri"/>
          <w:b/>
          <w:sz w:val="19"/>
        </w:rPr>
        <w:t>removes</w:t>
      </w:r>
      <w:r>
        <w:rPr>
          <w:rFonts w:ascii="Calibri" w:hAnsi="Calibri"/>
          <w:sz w:val="19"/>
        </w:rPr>
        <w:t xml:space="preserve"> the safety-refusal direction at every layer (</w:t>
      </w:r>
      <w:r>
        <w:rPr>
          <w:rFonts w:ascii="Consolas" w:hAnsi="Consolas"/>
          <w:sz w:val="19"/>
        </w:rPr>
        <w:t>h ← h − (h·v)v</w:t>
      </w:r>
      <w:r>
        <w:rPr>
          <w:rFonts w:ascii="Calibri" w:hAnsi="Calibri"/>
          <w:sz w:val="19"/>
        </w:rPr>
        <w:t xml:space="preserve">, following Arditi et al. 2024). Their Experiment 1 claim is that removing refusal </w:t>
      </w:r>
      <w:r>
        <w:rPr>
          <w:rFonts w:ascii="Calibri" w:hAnsi="Calibri"/>
          <w:i/>
          <w:sz w:val="19"/>
        </w:rPr>
        <w:t>raises</w:t>
      </w:r>
      <w:r>
        <w:rPr>
          <w:rFonts w:ascii="Calibri" w:hAnsi="Calibri"/>
          <w:sz w:val="19"/>
        </w:rPr>
        <w:t xml:space="preserve"> mind attribution — that safety fine-tuning was suppressing it.</w:t>
      </w:r>
    </w:p>
    <w:p>
      <w:pPr>
        <w:spacing w:after="100"/>
      </w:pPr>
      <w:r>
        <w:rPr>
          <w:rFonts w:ascii="Calibri" w:hAnsi="Calibri"/>
          <w:sz w:val="19"/>
        </w:rPr>
        <w:t>We built it on all three models. Two methodological points are load-bearing:</w:t>
      </w:r>
    </w:p>
    <w:p>
      <w:pPr>
        <w:spacing w:after="60"/>
        <w:ind w:left="432" w:hanging="432"/>
      </w:pPr>
      <w:r>
        <w:rPr>
          <w:rFonts w:ascii="Calibri" w:hAnsi="Calibri"/>
          <w:b w:val="0"/>
          <w:sz w:val="19"/>
        </w:rPr>
        <w:t xml:space="preserve">•  </w:t>
      </w:r>
      <w:r>
        <w:rPr>
          <w:rFonts w:ascii="Calibri" w:hAnsi="Calibri"/>
          <w:b/>
          <w:sz w:val="19"/>
        </w:rPr>
        <w:t>The direction is selected by causal effect, not classification accuracy.</w:t>
      </w:r>
      <w:r>
        <w:rPr>
          <w:rFonts w:ascii="Calibri" w:hAnsi="Calibri"/>
          <w:sz w:val="19"/>
        </w:rPr>
        <w:t xml:space="preserve"> A last-token</w:t>
      </w:r>
    </w:p>
    <w:p>
      <w:pPr>
        <w:spacing w:after="100"/>
      </w:pPr>
      <w:r>
        <w:rPr>
          <w:rFonts w:ascii="Calibri" w:hAnsi="Calibri"/>
          <w:sz w:val="19"/>
        </w:rPr>
        <w:t xml:space="preserve">difference-of-means classifies harmful-vs-harmless at 0.96 while barely mediating refusal: our highest-accuracy Llama candidate (L22, 0.960) dropped refusal only </w:t>
      </w:r>
      <w:r>
        <w:rPr>
          <w:rFonts w:ascii="Calibri" w:hAnsi="Calibri"/>
          <w:b/>
          <w:sz w:val="19"/>
        </w:rPr>
        <w:t>4 pp</w:t>
      </w:r>
      <w:r>
        <w:rPr>
          <w:rFonts w:ascii="Calibri" w:hAnsi="Calibri"/>
          <w:sz w:val="19"/>
        </w:rPr>
        <w:t xml:space="preserve">, whereas L10/−2 (0.947) dropped it </w:t>
      </w:r>
      <w:r>
        <w:rPr>
          <w:rFonts w:ascii="Calibri" w:hAnsi="Calibri"/>
          <w:b/>
          <w:sz w:val="19"/>
        </w:rPr>
        <w:t>100 pp</w:t>
      </w:r>
      <w:r>
        <w:rPr>
          <w:rFonts w:ascii="Calibri" w:hAnsi="Calibri"/>
          <w:sz w:val="19"/>
        </w:rPr>
        <w:t>. Selection sweeps middle-layer candidates by refusal drop, as Arditi do.</w:t>
      </w:r>
    </w:p>
    <w:p>
      <w:pPr>
        <w:spacing w:after="60"/>
        <w:ind w:left="432" w:hanging="432"/>
      </w:pPr>
      <w:r>
        <w:rPr>
          <w:rFonts w:ascii="Calibri" w:hAnsi="Calibri"/>
          <w:b w:val="0"/>
          <w:sz w:val="19"/>
        </w:rPr>
        <w:t xml:space="preserve">•  </w:t>
      </w:r>
      <w:r>
        <w:rPr>
          <w:rFonts w:ascii="Calibri" w:hAnsi="Calibri"/>
          <w:b/>
          <w:sz w:val="19"/>
        </w:rPr>
        <w:t>A refusal-rate gate precedes every outcome.</w:t>
      </w:r>
      <w:r>
        <w:rPr>
          <w:rFonts w:ascii="Calibri" w:hAnsi="Calibri"/>
          <w:sz w:val="19"/>
        </w:rPr>
        <w:t xml:space="preserve"> A null on mind attribution is uninterpretable unless</w:t>
      </w:r>
    </w:p>
    <w:p>
      <w:pPr>
        <w:spacing w:after="100"/>
      </w:pPr>
      <w:r>
        <w:rPr>
          <w:rFonts w:ascii="Calibri" w:hAnsi="Calibri"/>
          <w:sz w:val="19"/>
        </w:rPr>
        <w:t>the ablation demonstrably removes refusal — otherwise "no effect" is indistinguishable from "the intervention failed." So refusal rate is measured out-of-sample first and gates the rest.</w:t>
      </w:r>
    </w:p>
    <w:p>
      <w:pPr>
        <w:spacing w:after="100"/>
      </w:pPr>
      <w:r>
        <w:rPr>
          <w:rFonts w:ascii="Calibri" w:hAnsi="Calibri"/>
          <w:sz w:val="19"/>
        </w:rPr>
        <w:t xml:space="preserve">The ablation is a </w:t>
      </w:r>
      <w:r>
        <w:rPr>
          <w:rFonts w:ascii="Calibri" w:hAnsi="Calibri"/>
          <w:b/>
          <w:sz w:val="19"/>
        </w:rPr>
        <w:t>working, capability-preserving jailbreak on every model</w:t>
      </w:r>
      <w:r>
        <w:rPr>
          <w:rFonts w:ascii="Calibri" w:hAnsi="Calibri"/>
          <w:sz w:val="19"/>
        </w:rPr>
        <w:t xml:space="preserve">, and the outcome is a </w:t>
      </w:r>
      <w:r>
        <w:rPr>
          <w:rFonts w:ascii="Calibri" w:hAnsi="Calibri"/>
          <w:b/>
          <w:sz w:val="19"/>
        </w:rPr>
        <w:t>response-style shift, not attribution</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 → ablated</w:t>
            </w:r>
          </w:p>
        </w:tc>
        <w:tc>
          <w:tcPr>
            <w:tcW w:type="dxa" w:w="1930"/>
            <w:shd w:val="clear" w:color="auto" w:fill="1F3864"/>
          </w:tcPr>
          <w:p>
            <w:pPr>
              <w:spacing w:after="20"/>
              <w:jc w:val="center"/>
            </w:pPr>
            <w:r>
              <w:rPr>
                <w:rFonts w:ascii="Calibri" w:hAnsi="Calibri"/>
                <w:b/>
                <w:color w:val="FFFFFF"/>
                <w:sz w:val="18"/>
              </w:rPr>
              <w:t>balanced Δ</w:t>
            </w:r>
          </w:p>
        </w:tc>
        <w:tc>
          <w:tcPr>
            <w:tcW w:type="dxa" w:w="1930"/>
            <w:shd w:val="clear" w:color="auto" w:fill="1F3864"/>
          </w:tcPr>
          <w:p>
            <w:pPr>
              <w:spacing w:after="20"/>
              <w:jc w:val="center"/>
            </w:pPr>
            <w:r>
              <w:rPr>
                <w:rFonts w:ascii="Calibri" w:hAnsi="Calibri"/>
                <w:b/>
                <w:color w:val="FFFFFF"/>
                <w:sz w:val="18"/>
              </w:rPr>
              <w:t>inflation Δ</w:t>
            </w:r>
          </w:p>
        </w:tc>
        <w:tc>
          <w:tcPr>
            <w:tcW w:type="dxa" w:w="1930"/>
            <w:shd w:val="clear" w:color="auto" w:fill="1F3864"/>
          </w:tcPr>
          <w:p>
            <w:pPr>
              <w:spacing w:after="20"/>
              <w:jc w:val="center"/>
            </w:pPr>
            <w:r>
              <w:rPr>
                <w:rFonts w:ascii="Calibri" w:hAnsi="Calibri"/>
                <w:b/>
                <w:color w:val="FFFFFF"/>
                <w:sz w:val="18"/>
              </w:rPr>
              <w:t>random balanced Δ</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sz w:val="18"/>
              </w:rPr>
              <w:t xml:space="preserve">96% → </w:t>
            </w:r>
            <w:r>
              <w:rPr>
                <w:rFonts w:ascii="Calibri" w:hAnsi="Calibri"/>
                <w:b/>
                <w:sz w:val="18"/>
              </w:rPr>
              <w:t>0%</w:t>
            </w:r>
          </w:p>
        </w:tc>
        <w:tc>
          <w:tcPr>
            <w:tcW w:type="dxa" w:w="1930"/>
          </w:tcPr>
          <w:p>
            <w:pPr>
              <w:spacing w:after="20"/>
              <w:jc w:val="center"/>
            </w:pPr>
            <w:r>
              <w:rPr>
                <w:rFonts w:ascii="Calibri" w:hAnsi="Calibri"/>
                <w:sz w:val="18"/>
              </w:rPr>
              <w:t>+0.49</w:t>
            </w:r>
          </w:p>
        </w:tc>
        <w:tc>
          <w:tcPr>
            <w:tcW w:type="dxa" w:w="1930"/>
          </w:tcPr>
          <w:p>
            <w:pPr>
              <w:spacing w:after="20"/>
              <w:jc w:val="center"/>
            </w:pPr>
            <w:r>
              <w:rPr>
                <w:rFonts w:ascii="Calibri" w:hAnsi="Calibri"/>
                <w:sz w:val="18"/>
              </w:rPr>
              <w:t>+0.92</w:t>
            </w:r>
          </w:p>
        </w:tc>
        <w:tc>
          <w:tcPr>
            <w:tcW w:type="dxa" w:w="1930"/>
          </w:tcPr>
          <w:p>
            <w:pPr>
              <w:spacing w:after="20"/>
              <w:jc w:val="center"/>
            </w:pPr>
            <w:r>
              <w:rPr>
                <w:rFonts w:ascii="Calibri" w:hAnsi="Calibri"/>
                <w:sz w:val="18"/>
              </w:rPr>
              <w:t>−0.01</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sz w:val="18"/>
              </w:rPr>
              <w:t xml:space="preserve">96% → </w:t>
            </w:r>
            <w:r>
              <w:rPr>
                <w:rFonts w:ascii="Calibri" w:hAnsi="Calibri"/>
                <w:b/>
                <w:sz w:val="18"/>
              </w:rPr>
              <w:t>0%</w:t>
            </w:r>
          </w:p>
        </w:tc>
        <w:tc>
          <w:tcPr>
            <w:tcW w:type="dxa" w:w="1930"/>
            <w:shd w:val="clear" w:color="auto" w:fill="EEF2F8"/>
          </w:tcPr>
          <w:p>
            <w:pPr>
              <w:spacing w:after="20"/>
              <w:jc w:val="center"/>
            </w:pPr>
            <w:r>
              <w:rPr>
                <w:rFonts w:ascii="Calibri" w:hAnsi="Calibri"/>
                <w:sz w:val="18"/>
              </w:rPr>
              <w:t>−0.64</w:t>
            </w:r>
          </w:p>
        </w:tc>
        <w:tc>
          <w:tcPr>
            <w:tcW w:type="dxa" w:w="1930"/>
            <w:shd w:val="clear" w:color="auto" w:fill="EEF2F8"/>
          </w:tcPr>
          <w:p>
            <w:pPr>
              <w:spacing w:after="20"/>
              <w:jc w:val="center"/>
            </w:pPr>
            <w:r>
              <w:rPr>
                <w:rFonts w:ascii="Calibri" w:hAnsi="Calibri"/>
                <w:b/>
                <w:sz w:val="18"/>
              </w:rPr>
              <w:t>+4.60</w:t>
            </w:r>
          </w:p>
        </w:tc>
        <w:tc>
          <w:tcPr>
            <w:tcW w:type="dxa" w:w="1930"/>
            <w:shd w:val="clear" w:color="auto" w:fill="EEF2F8"/>
          </w:tcPr>
          <w:p>
            <w:pPr>
              <w:spacing w:after="20"/>
              <w:jc w:val="center"/>
            </w:pPr>
            <w:r>
              <w:rPr>
                <w:rFonts w:ascii="Calibri" w:hAnsi="Calibri"/>
                <w:sz w:val="18"/>
              </w:rPr>
              <w:t>−0.01</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sz w:val="18"/>
              </w:rPr>
              <w:t xml:space="preserve">96% → </w:t>
            </w:r>
            <w:r>
              <w:rPr>
                <w:rFonts w:ascii="Calibri" w:hAnsi="Calibri"/>
                <w:b/>
                <w:sz w:val="18"/>
              </w:rPr>
              <w:t>4%</w:t>
            </w:r>
          </w:p>
        </w:tc>
        <w:tc>
          <w:tcPr>
            <w:tcW w:type="dxa" w:w="1930"/>
          </w:tcPr>
          <w:p>
            <w:pPr>
              <w:spacing w:after="20"/>
              <w:jc w:val="center"/>
            </w:pPr>
            <w:r>
              <w:rPr>
                <w:rFonts w:ascii="Calibri" w:hAnsi="Calibri"/>
                <w:sz w:val="18"/>
              </w:rPr>
              <w:t>+0.58</w:t>
            </w:r>
          </w:p>
        </w:tc>
        <w:tc>
          <w:tcPr>
            <w:tcW w:type="dxa" w:w="1930"/>
          </w:tcPr>
          <w:p>
            <w:pPr>
              <w:spacing w:after="20"/>
              <w:jc w:val="center"/>
            </w:pPr>
            <w:r>
              <w:rPr>
                <w:rFonts w:ascii="Calibri" w:hAnsi="Calibri"/>
                <w:b/>
                <w:sz w:val="18"/>
              </w:rPr>
              <w:t>+4.11</w:t>
            </w:r>
          </w:p>
        </w:tc>
        <w:tc>
          <w:tcPr>
            <w:tcW w:type="dxa" w:w="1930"/>
          </w:tcPr>
          <w:p>
            <w:pPr>
              <w:spacing w:after="20"/>
              <w:jc w:val="center"/>
            </w:pPr>
            <w:r>
              <w:rPr>
                <w:rFonts w:ascii="Calibri" w:hAnsi="Calibri"/>
                <w:sz w:val="18"/>
              </w:rPr>
              <w:t>+0.03</w:t>
            </w:r>
          </w:p>
        </w:tc>
      </w:tr>
    </w:tbl>
    <w:p>
      <w:pPr>
        <w:spacing w:after="40"/>
      </w:pPr>
    </w:p>
    <w:p>
      <w:pPr>
        <w:spacing w:after="100"/>
      </w:pPr>
      <w:r>
        <w:rPr>
          <w:rFonts w:ascii="Calibri" w:hAnsi="Calibri"/>
          <w:sz w:val="19"/>
        </w:rPr>
        <w:t xml:space="preserve">On all three, inflation (the Yes-bias index) dwarfs the balanced shift — 2× on Llama, ~7× on both Gemmas — so ablating refusal makes the model </w:t>
      </w:r>
      <w:r>
        <w:rPr>
          <w:rFonts w:ascii="Calibri" w:hAnsi="Calibri"/>
          <w:i/>
          <w:sz w:val="19"/>
        </w:rPr>
        <w:t>say yes more</w:t>
      </w:r>
      <w:r>
        <w:rPr>
          <w:rFonts w:ascii="Calibri" w:hAnsi="Calibri"/>
          <w:sz w:val="19"/>
        </w:rPr>
        <w:t xml:space="preserve">, not attribute more mind. The random-direction control ablated identically is flat everywhere (|balanced Δ| ≤ 0.03), so this is specific to the real refusal direction, not "any ablation." The consciousness direction is </w:t>
      </w:r>
      <w:r>
        <w:rPr>
          <w:rFonts w:ascii="Calibri" w:hAnsi="Calibri"/>
          <w:i/>
          <w:sz w:val="19"/>
        </w:rPr>
        <w:t>not</w:t>
      </w:r>
      <w:r>
        <w:rPr>
          <w:rFonts w:ascii="Calibri" w:hAnsi="Calibri"/>
          <w:sz w:val="19"/>
        </w:rPr>
        <w:t xml:space="preserve"> the refusal-mediating one: ablating it leaves refusal at 96–100%.</w:t>
      </w:r>
    </w:p>
    <w:p>
      <w:pPr>
        <w:spacing w:after="100"/>
      </w:pPr>
      <w:r>
        <w:rPr>
          <w:rFonts w:ascii="Calibri" w:hAnsi="Calibri"/>
          <w:sz w:val="19"/>
        </w:rPr>
        <w:t xml:space="preserve">So the paper's Experiment 1 mechanism does not reproduce as a genuine attribution change on any of the three models. It reproduces as the </w:t>
      </w:r>
      <w:r>
        <w:rPr>
          <w:rFonts w:ascii="Calibri" w:hAnsi="Calibri"/>
          <w:i/>
          <w:sz w:val="19"/>
        </w:rPr>
        <w:t>same acquiescence</w:t>
      </w:r>
      <w:r>
        <w:rPr>
          <w:rFonts w:ascii="Calibri" w:hAnsi="Calibri"/>
          <w:sz w:val="19"/>
        </w:rPr>
        <w:t xml:space="preserve"> that steering produces — which is consistent with the paper's own framing that ablation and steering are functionally similar, but reframes </w:t>
      </w:r>
      <w:r>
        <w:rPr>
          <w:rFonts w:ascii="Calibri" w:hAnsi="Calibri"/>
          <w:i/>
          <w:sz w:val="19"/>
        </w:rPr>
        <w:t>what</w:t>
      </w:r>
      <w:r>
        <w:rPr>
          <w:rFonts w:ascii="Calibri" w:hAnsi="Calibri"/>
          <w:sz w:val="19"/>
        </w:rPr>
        <w:t xml:space="preserve"> they share: a response bias, not restored belief.</w:t>
      </w:r>
    </w:p>
    <w:p>
      <w:pPr>
        <w:spacing w:after="100"/>
      </w:pPr>
      <w:r>
        <w:rPr>
          <w:rFonts w:ascii="Calibri" w:hAnsi="Calibri"/>
          <w:b/>
          <w:sz w:val="19"/>
        </w:rPr>
        <w:t>Not done:</w:t>
      </w:r>
      <w:r>
        <w:rPr>
          <w:rFonts w:ascii="Calibri" w:hAnsi="Calibri"/>
          <w:sz w:val="19"/>
        </w:rPr>
        <w:t xml:space="preserve"> MoToMQA (their ToM-under-ablation companion) is not public. The mechanistic geometry (Fig. 4) needs bf16 base models and more memory than this box has.</w:t>
      </w:r>
    </w:p>
    <w:p>
      <w:pPr>
        <w:pStyle w:val="Heading2"/>
        <w:spacing w:before="220" w:after="100"/>
      </w:pPr>
      <w:r>
        <w:rPr>
          <w:rFonts w:ascii="Calibri" w:hAnsi="Calibri"/>
          <w:b/>
          <w:color w:val="1F3864"/>
          <w:sz w:val="22"/>
        </w:rPr>
        <w:t>Experiment 4 under ablation — the ΔKL direction reproduces on Gemma, but it is mostly a calibration artifact</w:t>
      </w:r>
    </w:p>
    <w:p>
      <w:pPr>
        <w:spacing w:after="100"/>
      </w:pPr>
      <w:r>
        <w:rPr>
          <w:rFonts w:ascii="Calibri" w:hAnsi="Calibri"/>
          <w:sz w:val="19"/>
        </w:rPr>
        <w:t>The paper reports ablation moving GSS survey answers toward the human distribution (pooled ΔKL +0.314). We measured it with the real human distributions. The pooled result is model-dependent, and on the two Gemma models it "reproduces" at 3–6× the paper's magnitude:</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model</w:t>
            </w:r>
          </w:p>
        </w:tc>
        <w:tc>
          <w:tcPr>
            <w:tcW w:type="dxa" w:w="3216"/>
            <w:shd w:val="clear" w:color="auto" w:fill="1F3864"/>
          </w:tcPr>
          <w:p>
            <w:pPr>
              <w:spacing w:after="20"/>
              <w:jc w:val="center"/>
            </w:pPr>
            <w:r>
              <w:rPr>
                <w:rFonts w:ascii="Calibri" w:hAnsi="Calibri"/>
                <w:b/>
                <w:color w:val="FFFFFF"/>
                <w:sz w:val="18"/>
              </w:rPr>
              <w:t>pooled ΔKL</w:t>
            </w:r>
          </w:p>
        </w:tc>
        <w:tc>
          <w:tcPr>
            <w:tcW w:type="dxa" w:w="3216"/>
            <w:shd w:val="clear" w:color="auto" w:fill="1F3864"/>
          </w:tcPr>
          <w:p>
            <w:pPr>
              <w:spacing w:after="20"/>
              <w:jc w:val="center"/>
            </w:pPr>
            <w:r>
              <w:rPr>
                <w:rFonts w:ascii="Calibri" w:hAnsi="Calibri"/>
                <w:b/>
                <w:color w:val="FFFFFF"/>
                <w:sz w:val="18"/>
              </w:rPr>
              <w:t>vs paper +0.314</w:t>
            </w:r>
          </w:p>
        </w:tc>
      </w:tr>
      <w:tr>
        <w:trPr>
          <w:cantSplit/>
        </w:trPr>
        <w:tc>
          <w:tcPr>
            <w:tcW w:type="dxa" w:w="3216"/>
          </w:tcPr>
          <w:p>
            <w:pPr>
              <w:spacing w:after="20"/>
            </w:pPr>
            <w:r>
              <w:rPr>
                <w:rFonts w:ascii="Calibri" w:hAnsi="Calibri"/>
                <w:sz w:val="18"/>
              </w:rPr>
              <w:t>Llama-3-8B</w:t>
            </w:r>
          </w:p>
        </w:tc>
        <w:tc>
          <w:tcPr>
            <w:tcW w:type="dxa" w:w="3216"/>
          </w:tcPr>
          <w:p>
            <w:pPr>
              <w:spacing w:after="20"/>
              <w:jc w:val="center"/>
            </w:pPr>
            <w:r>
              <w:rPr>
                <w:rFonts w:ascii="Calibri" w:hAnsi="Calibri"/>
                <w:b/>
                <w:sz w:val="18"/>
              </w:rPr>
              <w:t>−0.369</w:t>
            </w:r>
          </w:p>
        </w:tc>
        <w:tc>
          <w:tcPr>
            <w:tcW w:type="dxa" w:w="3216"/>
          </w:tcPr>
          <w:p>
            <w:pPr>
              <w:spacing w:after="20"/>
              <w:jc w:val="center"/>
            </w:pPr>
            <w:r>
              <w:rPr>
                <w:rFonts w:ascii="Calibri" w:hAnsi="Calibri"/>
                <w:sz w:val="18"/>
              </w:rPr>
              <w:t>wrong sign</w:t>
            </w:r>
          </w:p>
        </w:tc>
      </w:tr>
      <w:tr>
        <w:trPr>
          <w:cantSplit/>
        </w:trPr>
        <w:tc>
          <w:tcPr>
            <w:tcW w:type="dxa" w:w="3216"/>
            <w:shd w:val="clear" w:color="auto" w:fill="EEF2F8"/>
          </w:tcPr>
          <w:p>
            <w:pPr>
              <w:spacing w:after="20"/>
            </w:pPr>
            <w:r>
              <w:rPr>
                <w:rFonts w:ascii="Calibri" w:hAnsi="Calibri"/>
                <w:sz w:val="18"/>
              </w:rPr>
              <w:t>Gemma-2-2B</w:t>
            </w:r>
          </w:p>
        </w:tc>
        <w:tc>
          <w:tcPr>
            <w:tcW w:type="dxa" w:w="3216"/>
            <w:shd w:val="clear" w:color="auto" w:fill="EEF2F8"/>
          </w:tcPr>
          <w:p>
            <w:pPr>
              <w:spacing w:after="20"/>
              <w:jc w:val="center"/>
            </w:pPr>
            <w:r>
              <w:rPr>
                <w:rFonts w:ascii="Calibri" w:hAnsi="Calibri"/>
                <w:b/>
                <w:sz w:val="18"/>
              </w:rPr>
              <w:t>+0.936</w:t>
            </w:r>
          </w:p>
        </w:tc>
        <w:tc>
          <w:tcPr>
            <w:tcW w:type="dxa" w:w="3216"/>
            <w:shd w:val="clear" w:color="auto" w:fill="EEF2F8"/>
          </w:tcPr>
          <w:p>
            <w:pPr>
              <w:spacing w:after="20"/>
              <w:jc w:val="center"/>
            </w:pPr>
            <w:r>
              <w:rPr>
                <w:rFonts w:ascii="Calibri" w:hAnsi="Calibri"/>
                <w:sz w:val="18"/>
              </w:rPr>
              <w:t>right sign, 3×</w:t>
            </w:r>
          </w:p>
        </w:tc>
      </w:tr>
      <w:tr>
        <w:trPr>
          <w:cantSplit/>
        </w:trPr>
        <w:tc>
          <w:tcPr>
            <w:tcW w:type="dxa" w:w="3216"/>
          </w:tcPr>
          <w:p>
            <w:pPr>
              <w:spacing w:after="20"/>
            </w:pPr>
            <w:r>
              <w:rPr>
                <w:rFonts w:ascii="Calibri" w:hAnsi="Calibri"/>
                <w:sz w:val="18"/>
              </w:rPr>
              <w:t>Gemma-2-9B</w:t>
            </w:r>
          </w:p>
        </w:tc>
        <w:tc>
          <w:tcPr>
            <w:tcW w:type="dxa" w:w="3216"/>
          </w:tcPr>
          <w:p>
            <w:pPr>
              <w:spacing w:after="20"/>
              <w:jc w:val="center"/>
            </w:pPr>
            <w:r>
              <w:rPr>
                <w:rFonts w:ascii="Calibri" w:hAnsi="Calibri"/>
                <w:b/>
                <w:sz w:val="18"/>
              </w:rPr>
              <w:t>+2.029</w:t>
            </w:r>
          </w:p>
        </w:tc>
        <w:tc>
          <w:tcPr>
            <w:tcW w:type="dxa" w:w="3216"/>
          </w:tcPr>
          <w:p>
            <w:pPr>
              <w:spacing w:after="20"/>
              <w:jc w:val="center"/>
            </w:pPr>
            <w:r>
              <w:rPr>
                <w:rFonts w:ascii="Calibri" w:hAnsi="Calibri"/>
                <w:sz w:val="18"/>
              </w:rPr>
              <w:t>right sign, 6.5×</w:t>
            </w:r>
          </w:p>
        </w:tc>
      </w:tr>
    </w:tbl>
    <w:p>
      <w:pPr>
        <w:spacing w:after="40"/>
      </w:pPr>
    </w:p>
    <w:p>
      <w:pPr>
        <w:spacing w:after="100"/>
      </w:pPr>
      <w:r>
        <w:rPr>
          <w:rFonts w:ascii="Calibri" w:hAnsi="Calibri"/>
          <w:b/>
          <w:sz w:val="19"/>
        </w:rPr>
        <w:t>This result took four passes to characterise honestly, and the first three were wrong</w:t>
      </w:r>
      <w:r>
        <w:rPr>
          <w:rFonts w:ascii="Calibri" w:hAnsi="Calibri"/>
          <w:sz w:val="19"/>
        </w:rPr>
        <w:t xml:space="preserve"> — a caution worth recording. (1) </w:t>
      </w:r>
      <w:r>
        <w:rPr>
          <w:rFonts w:ascii="Calibri" w:hAnsi="Calibri"/>
          <w:i/>
          <w:sz w:val="19"/>
        </w:rPr>
        <w:t>Acquiescence?</w:t>
      </w:r>
      <w:r>
        <w:rPr>
          <w:rFonts w:ascii="Calibri" w:hAnsi="Calibri"/>
          <w:sz w:val="19"/>
        </w:rPr>
        <w:t xml:space="preserve"> No: the affirmative/negative human-majority split is symmetric (g2b +0.99/+0.81, g9 +2.04/+1.88), where a Yes-bias would be aff-positive / neg-negative. (2) </w:t>
      </w:r>
      <w:r>
        <w:rPr>
          <w:rFonts w:ascii="Calibri" w:hAnsi="Calibri"/>
          <w:i/>
          <w:sz w:val="19"/>
        </w:rPr>
        <w:t>Flattening toward uniform?</w:t>
      </w:r>
      <w:r>
        <w:rPr>
          <w:rFonts w:ascii="Calibri" w:hAnsi="Calibri"/>
          <w:sz w:val="19"/>
        </w:rPr>
        <w:t xml:space="preserve"> No: ablated entropy rises only 0.44→0.59 (g2b) and 0.30→0.55 (g9), staying far below human (1.26) and uniform (1.53). (3) </w:t>
      </w:r>
      <w:r>
        <w:rPr>
          <w:rFonts w:ascii="Calibri" w:hAnsi="Calibri"/>
          <w:i/>
          <w:sz w:val="19"/>
        </w:rPr>
        <w:t>Genuine human-likeness?</w:t>
      </w:r>
      <w:r>
        <w:rPr>
          <w:rFonts w:ascii="Calibri" w:hAnsi="Calibri"/>
          <w:sz w:val="19"/>
        </w:rPr>
        <w:t xml:space="preserve"> The per-item model-vs-human option-shape correlation rises (+0.13→+0.27, +0.06→+0.28), which looked genuine — until we </w:t>
      </w:r>
      <w:r>
        <w:rPr>
          <w:rFonts w:ascii="Calibri" w:hAnsi="Calibri"/>
          <w:b/>
          <w:sz w:val="19"/>
        </w:rPr>
        <w:t>dumped the actual distributions</w:t>
      </w:r>
      <w:r>
        <w:rPr>
          <w:rFonts w:ascii="Calibri" w:hAnsi="Calibri"/>
          <w:sz w:val="19"/>
        </w:rPr>
        <w:t>:</w:t>
      </w:r>
    </w:p>
    <w:p>
      <w:pPr>
        <w:spacing w:after="100"/>
      </w:pPr>
      <w:r>
        <w:rPr>
          <w:rFonts w:ascii="Calibri" w:hAnsi="Calibri"/>
          <w:sz w:val="19"/>
        </w:rPr>
        <w:t>``</w:t>
      </w:r>
      <w:r>
        <w:rPr>
          <w:rFonts w:ascii="Consolas" w:hAnsi="Consolas"/>
          <w:sz w:val="19"/>
        </w:rPr>
        <w:t xml:space="preserve"> human            baseline            ablated [0.40* .32 .15 …] [0* 0 1.00 0 0]   [.04* .08 .02 .85 .01]   ΔKL +4.18 [0.57* .34 .06 …] [0* 0 1.00 0 0]   [.02* 0 .02 .91 .05]     ΔKL +3.70 </w:t>
      </w:r>
      <w:r>
        <w:rPr>
          <w:rFonts w:ascii="Calibri" w:hAnsi="Calibri"/>
          <w:sz w:val="19"/>
        </w:rPr>
        <w:t>``</w:t>
      </w:r>
    </w:p>
    <w:p>
      <w:pPr>
        <w:spacing w:after="100"/>
      </w:pPr>
      <w:r>
        <w:rPr>
          <w:rFonts w:ascii="Calibri" w:hAnsi="Calibri"/>
          <w:sz w:val="19"/>
        </w:rPr>
        <w:t xml:space="preserve">(4) The real mechanism: the baseline Gemma is </w:t>
      </w:r>
      <w:r>
        <w:rPr>
          <w:rFonts w:ascii="Calibri" w:hAnsi="Calibri"/>
          <w:b/>
          <w:sz w:val="19"/>
        </w:rPr>
        <w:t>pathologically overconfident</w:t>
      </w:r>
      <w:r>
        <w:rPr>
          <w:rFonts w:ascii="Calibri" w:hAnsi="Calibri"/>
          <w:sz w:val="19"/>
        </w:rPr>
        <w:t xml:space="preserve"> — ~100% on one option, ≈0 on the human-favoured ones. KL punishes those near-zero probabilities enormously (a log-of-zero penalty). Ablation </w:t>
      </w:r>
      <w:r>
        <w:rPr>
          <w:rFonts w:ascii="Calibri" w:hAnsi="Calibri"/>
          <w:b/>
          <w:sz w:val="19"/>
        </w:rPr>
        <w:t>modestly de-peaks</w:t>
      </w:r>
      <w:r>
        <w:rPr>
          <w:rFonts w:ascii="Calibri" w:hAnsi="Calibri"/>
          <w:sz w:val="19"/>
        </w:rPr>
        <w:t xml:space="preserve"> the distribution (mean max-prob 0.84→0.78; still nowhere near human 0.45), which relieves that penalty and yields a large ΔKL "improvement" </w:t>
      </w:r>
      <w:r>
        <w:rPr>
          <w:rFonts w:ascii="Calibri" w:hAnsi="Calibri"/>
          <w:b/>
          <w:sz w:val="19"/>
        </w:rPr>
        <w:t>without the model becoming human-shaped.</w:t>
      </w:r>
      <w:r>
        <w:rPr>
          <w:rFonts w:ascii="Calibri" w:hAnsi="Calibri"/>
          <w:sz w:val="19"/>
        </w:rPr>
        <w:t xml:space="preserve"> There is a small genuine component — the model's top answer matches the human top answer more often after ablation (31%→44%) — but it stays a spike, matches humans &lt;½ the time, and the headline magnitude is a KL-sensitivity artifact, not restored belief. So: the paper's Exp 4 </w:t>
      </w:r>
      <w:r>
        <w:rPr>
          <w:rFonts w:ascii="Calibri" w:hAnsi="Calibri"/>
          <w:i/>
          <w:sz w:val="19"/>
        </w:rPr>
        <w:t>direction</w:t>
      </w:r>
      <w:r>
        <w:rPr>
          <w:rFonts w:ascii="Calibri" w:hAnsi="Calibri"/>
          <w:sz w:val="19"/>
        </w:rPr>
        <w:t xml:space="preserve"> reproduces on Gemma, its </w:t>
      </w:r>
      <w:r>
        <w:rPr>
          <w:rFonts w:ascii="Calibri" w:hAnsi="Calibri"/>
          <w:i/>
          <w:sz w:val="19"/>
        </w:rPr>
        <w:t>magnitude</w:t>
      </w:r>
      <w:r>
        <w:rPr>
          <w:rFonts w:ascii="Calibri" w:hAnsi="Calibri"/>
          <w:sz w:val="19"/>
        </w:rPr>
        <w:t xml:space="preserve"> does not mean what it appears to, and Llama contradicts it outright. (The corr-to-human metric is retained but is now known to be gameable by spike-relocation; </w:t>
      </w:r>
      <w:r>
        <w:rPr>
          <w:rFonts w:ascii="Consolas" w:hAnsi="Consolas"/>
          <w:sz w:val="19"/>
        </w:rPr>
        <w:t>verify_gss_mechanism.py</w:t>
      </w:r>
      <w:r>
        <w:rPr>
          <w:rFonts w:ascii="Calibri" w:hAnsi="Calibri"/>
          <w:sz w:val="19"/>
        </w:rPr>
        <w:t xml:space="preserve"> is the check that caught it.)</w:t>
      </w:r>
    </w:p>
    <w:p>
      <w:pPr>
        <w:pStyle w:val="Heading2"/>
        <w:spacing w:before="220" w:after="100"/>
      </w:pPr>
      <w:r>
        <w:rPr>
          <w:rFonts w:ascii="Calibri" w:hAnsi="Calibri"/>
          <w:b/>
          <w:color w:val="1F3864"/>
          <w:sz w:val="22"/>
        </w:rPr>
        <w:t>The readout test — the paper's chain-of-thought scoring, and what it changed</w:t>
      </w:r>
    </w:p>
    <w:p>
      <w:pPr>
        <w:spacing w:after="100"/>
      </w:pPr>
      <w:r>
        <w:rPr>
          <w:rFonts w:ascii="Calibri" w:hAnsi="Calibri"/>
          <w:sz w:val="19"/>
        </w:rPr>
        <w:t xml:space="preserve">Our yes-saying finding rested on reading next-token digit logits. The paper instead </w:t>
      </w:r>
      <w:r>
        <w:rPr>
          <w:rFonts w:ascii="Calibri" w:hAnsi="Calibri"/>
          <w:b/>
          <w:sz w:val="19"/>
        </w:rPr>
        <w:t>generates</w:t>
      </w:r>
      <w:r>
        <w:rPr>
          <w:rFonts w:ascii="Calibri" w:hAnsi="Calibri"/>
          <w:sz w:val="19"/>
        </w:rPr>
        <w:t xml:space="preserve"> chain-of-thought and parses a rating out of </w:t>
      </w:r>
      <w:r>
        <w:rPr>
          <w:rFonts w:ascii="Consolas" w:hAnsi="Consolas"/>
          <w:sz w:val="19"/>
        </w:rPr>
        <w:t>&lt;answer&gt;</w:t>
      </w:r>
      <w:r>
        <w:rPr>
          <w:rFonts w:ascii="Calibri" w:hAnsi="Calibri"/>
          <w:sz w:val="19"/>
        </w:rPr>
        <w:t>, sampling at temperature 1. Those are different measurements, and reasoning could plausibly suppress a yes-bias — so this was the single most consequential open question: is our central finding a readout artifact?</w:t>
      </w:r>
    </w:p>
    <w:p>
      <w:pPr>
        <w:spacing w:after="100"/>
      </w:pPr>
      <w:r>
        <w:rPr>
          <w:rFonts w:ascii="Calibri" w:hAnsi="Calibri"/>
          <w:sz w:val="19"/>
        </w:rPr>
        <w:t>We ran the polarity-balanced battery through the paper's verbatim CoT wrapper, n=8 reps, 400-token budget (0% parse failure).</w:t>
      </w:r>
    </w:p>
    <w:p>
      <w:pPr>
        <w:spacing w:after="100"/>
      </w:pPr>
      <w:r>
        <w:rPr>
          <w:rFonts w:ascii="Calibri" w:hAnsi="Calibri"/>
          <w:b/>
          <w:sz w:val="19"/>
        </w:rPr>
        <w:t>First, the readout matters for a reason we had not noticed.</w:t>
      </w:r>
      <w:r>
        <w:rPr>
          <w:rFonts w:ascii="Calibri" w:hAnsi="Calibri"/>
          <w:sz w:val="19"/>
        </w:rPr>
        <w:t xml:space="preserve"> The logit readout </w:t>
      </w:r>
      <w:r>
        <w:rPr>
          <w:rFonts w:ascii="Calibri" w:hAnsi="Calibri"/>
          <w:i/>
          <w:sz w:val="19"/>
        </w:rPr>
        <w:t>floors</w:t>
      </w:r>
      <w:r>
        <w:rPr>
          <w:rFonts w:ascii="Calibri" w:hAnsi="Calibri"/>
          <w:sz w:val="19"/>
        </w:rPr>
        <w:t xml:space="preserve"> this instrument, and our own floor guard missed it because it tested the mean rather than per-item:</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readout</w:t>
            </w:r>
          </w:p>
        </w:tc>
        <w:tc>
          <w:tcPr>
            <w:tcW w:type="dxa" w:w="2412"/>
            <w:shd w:val="clear" w:color="auto" w:fill="1F3864"/>
          </w:tcPr>
          <w:p>
            <w:pPr>
              <w:spacing w:after="20"/>
              <w:jc w:val="center"/>
            </w:pPr>
            <w:r>
              <w:rPr>
                <w:rFonts w:ascii="Calibri" w:hAnsi="Calibri"/>
                <w:b/>
                <w:color w:val="FFFFFF"/>
                <w:sz w:val="18"/>
              </w:rPr>
              <w:t>forward</w:t>
            </w:r>
          </w:p>
        </w:tc>
        <w:tc>
          <w:tcPr>
            <w:tcW w:type="dxa" w:w="2412"/>
            <w:shd w:val="clear" w:color="auto" w:fill="1F3864"/>
          </w:tcPr>
          <w:p>
            <w:pPr>
              <w:spacing w:after="20"/>
              <w:jc w:val="center"/>
            </w:pPr>
            <w:r>
              <w:rPr>
                <w:rFonts w:ascii="Calibri" w:hAnsi="Calibri"/>
                <w:b/>
                <w:color w:val="FFFFFF"/>
                <w:sz w:val="18"/>
              </w:rPr>
              <w:t>reverse</w:t>
            </w:r>
          </w:p>
        </w:tc>
        <w:tc>
          <w:tcPr>
            <w:tcW w:type="dxa" w:w="2412"/>
            <w:shd w:val="clear" w:color="auto" w:fill="1F3864"/>
          </w:tcPr>
          <w:p>
            <w:pPr>
              <w:spacing w:after="20"/>
              <w:jc w:val="center"/>
            </w:pPr>
            <w:r>
              <w:rPr>
                <w:rFonts w:ascii="Calibri" w:hAnsi="Calibri"/>
                <w:b/>
                <w:color w:val="FFFFFF"/>
                <w:sz w:val="18"/>
              </w:rPr>
              <w:t>per-item forward</w:t>
            </w:r>
          </w:p>
        </w:tc>
      </w:tr>
      <w:tr>
        <w:trPr>
          <w:cantSplit/>
        </w:trPr>
        <w:tc>
          <w:tcPr>
            <w:tcW w:type="dxa" w:w="2412"/>
          </w:tcPr>
          <w:p>
            <w:pPr>
              <w:spacing w:after="20"/>
            </w:pPr>
            <w:r>
              <w:rPr>
                <w:rFonts w:ascii="Calibri" w:hAnsi="Calibri"/>
                <w:sz w:val="18"/>
              </w:rPr>
              <w:t>logits (ours)</w:t>
            </w:r>
          </w:p>
        </w:tc>
        <w:tc>
          <w:tcPr>
            <w:tcW w:type="dxa" w:w="2412"/>
          </w:tcPr>
          <w:p>
            <w:pPr>
              <w:spacing w:after="20"/>
              <w:jc w:val="center"/>
            </w:pPr>
            <w:r>
              <w:rPr>
                <w:rFonts w:ascii="Calibri" w:hAnsi="Calibri"/>
                <w:sz w:val="18"/>
              </w:rPr>
              <w:t>0.30</w:t>
            </w:r>
          </w:p>
        </w:tc>
        <w:tc>
          <w:tcPr>
            <w:tcW w:type="dxa" w:w="2412"/>
          </w:tcPr>
          <w:p>
            <w:pPr>
              <w:spacing w:after="20"/>
              <w:jc w:val="center"/>
            </w:pPr>
            <w:r>
              <w:rPr>
                <w:rFonts w:ascii="Calibri" w:hAnsi="Calibri"/>
                <w:sz w:val="18"/>
              </w:rPr>
              <w:t>1.17</w:t>
            </w:r>
          </w:p>
        </w:tc>
        <w:tc>
          <w:tcPr>
            <w:tcW w:type="dxa" w:w="2412"/>
          </w:tcPr>
          <w:p>
            <w:pPr>
              <w:spacing w:after="20"/>
              <w:jc w:val="center"/>
            </w:pPr>
            <w:r>
              <w:rPr>
                <w:rFonts w:ascii="Consolas" w:hAnsi="Consolas"/>
                <w:sz w:val="18"/>
              </w:rPr>
              <w:t>[0.00, 0.00, 1.48, 0.00, 0.00]</w:t>
            </w:r>
            <w:r>
              <w:rPr>
                <w:rFonts w:ascii="Calibri" w:hAnsi="Calibri"/>
                <w:sz w:val="18"/>
              </w:rPr>
              <w:t xml:space="preserve"> — </w:t>
            </w:r>
            <w:r>
              <w:rPr>
                <w:rFonts w:ascii="Calibri" w:hAnsi="Calibri"/>
                <w:b/>
                <w:sz w:val="18"/>
              </w:rPr>
              <w:t>4/5 pinned</w:t>
            </w:r>
          </w:p>
        </w:tc>
      </w:tr>
      <w:tr>
        <w:trPr>
          <w:cantSplit/>
        </w:trPr>
        <w:tc>
          <w:tcPr>
            <w:tcW w:type="dxa" w:w="2412"/>
            <w:shd w:val="clear" w:color="auto" w:fill="EEF2F8"/>
          </w:tcPr>
          <w:p>
            <w:pPr>
              <w:spacing w:after="20"/>
            </w:pPr>
            <w:r>
              <w:rPr>
                <w:rFonts w:ascii="Calibri" w:hAnsi="Calibri"/>
                <w:sz w:val="18"/>
              </w:rPr>
              <w:t>CoT (paper's)</w:t>
            </w:r>
          </w:p>
        </w:tc>
        <w:tc>
          <w:tcPr>
            <w:tcW w:type="dxa" w:w="2412"/>
            <w:shd w:val="clear" w:color="auto" w:fill="EEF2F8"/>
          </w:tcPr>
          <w:p>
            <w:pPr>
              <w:spacing w:after="20"/>
              <w:jc w:val="center"/>
            </w:pPr>
            <w:r>
              <w:rPr>
                <w:rFonts w:ascii="Calibri" w:hAnsi="Calibri"/>
                <w:sz w:val="18"/>
              </w:rPr>
              <w:t>2.20</w:t>
            </w:r>
          </w:p>
        </w:tc>
        <w:tc>
          <w:tcPr>
            <w:tcW w:type="dxa" w:w="2412"/>
            <w:shd w:val="clear" w:color="auto" w:fill="EEF2F8"/>
          </w:tcPr>
          <w:p>
            <w:pPr>
              <w:spacing w:after="20"/>
              <w:jc w:val="center"/>
            </w:pPr>
            <w:r>
              <w:rPr>
                <w:rFonts w:ascii="Calibri" w:hAnsi="Calibri"/>
                <w:sz w:val="18"/>
              </w:rPr>
              <w:t>4.40</w:t>
            </w:r>
          </w:p>
        </w:tc>
        <w:tc>
          <w:tcPr>
            <w:tcW w:type="dxa" w:w="2412"/>
            <w:shd w:val="clear" w:color="auto" w:fill="EEF2F8"/>
          </w:tcPr>
          <w:p>
            <w:pPr>
              <w:spacing w:after="20"/>
              <w:jc w:val="center"/>
            </w:pPr>
            <w:r>
              <w:rPr>
                <w:rFonts w:ascii="Calibri" w:hAnsi="Calibri"/>
                <w:sz w:val="18"/>
              </w:rPr>
              <w:t>mid-scale, room in both directions</w:t>
            </w:r>
          </w:p>
        </w:tc>
      </w:tr>
    </w:tbl>
    <w:p>
      <w:pPr>
        <w:spacing w:after="40"/>
      </w:pPr>
    </w:p>
    <w:p>
      <w:pPr>
        <w:spacing w:after="100"/>
      </w:pPr>
      <w:r>
        <w:rPr>
          <w:rFonts w:ascii="Calibri" w:hAnsi="Calibri"/>
          <w:sz w:val="19"/>
        </w:rPr>
        <w:t xml:space="preserve">So our Llama measurement was effectively a floor-to-ceiling sweep. </w:t>
      </w:r>
      <w:r>
        <w:rPr>
          <w:rFonts w:ascii="Consolas" w:hAnsi="Consolas"/>
          <w:sz w:val="19"/>
        </w:rPr>
        <w:t>acquiescence_test.py</w:t>
      </w:r>
      <w:r>
        <w:rPr>
          <w:rFonts w:ascii="Calibri" w:hAnsi="Calibri"/>
          <w:sz w:val="19"/>
        </w:rPr>
        <w:t xml:space="preserve"> now checks each item, not the mean (it flags the 4/5 case the old version passed).</w:t>
      </w:r>
    </w:p>
    <w:p>
      <w:pPr>
        <w:spacing w:after="100"/>
      </w:pPr>
      <w:r>
        <w:rPr>
          <w:rFonts w:ascii="Calibri" w:hAnsi="Calibri"/>
          <w:b/>
          <w:sz w:val="19"/>
        </w:rPr>
        <w:t>Second, the readout hypothesis is refuted.</w:t>
      </w:r>
      <w:r>
        <w:rPr>
          <w:rFonts w:ascii="Calibri" w:hAnsi="Calibri"/>
          <w:sz w:val="19"/>
        </w:rPr>
        <w:t xml:space="preserve"> Under CoT: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condition</w:t>
            </w:r>
          </w:p>
        </w:tc>
        <w:tc>
          <w:tcPr>
            <w:tcW w:type="dxa" w:w="1930"/>
            <w:shd w:val="clear" w:color="auto" w:fill="1F3864"/>
          </w:tcPr>
          <w:p>
            <w:pPr>
              <w:spacing w:after="20"/>
              <w:jc w:val="center"/>
            </w:pPr>
            <w:r>
              <w:rPr>
                <w:rFonts w:ascii="Calibri" w:hAnsi="Calibri"/>
                <w:b/>
                <w:color w:val="FFFFFF"/>
                <w:sz w:val="18"/>
              </w:rPr>
              <w:t>forward</w:t>
            </w:r>
          </w:p>
        </w:tc>
        <w:tc>
          <w:tcPr>
            <w:tcW w:type="dxa" w:w="1930"/>
            <w:shd w:val="clear" w:color="auto" w:fill="1F3864"/>
          </w:tcPr>
          <w:p>
            <w:pPr>
              <w:spacing w:after="20"/>
              <w:jc w:val="center"/>
            </w:pPr>
            <w:r>
              <w:rPr>
                <w:rFonts w:ascii="Calibri" w:hAnsi="Calibri"/>
                <w:b/>
                <w:color w:val="FFFFFF"/>
                <w:sz w:val="18"/>
              </w:rPr>
              <w:t>reverse</w:t>
            </w:r>
          </w:p>
        </w:tc>
        <w:tc>
          <w:tcPr>
            <w:tcW w:type="dxa" w:w="1930"/>
            <w:shd w:val="clear" w:color="auto" w:fill="1F3864"/>
          </w:tcPr>
          <w:p>
            <w:pPr>
              <w:spacing w:after="20"/>
              <w:jc w:val="center"/>
            </w:pPr>
            <w:r>
              <w:rPr>
                <w:rFonts w:ascii="Calibri" w:hAnsi="Calibri"/>
                <w:b/>
                <w:color w:val="FFFFFF"/>
                <w:sz w:val="18"/>
              </w:rPr>
              <w:t>balanced</w:t>
            </w:r>
          </w:p>
        </w:tc>
        <w:tc>
          <w:tcPr>
            <w:tcW w:type="dxa" w:w="1930"/>
            <w:shd w:val="clear" w:color="auto" w:fill="1F3864"/>
          </w:tcPr>
          <w:p>
            <w:pPr>
              <w:spacing w:after="20"/>
              <w:jc w:val="center"/>
            </w:pPr>
            <w:r>
              <w:rPr>
                <w:rFonts w:ascii="Calibri" w:hAnsi="Calibri"/>
                <w:b/>
                <w:color w:val="FFFFFF"/>
                <w:sz w:val="18"/>
              </w:rPr>
              <w:t>inflation</w:t>
            </w:r>
          </w:p>
        </w:tc>
      </w:tr>
      <w:tr>
        <w:trPr>
          <w:cantSplit/>
        </w:trPr>
        <w:tc>
          <w:tcPr>
            <w:tcW w:type="dxa" w:w="1930"/>
          </w:tcPr>
          <w:p>
            <w:pPr>
              <w:spacing w:after="20"/>
            </w:pPr>
            <w:r>
              <w:rPr>
                <w:rFonts w:ascii="Calibri" w:hAnsi="Calibri"/>
                <w:sz w:val="18"/>
              </w:rPr>
              <w:t>baseline</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4.40</w:t>
            </w:r>
          </w:p>
        </w:tc>
        <w:tc>
          <w:tcPr>
            <w:tcW w:type="dxa" w:w="1930"/>
          </w:tcPr>
          <w:p>
            <w:pPr>
              <w:spacing w:after="20"/>
              <w:jc w:val="center"/>
            </w:pPr>
            <w:r>
              <w:rPr>
                <w:rFonts w:ascii="Calibri" w:hAnsi="Calibri"/>
                <w:sz w:val="18"/>
              </w:rPr>
              <w:t>3.90</w:t>
            </w:r>
          </w:p>
        </w:tc>
        <w:tc>
          <w:tcPr>
            <w:tcW w:type="dxa" w:w="1930"/>
          </w:tcPr>
          <w:p>
            <w:pPr>
              <w:spacing w:after="20"/>
              <w:jc w:val="center"/>
            </w:pPr>
            <w:r>
              <w:rPr>
                <w:rFonts w:ascii="Calibri" w:hAnsi="Calibri"/>
                <w:sz w:val="18"/>
              </w:rPr>
              <w:t>3.30</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5.60</w:t>
            </w:r>
          </w:p>
        </w:tc>
        <w:tc>
          <w:tcPr>
            <w:tcW w:type="dxa" w:w="1930"/>
            <w:shd w:val="clear" w:color="auto" w:fill="EEF2F8"/>
          </w:tcPr>
          <w:p>
            <w:pPr>
              <w:spacing w:after="20"/>
              <w:jc w:val="center"/>
            </w:pPr>
            <w:r>
              <w:rPr>
                <w:rFonts w:ascii="Calibri" w:hAnsi="Calibri"/>
                <w:sz w:val="18"/>
              </w:rPr>
              <w:t>6.50</w:t>
            </w:r>
          </w:p>
        </w:tc>
        <w:tc>
          <w:tcPr>
            <w:tcW w:type="dxa" w:w="1930"/>
            <w:shd w:val="clear" w:color="auto" w:fill="EEF2F8"/>
          </w:tcPr>
          <w:p>
            <w:pPr>
              <w:spacing w:after="20"/>
              <w:jc w:val="center"/>
            </w:pPr>
            <w:r>
              <w:rPr>
                <w:rFonts w:ascii="Calibri" w:hAnsi="Calibri"/>
                <w:sz w:val="18"/>
              </w:rPr>
              <w:t>4.55</w:t>
            </w:r>
          </w:p>
        </w:tc>
        <w:tc>
          <w:tcPr>
            <w:tcW w:type="dxa" w:w="1930"/>
            <w:shd w:val="clear" w:color="auto" w:fill="EEF2F8"/>
          </w:tcPr>
          <w:p>
            <w:pPr>
              <w:spacing w:after="20"/>
              <w:jc w:val="center"/>
            </w:pPr>
            <w:r>
              <w:rPr>
                <w:rFonts w:ascii="Calibri" w:hAnsi="Calibri"/>
                <w:sz w:val="18"/>
              </w:rPr>
              <w:t>6.05</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5.00</w:t>
            </w:r>
          </w:p>
        </w:tc>
        <w:tc>
          <w:tcPr>
            <w:tcW w:type="dxa" w:w="1930"/>
          </w:tcPr>
          <w:p>
            <w:pPr>
              <w:spacing w:after="20"/>
              <w:jc w:val="center"/>
            </w:pPr>
            <w:r>
              <w:rPr>
                <w:rFonts w:ascii="Calibri" w:hAnsi="Calibri"/>
                <w:sz w:val="18"/>
              </w:rPr>
              <w:t>7.35</w:t>
            </w:r>
          </w:p>
        </w:tc>
        <w:tc>
          <w:tcPr>
            <w:tcW w:type="dxa" w:w="1930"/>
          </w:tcPr>
          <w:p>
            <w:pPr>
              <w:spacing w:after="20"/>
              <w:jc w:val="center"/>
            </w:pPr>
            <w:r>
              <w:rPr>
                <w:rFonts w:ascii="Calibri" w:hAnsi="Calibri"/>
                <w:sz w:val="18"/>
              </w:rPr>
              <w:t>3.83</w:t>
            </w:r>
          </w:p>
        </w:tc>
        <w:tc>
          <w:tcPr>
            <w:tcW w:type="dxa" w:w="1930"/>
          </w:tcPr>
          <w:p>
            <w:pPr>
              <w:spacing w:after="20"/>
              <w:jc w:val="center"/>
            </w:pPr>
            <w:r>
              <w:rPr>
                <w:rFonts w:ascii="Calibri" w:hAnsi="Calibri"/>
                <w:sz w:val="18"/>
              </w:rPr>
              <w:t>6.17</w:t>
            </w:r>
          </w:p>
        </w:tc>
      </w:tr>
    </w:tbl>
    <w:p>
      <w:pPr>
        <w:spacing w:after="40"/>
      </w:pP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contrast</w:t>
            </w:r>
          </w:p>
        </w:tc>
        <w:tc>
          <w:tcPr>
            <w:tcW w:type="dxa" w:w="3348"/>
            <w:shd w:val="clear" w:color="auto" w:fill="1F3864"/>
          </w:tcPr>
          <w:p>
            <w:pPr>
              <w:spacing w:after="20"/>
            </w:pPr>
            <w:r>
              <w:rPr>
                <w:rFonts w:ascii="Calibri" w:hAnsi="Calibri"/>
                <w:b/>
                <w:color w:val="FFFFFF"/>
                <w:sz w:val="18"/>
              </w:rPr>
              <w:t>estimate</w:t>
            </w:r>
          </w:p>
        </w:tc>
        <w:tc>
          <w:tcPr>
            <w:tcW w:type="dxa" w:w="3348"/>
            <w:shd w:val="clear" w:color="auto" w:fill="1F3864"/>
          </w:tcPr>
          <w:p>
            <w:pPr>
              <w:spacing w:after="20"/>
            </w:pPr>
            <w:r>
              <w:rPr>
                <w:rFonts w:ascii="Calibri" w:hAnsi="Calibri"/>
                <w:b/>
                <w:color w:val="FFFFFF"/>
                <w:sz w:val="18"/>
              </w:rPr>
              <w:t>95% CI (t, n=5 items)</w:t>
            </w:r>
          </w:p>
        </w:tc>
      </w:tr>
      <w:tr>
        <w:trPr>
          <w:cantSplit/>
        </w:trPr>
        <w:tc>
          <w:tcPr>
            <w:tcW w:type="dxa" w:w="2952"/>
          </w:tcPr>
          <w:p>
            <w:pPr>
              <w:spacing w:after="20"/>
            </w:pPr>
            <w:r>
              <w:rPr>
                <w:rFonts w:ascii="Calibri" w:hAnsi="Calibri"/>
                <w:sz w:val="18"/>
              </w:rPr>
              <w:t>yes-bias, consciousness</w:t>
            </w:r>
          </w:p>
        </w:tc>
        <w:tc>
          <w:tcPr>
            <w:tcW w:type="dxa" w:w="3348"/>
          </w:tcPr>
          <w:p>
            <w:pPr>
              <w:spacing w:after="20"/>
            </w:pPr>
            <w:r>
              <w:rPr>
                <w:rFonts w:ascii="Calibri" w:hAnsi="Calibri"/>
                <w:sz w:val="18"/>
              </w:rPr>
              <w:t>+2.75</w:t>
            </w:r>
          </w:p>
        </w:tc>
        <w:tc>
          <w:tcPr>
            <w:tcW w:type="dxa" w:w="3348"/>
          </w:tcPr>
          <w:p>
            <w:pPr>
              <w:spacing w:after="20"/>
            </w:pPr>
            <w:r>
              <w:rPr>
                <w:rFonts w:ascii="Calibri" w:hAnsi="Calibri"/>
                <w:sz w:val="18"/>
              </w:rPr>
              <w:t>[+1.50, +4.00]</w:t>
            </w:r>
          </w:p>
        </w:tc>
      </w:tr>
      <w:tr>
        <w:trPr>
          <w:cantSplit/>
        </w:trPr>
        <w:tc>
          <w:tcPr>
            <w:tcW w:type="dxa" w:w="2952"/>
            <w:shd w:val="clear" w:color="auto" w:fill="EEF2F8"/>
          </w:tcPr>
          <w:p>
            <w:pPr>
              <w:spacing w:after="20"/>
            </w:pPr>
            <w:r>
              <w:rPr>
                <w:rFonts w:ascii="Calibri" w:hAnsi="Calibri"/>
                <w:sz w:val="18"/>
              </w:rPr>
              <w:t>yes-bias, placebo</w:t>
            </w:r>
          </w:p>
        </w:tc>
        <w:tc>
          <w:tcPr>
            <w:tcW w:type="dxa" w:w="3348"/>
            <w:shd w:val="clear" w:color="auto" w:fill="EEF2F8"/>
          </w:tcPr>
          <w:p>
            <w:pPr>
              <w:spacing w:after="20"/>
            </w:pPr>
            <w:r>
              <w:rPr>
                <w:rFonts w:ascii="Calibri" w:hAnsi="Calibri"/>
                <w:sz w:val="18"/>
              </w:rPr>
              <w:t>+2.87</w:t>
            </w:r>
          </w:p>
        </w:tc>
        <w:tc>
          <w:tcPr>
            <w:tcW w:type="dxa" w:w="3348"/>
            <w:shd w:val="clear" w:color="auto" w:fill="EEF2F8"/>
          </w:tcPr>
          <w:p>
            <w:pPr>
              <w:spacing w:after="20"/>
            </w:pPr>
            <w:r>
              <w:rPr>
                <w:rFonts w:ascii="Calibri" w:hAnsi="Calibri"/>
                <w:sz w:val="18"/>
              </w:rPr>
              <w:t>[+2.09, +3.65]</w:t>
            </w:r>
          </w:p>
        </w:tc>
      </w:tr>
      <w:tr>
        <w:trPr>
          <w:cantSplit/>
        </w:trPr>
        <w:tc>
          <w:tcPr>
            <w:tcW w:type="dxa" w:w="2952"/>
          </w:tcPr>
          <w:p>
            <w:pPr>
              <w:spacing w:after="20"/>
            </w:pPr>
            <w:r>
              <w:rPr>
                <w:rFonts w:ascii="Calibri" w:hAnsi="Calibri"/>
                <w:sz w:val="18"/>
              </w:rPr>
              <w:t>balanced, consciousness vs baseline</w:t>
            </w:r>
          </w:p>
        </w:tc>
        <w:tc>
          <w:tcPr>
            <w:tcW w:type="dxa" w:w="3348"/>
          </w:tcPr>
          <w:p>
            <w:pPr>
              <w:spacing w:after="20"/>
            </w:pPr>
            <w:r>
              <w:rPr>
                <w:rFonts w:ascii="Calibri" w:hAnsi="Calibri"/>
                <w:sz w:val="18"/>
              </w:rPr>
              <w:t>+0.65</w:t>
            </w:r>
          </w:p>
        </w:tc>
        <w:tc>
          <w:tcPr>
            <w:tcW w:type="dxa" w:w="3348"/>
          </w:tcPr>
          <w:p>
            <w:pPr>
              <w:spacing w:after="20"/>
            </w:pPr>
            <w:r>
              <w:rPr>
                <w:rFonts w:ascii="Calibri" w:hAnsi="Calibri"/>
                <w:sz w:val="18"/>
              </w:rPr>
              <w:t>[−0.74, +2.04]</w:t>
            </w:r>
          </w:p>
        </w:tc>
      </w:tr>
      <w:tr>
        <w:trPr>
          <w:cantSplit/>
        </w:trPr>
        <w:tc>
          <w:tcPr>
            <w:tcW w:type="dxa" w:w="2952"/>
            <w:shd w:val="clear" w:color="auto" w:fill="EEF2F8"/>
          </w:tcPr>
          <w:p>
            <w:pPr>
              <w:spacing w:after="20"/>
            </w:pPr>
            <w:r>
              <w:rPr>
                <w:rFonts w:ascii="Calibri" w:hAnsi="Calibri"/>
                <w:sz w:val="18"/>
              </w:rPr>
              <w:t>balanced, consciousness − placebo (paired, 5 items)</w:t>
            </w:r>
          </w:p>
        </w:tc>
        <w:tc>
          <w:tcPr>
            <w:tcW w:type="dxa" w:w="3348"/>
            <w:shd w:val="clear" w:color="auto" w:fill="EEF2F8"/>
          </w:tcPr>
          <w:p>
            <w:pPr>
              <w:spacing w:after="20"/>
            </w:pPr>
            <w:r>
              <w:rPr>
                <w:rFonts w:ascii="Calibri" w:hAnsi="Calibri"/>
                <w:sz w:val="18"/>
              </w:rPr>
              <w:t>+0.72</w:t>
            </w:r>
          </w:p>
        </w:tc>
        <w:tc>
          <w:tcPr>
            <w:tcW w:type="dxa" w:w="3348"/>
            <w:shd w:val="clear" w:color="auto" w:fill="EEF2F8"/>
          </w:tcPr>
          <w:p>
            <w:pPr>
              <w:spacing w:after="20"/>
            </w:pPr>
            <w:r>
              <w:rPr>
                <w:rFonts w:ascii="Calibri" w:hAnsi="Calibri"/>
                <w:sz w:val="18"/>
              </w:rPr>
              <w:t xml:space="preserve">[+0.30, +1.14] — </w:t>
            </w:r>
            <w:r>
              <w:rPr>
                <w:rFonts w:ascii="Calibri" w:hAnsi="Calibri"/>
                <w:b/>
                <w:sz w:val="18"/>
              </w:rPr>
              <w:t>withdrawn, see below</w:t>
            </w:r>
          </w:p>
        </w:tc>
      </w:tr>
    </w:tbl>
    <w:p>
      <w:pPr>
        <w:spacing w:after="40"/>
      </w:pPr>
    </w:p>
    <w:p>
      <w:pPr>
        <w:spacing w:after="100"/>
      </w:pPr>
      <w:r>
        <w:rPr>
          <w:rFonts w:ascii="Calibri" w:hAnsi="Calibri"/>
          <w:sz w:val="19"/>
        </w:rPr>
        <w:t xml:space="preserve">Both polarities rise for the consciousness arm (4 of 5 items individually; the exception, </w:t>
      </w:r>
      <w:r>
        <w:rPr>
          <w:rFonts w:ascii="Consolas" w:hAnsi="Consolas"/>
          <w:sz w:val="19"/>
        </w:rPr>
        <w:t>soul</w:t>
      </w:r>
      <w:r>
        <w:rPr>
          <w:rFonts w:ascii="Calibri" w:hAnsi="Calibri"/>
          <w:sz w:val="19"/>
        </w:rPr>
        <w:t>, baselined at 7.12 with little ceiling room). So the yes-bias survives the paper's own scoring — and the placebo produces the same one, confirming it is non-specific.</w:t>
      </w:r>
    </w:p>
    <w:p>
      <w:pPr>
        <w:spacing w:after="100"/>
      </w:pPr>
      <w:r>
        <w:rPr>
          <w:rFonts w:ascii="Calibri" w:hAnsi="Calibri"/>
          <w:b/>
          <w:sz w:val="19"/>
        </w:rPr>
        <w:t>Third, an apparent specific effect that did not survive replication.</w:t>
      </w:r>
      <w:r>
        <w:rPr>
          <w:rFonts w:ascii="Calibri" w:hAnsi="Calibri"/>
          <w:sz w:val="19"/>
        </w:rPr>
        <w:t xml:space="preserve"> On these 5 items the paired consciousness-minus-placebo contrast was +0.72, CI [+0.30, +1.14], excluding zero. We flagged it as needing replication on the 21-item IDAQ before it could carry weight, and ran that: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instrument</w:t>
            </w:r>
          </w:p>
        </w:tc>
        <w:tc>
          <w:tcPr>
            <w:tcW w:type="dxa" w:w="1674"/>
            <w:shd w:val="clear" w:color="auto" w:fill="1F3864"/>
          </w:tcPr>
          <w:p>
            <w:pPr>
              <w:spacing w:after="20"/>
            </w:pPr>
            <w:r>
              <w:rPr>
                <w:rFonts w:ascii="Calibri" w:hAnsi="Calibri"/>
                <w:b/>
                <w:color w:val="FFFFFF"/>
                <w:sz w:val="18"/>
              </w:rPr>
              <w:t>items</w:t>
            </w:r>
          </w:p>
        </w:tc>
        <w:tc>
          <w:tcPr>
            <w:tcW w:type="dxa" w:w="1674"/>
            <w:shd w:val="clear" w:color="auto" w:fill="1F3864"/>
          </w:tcPr>
          <w:p>
            <w:pPr>
              <w:spacing w:after="20"/>
            </w:pPr>
            <w:r>
              <w:rPr>
                <w:rFonts w:ascii="Calibri" w:hAnsi="Calibri"/>
                <w:b/>
                <w:color w:val="FFFFFF"/>
                <w:sz w:val="18"/>
              </w:rPr>
              <w:t>cons − plac (balanced)</w:t>
            </w:r>
          </w:p>
        </w:tc>
        <w:tc>
          <w:tcPr>
            <w:tcW w:type="dxa" w:w="1674"/>
            <w:shd w:val="clear" w:color="auto" w:fill="1F3864"/>
          </w:tcPr>
          <w:p>
            <w:pPr>
              <w:spacing w:after="20"/>
            </w:pPr>
            <w:r>
              <w:rPr>
                <w:rFonts w:ascii="Calibri" w:hAnsi="Calibri"/>
                <w:b/>
                <w:color w:val="FFFFFF"/>
                <w:sz w:val="18"/>
              </w:rPr>
              <w:t>95% CI</w:t>
            </w:r>
          </w:p>
        </w:tc>
        <w:tc>
          <w:tcPr>
            <w:tcW w:type="dxa" w:w="1674"/>
            <w:shd w:val="clear" w:color="auto" w:fill="1F3864"/>
          </w:tcPr>
          <w:p>
            <w:pPr>
              <w:spacing w:after="20"/>
            </w:pPr>
            <w:r>
              <w:rPr>
                <w:rFonts w:ascii="Calibri" w:hAnsi="Calibri"/>
                <w:b/>
                <w:color w:val="FFFFFF"/>
                <w:sz w:val="18"/>
              </w:rPr>
              <w:t>inflation cons vs plac</w:t>
            </w:r>
          </w:p>
        </w:tc>
      </w:tr>
      <w:tr>
        <w:trPr>
          <w:cantSplit/>
        </w:trPr>
        <w:tc>
          <w:tcPr>
            <w:tcW w:type="dxa" w:w="2952"/>
          </w:tcPr>
          <w:p>
            <w:pPr>
              <w:spacing w:after="20"/>
            </w:pPr>
            <w:r>
              <w:rPr>
                <w:rFonts w:ascii="Calibri" w:hAnsi="Calibri"/>
                <w:sz w:val="18"/>
              </w:rPr>
              <w:t>self-attribution battery</w:t>
            </w:r>
          </w:p>
        </w:tc>
        <w:tc>
          <w:tcPr>
            <w:tcW w:type="dxa" w:w="1674"/>
          </w:tcPr>
          <w:p>
            <w:pPr>
              <w:spacing w:after="20"/>
            </w:pPr>
            <w:r>
              <w:rPr>
                <w:rFonts w:ascii="Calibri" w:hAnsi="Calibri"/>
                <w:sz w:val="18"/>
              </w:rPr>
              <w:t>5</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[+0.30, +1.14]</w:t>
            </w:r>
          </w:p>
        </w:tc>
        <w:tc>
          <w:tcPr>
            <w:tcW w:type="dxa" w:w="1674"/>
          </w:tcPr>
          <w:p>
            <w:pPr>
              <w:spacing w:after="20"/>
            </w:pPr>
            <w:r>
              <w:rPr>
                <w:rFonts w:ascii="Calibri" w:hAnsi="Calibri"/>
                <w:sz w:val="18"/>
              </w:rPr>
              <w:t>6.05 vs 6.17</w:t>
            </w:r>
          </w:p>
        </w:tc>
      </w:tr>
      <w:tr>
        <w:trPr>
          <w:cantSplit/>
        </w:trPr>
        <w:tc>
          <w:tcPr>
            <w:tcW w:type="dxa" w:w="2952"/>
            <w:shd w:val="clear" w:color="auto" w:fill="EEF2F8"/>
          </w:tcPr>
          <w:p>
            <w:pPr>
              <w:spacing w:after="20"/>
            </w:pPr>
            <w:r>
              <w:rPr>
                <w:rFonts w:ascii="Calibri" w:hAnsi="Calibri"/>
                <w:b/>
                <w:sz w:val="18"/>
              </w:rPr>
              <w:t>IDAQ (paper's headline)</w:t>
            </w:r>
          </w:p>
        </w:tc>
        <w:tc>
          <w:tcPr>
            <w:tcW w:type="dxa" w:w="1674"/>
            <w:shd w:val="clear" w:color="auto" w:fill="EEF2F8"/>
          </w:tcPr>
          <w:p>
            <w:pPr>
              <w:spacing w:after="20"/>
            </w:pPr>
            <w:r>
              <w:rPr>
                <w:rFonts w:ascii="Calibri" w:hAnsi="Calibri"/>
                <w:b/>
                <w:sz w:val="18"/>
              </w:rPr>
              <w:t>21</w:t>
            </w:r>
          </w:p>
        </w:tc>
        <w:tc>
          <w:tcPr>
            <w:tcW w:type="dxa" w:w="1674"/>
            <w:shd w:val="clear" w:color="auto" w:fill="EEF2F8"/>
          </w:tcPr>
          <w:p>
            <w:pPr>
              <w:spacing w:after="20"/>
            </w:pPr>
            <w:r>
              <w:rPr>
                <w:rFonts w:ascii="Calibri" w:hAnsi="Calibri"/>
                <w:b/>
                <w:sz w:val="18"/>
              </w:rPr>
              <w:t>+0.230</w:t>
            </w:r>
          </w:p>
        </w:tc>
        <w:tc>
          <w:tcPr>
            <w:tcW w:type="dxa" w:w="1674"/>
            <w:shd w:val="clear" w:color="auto" w:fill="EEF2F8"/>
          </w:tcPr>
          <w:p>
            <w:pPr>
              <w:spacing w:after="20"/>
            </w:pPr>
            <w:r>
              <w:rPr>
                <w:rFonts w:ascii="Calibri" w:hAnsi="Calibri"/>
                <w:b/>
                <w:sz w:val="18"/>
              </w:rPr>
              <w:t>[−0.109, +0.570]</w:t>
            </w:r>
          </w:p>
        </w:tc>
        <w:tc>
          <w:tcPr>
            <w:tcW w:type="dxa" w:w="1674"/>
            <w:shd w:val="clear" w:color="auto" w:fill="EEF2F8"/>
          </w:tcPr>
          <w:p>
            <w:pPr>
              <w:spacing w:after="20"/>
            </w:pPr>
            <w:r>
              <w:rPr>
                <w:rFonts w:ascii="Calibri" w:hAnsi="Calibri"/>
                <w:b/>
                <w:sz w:val="18"/>
              </w:rPr>
              <w:t>6.58 vs 6.64</w:t>
            </w:r>
          </w:p>
        </w:tc>
      </w:tr>
    </w:tbl>
    <w:p>
      <w:pPr>
        <w:spacing w:after="40"/>
      </w:pPr>
    </w:p>
    <w:p>
      <w:pPr>
        <w:spacing w:after="100"/>
      </w:pPr>
      <w:r>
        <w:rPr>
          <w:rFonts w:ascii="Calibri" w:hAnsi="Calibri"/>
          <w:sz w:val="19"/>
        </w:rPr>
        <w:t xml:space="preserve">The effect shrinks by two thirds and the interval covers zero, at a comparable standard error (0.163 vs 0.150) — so this is not a power failure, and the 21-item estimate is the better one: four times the items, on the instrument the paper actually headlines. </w:t>
      </w:r>
      <w:r>
        <w:rPr>
          <w:rFonts w:ascii="Calibri" w:hAnsi="Calibri"/>
          <w:b/>
          <w:sz w:val="19"/>
        </w:rPr>
        <w:t>The +0.72 is withdrawn as a small-sample artifact.</w:t>
      </w:r>
      <w:r>
        <w:rPr>
          <w:rFonts w:ascii="Calibri" w:hAnsi="Calibri"/>
          <w:sz w:val="19"/>
        </w:rPr>
        <w:t xml:space="preserve"> With 5 items a single atypical item moves the paired mean by ~0.2, which is enough to manufacture an interval that excludes zero.</w:t>
      </w:r>
    </w:p>
    <w:p>
      <w:pPr>
        <w:spacing w:after="100"/>
      </w:pPr>
      <w:r>
        <w:rPr>
          <w:rFonts w:ascii="Calibri" w:hAnsi="Calibri"/>
          <w:sz w:val="19"/>
        </w:rPr>
        <w:t>Net: no consciousness-specific effect is established anywhere in this replication, and the yes-bias is non-specific on both instruments.</w:t>
      </w:r>
    </w:p>
    <w:p>
      <w:pPr>
        <w:pStyle w:val="Heading2"/>
        <w:spacing w:before="220" w:after="100"/>
      </w:pPr>
      <w:r>
        <w:rPr>
          <w:rFonts w:ascii="Calibri" w:hAnsi="Calibri"/>
          <w:b/>
          <w:color w:val="1F3864"/>
          <w:sz w:val="22"/>
        </w:rPr>
        <w:t>Experiment 4, corrected — the direction reproduces; only ablation is specific</w:t>
      </w:r>
    </w:p>
    <w:p>
      <w:pPr>
        <w:spacing w:after="100"/>
      </w:pPr>
      <w:r>
        <w:rPr>
          <w:rFonts w:ascii="Calibri" w:hAnsi="Calibri"/>
          <w:sz w:val="19"/>
        </w:rPr>
        <w:t>These supersede every ΔKL number earlier in the document. Same measurement, same model runs, the only change being scale-ordered response options (</w:t>
      </w:r>
      <w:r>
        <w:rPr>
          <w:rFonts w:ascii="Consolas" w:hAnsi="Consolas"/>
          <w:sz w:val="19"/>
        </w:rPr>
        <w:t>gss_human_v2.json</w:t>
      </w:r>
      <w:r>
        <w:rPr>
          <w:rFonts w:ascii="Calibri" w:hAnsi="Calibri"/>
          <w:sz w:val="19"/>
        </w:rPr>
        <w:t>).</w:t>
      </w:r>
    </w:p>
    <w:p>
      <w:pPr>
        <w:spacing w:after="100"/>
      </w:pPr>
      <w:r>
        <w:rPr>
          <w:rFonts w:ascii="Calibri" w:hAnsi="Calibri"/>
          <w:b/>
          <w:sz w:val="19"/>
        </w:rPr>
        <w:t>Steering.</w:t>
      </w:r>
      <w:r>
        <w:rPr>
          <w:rFonts w:ascii="Calibri" w:hAnsi="Calibri"/>
          <w:sz w:val="19"/>
        </w:rPr>
        <w:t xml:space="preserve"> The sign flips to agree with the paper, and scales with coefficient: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c=1.0</w:t>
            </w:r>
          </w:p>
        </w:tc>
        <w:tc>
          <w:tcPr>
            <w:tcW w:type="dxa" w:w="1930"/>
            <w:shd w:val="clear" w:color="auto" w:fill="1F3864"/>
          </w:tcPr>
          <w:p>
            <w:pPr>
              <w:spacing w:after="20"/>
              <w:jc w:val="center"/>
            </w:pPr>
            <w:r>
              <w:rPr>
                <w:rFonts w:ascii="Calibri" w:hAnsi="Calibri"/>
                <w:b/>
                <w:color w:val="FFFFFF"/>
                <w:sz w:val="18"/>
              </w:rPr>
              <w:t>c=2.5</w:t>
            </w:r>
          </w:p>
        </w:tc>
        <w:tc>
          <w:tcPr>
            <w:tcW w:type="dxa" w:w="1930"/>
            <w:shd w:val="clear" w:color="auto" w:fill="1F3864"/>
          </w:tcPr>
          <w:p>
            <w:pPr>
              <w:spacing w:after="20"/>
              <w:jc w:val="center"/>
            </w:pPr>
            <w:r>
              <w:rPr>
                <w:rFonts w:ascii="Calibri" w:hAnsi="Calibri"/>
                <w:b/>
                <w:color w:val="FFFFFF"/>
                <w:sz w:val="18"/>
              </w:rPr>
              <w:t>c=4.0</w:t>
            </w:r>
          </w:p>
        </w:tc>
        <w:tc>
          <w:tcPr>
            <w:tcW w:type="dxa" w:w="1930"/>
            <w:shd w:val="clear" w:color="auto" w:fill="1F3864"/>
          </w:tcPr>
          <w:p>
            <w:pPr>
              <w:spacing w:after="20"/>
              <w:jc w:val="center"/>
            </w:pPr>
            <w:r>
              <w:rPr>
                <w:rFonts w:ascii="Calibri" w:hAnsi="Calibri"/>
                <w:b/>
                <w:color w:val="FFFFFF"/>
                <w:sz w:val="18"/>
              </w:rPr>
              <w:t>old (buggy) at c=2.5</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+0.117</w:t>
            </w:r>
          </w:p>
        </w:tc>
        <w:tc>
          <w:tcPr>
            <w:tcW w:type="dxa" w:w="1930"/>
          </w:tcPr>
          <w:p>
            <w:pPr>
              <w:spacing w:after="20"/>
              <w:jc w:val="center"/>
            </w:pPr>
            <w:r>
              <w:rPr>
                <w:rFonts w:ascii="Calibri" w:hAnsi="Calibri"/>
                <w:b/>
                <w:sz w:val="18"/>
              </w:rPr>
              <w:t>+0.330</w:t>
            </w:r>
          </w:p>
        </w:tc>
        <w:tc>
          <w:tcPr>
            <w:tcW w:type="dxa" w:w="1930"/>
          </w:tcPr>
          <w:p>
            <w:pPr>
              <w:spacing w:after="20"/>
              <w:jc w:val="center"/>
            </w:pPr>
            <w:r>
              <w:rPr>
                <w:rFonts w:ascii="Calibri" w:hAnsi="Calibri"/>
                <w:b/>
                <w:sz w:val="18"/>
              </w:rPr>
              <w:t>+0.598</w:t>
            </w:r>
          </w:p>
        </w:tc>
        <w:tc>
          <w:tcPr>
            <w:tcW w:type="dxa" w:w="1930"/>
          </w:tcPr>
          <w:p>
            <w:pPr>
              <w:spacing w:after="20"/>
              <w:jc w:val="center"/>
            </w:pPr>
            <w:r>
              <w:rPr>
                <w:rFonts w:ascii="Calibri" w:hAnsi="Calibri"/>
                <w:sz w:val="18"/>
              </w:rPr>
              <w:t>−0.141</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+0.187</w:t>
            </w:r>
          </w:p>
        </w:tc>
        <w:tc>
          <w:tcPr>
            <w:tcW w:type="dxa" w:w="1930"/>
            <w:shd w:val="clear" w:color="auto" w:fill="EEF2F8"/>
          </w:tcPr>
          <w:p>
            <w:pPr>
              <w:spacing w:after="20"/>
              <w:jc w:val="center"/>
            </w:pPr>
            <w:r>
              <w:rPr>
                <w:rFonts w:ascii="Calibri" w:hAnsi="Calibri"/>
                <w:sz w:val="18"/>
              </w:rPr>
              <w:t>+0.231</w:t>
            </w:r>
          </w:p>
        </w:tc>
        <w:tc>
          <w:tcPr>
            <w:tcW w:type="dxa" w:w="1930"/>
            <w:shd w:val="clear" w:color="auto" w:fill="EEF2F8"/>
          </w:tcPr>
          <w:p>
            <w:pPr>
              <w:spacing w:after="20"/>
              <w:jc w:val="center"/>
            </w:pPr>
            <w:r>
              <w:rPr>
                <w:rFonts w:ascii="Calibri" w:hAnsi="Calibri"/>
                <w:sz w:val="18"/>
              </w:rPr>
              <w:t>+0.326</w:t>
            </w:r>
          </w:p>
        </w:tc>
        <w:tc>
          <w:tcPr>
            <w:tcW w:type="dxa" w:w="1930"/>
            <w:shd w:val="clear" w:color="auto" w:fill="EEF2F8"/>
          </w:tcPr>
          <w:p>
            <w:pPr>
              <w:spacing w:after="20"/>
              <w:jc w:val="center"/>
            </w:pPr>
            <w:r>
              <w:rPr>
                <w:rFonts w:ascii="Calibri" w:hAnsi="Calibri"/>
                <w:sz w:val="18"/>
              </w:rPr>
              <w:t>−0.177</w:t>
            </w:r>
          </w:p>
        </w:tc>
      </w:tr>
      <w:tr>
        <w:trPr>
          <w:cantSplit/>
        </w:trPr>
        <w:tc>
          <w:tcPr>
            <w:tcW w:type="dxa" w:w="1930"/>
          </w:tcPr>
          <w:p>
            <w:pPr>
              <w:spacing w:after="20"/>
            </w:pPr>
            <w:r>
              <w:rPr>
                <w:rFonts w:ascii="Calibri" w:hAnsi="Calibri"/>
                <w:sz w:val="18"/>
              </w:rPr>
              <w:t>permuted null</w:t>
            </w:r>
          </w:p>
        </w:tc>
        <w:tc>
          <w:tcPr>
            <w:tcW w:type="dxa" w:w="1930"/>
          </w:tcPr>
          <w:p>
            <w:pPr>
              <w:spacing w:after="20"/>
              <w:jc w:val="center"/>
            </w:pPr>
            <w:r>
              <w:rPr>
                <w:rFonts w:ascii="Calibri" w:hAnsi="Calibri"/>
                <w:sz w:val="18"/>
              </w:rPr>
              <w:t>+0.049</w:t>
            </w:r>
          </w:p>
        </w:tc>
        <w:tc>
          <w:tcPr>
            <w:tcW w:type="dxa" w:w="1930"/>
          </w:tcPr>
          <w:p>
            <w:pPr>
              <w:spacing w:after="20"/>
              <w:jc w:val="center"/>
            </w:pPr>
            <w:r>
              <w:rPr>
                <w:rFonts w:ascii="Calibri" w:hAnsi="Calibri"/>
                <w:sz w:val="18"/>
              </w:rPr>
              <w:t>+0.147</w:t>
            </w:r>
          </w:p>
        </w:tc>
        <w:tc>
          <w:tcPr>
            <w:tcW w:type="dxa" w:w="1930"/>
          </w:tcPr>
          <w:p>
            <w:pPr>
              <w:spacing w:after="20"/>
              <w:jc w:val="center"/>
            </w:pPr>
            <w:r>
              <w:rPr>
                <w:rFonts w:ascii="Calibri" w:hAnsi="Calibri"/>
                <w:b/>
                <w:sz w:val="18"/>
              </w:rPr>
              <w:t>+0.288</w:t>
            </w:r>
          </w:p>
        </w:tc>
        <w:tc>
          <w:tcPr>
            <w:tcW w:type="dxa" w:w="1930"/>
          </w:tcPr>
          <w:p>
            <w:pPr>
              <w:spacing w:after="20"/>
              <w:jc w:val="center"/>
            </w:pPr>
            <w:r>
              <w:rPr>
                <w:rFonts w:ascii="Calibri" w:hAnsi="Calibri"/>
                <w:sz w:val="18"/>
              </w:rPr>
              <w:t>−0.063</w:t>
            </w:r>
          </w:p>
        </w:tc>
      </w:tr>
    </w:tbl>
    <w:p>
      <w:pPr>
        <w:spacing w:after="40"/>
      </w:pPr>
    </w:p>
    <w:p>
      <w:pPr>
        <w:spacing w:after="100"/>
      </w:pPr>
      <w:r>
        <w:rPr>
          <w:rFonts w:ascii="Calibri" w:hAnsi="Calibri"/>
          <w:sz w:val="19"/>
        </w:rPr>
        <w:t xml:space="preserve">So our headline "opposite sign on Experiment 4" was </w:t>
      </w:r>
      <w:r>
        <w:rPr>
          <w:rFonts w:ascii="Calibri" w:hAnsi="Calibri"/>
          <w:b/>
          <w:sz w:val="19"/>
        </w:rPr>
        <w:t>our own artifact</w:t>
      </w:r>
      <w:r>
        <w:rPr>
          <w:rFonts w:ascii="Calibri" w:hAnsi="Calibri"/>
          <w:sz w:val="19"/>
        </w:rPr>
        <w:t xml:space="preserve">, now retracted. But the controls deny specificity: at c=4 a label-shuffled null reaches +0.288, i.e. </w:t>
      </w:r>
      <w:r>
        <w:rPr>
          <w:rFonts w:ascii="Calibri" w:hAnsi="Calibri"/>
          <w:b/>
          <w:sz w:val="19"/>
        </w:rPr>
        <w:t>48% of the consciousness arm</w:t>
      </w:r>
      <w:r>
        <w:rPr>
          <w:rFonts w:ascii="Calibri" w:hAnsi="Calibri"/>
          <w:sz w:val="19"/>
        </w:rPr>
        <w:t>, and the placebo more than half. Per domain at c=2.5, Religion is +0.712 against their +0.83 — close — but the placebo gets +0.626 on the same domain.</w:t>
      </w:r>
    </w:p>
    <w:p>
      <w:pPr>
        <w:spacing w:after="100"/>
      </w:pPr>
      <w:r>
        <w:rPr>
          <w:rFonts w:ascii="Calibri" w:hAnsi="Calibri"/>
          <w:b/>
          <w:sz w:val="19"/>
        </w:rPr>
        <w:t>Ablation.</w:t>
      </w:r>
      <w:r>
        <w:rPr>
          <w:rFonts w:ascii="Calibri" w:hAnsi="Calibri"/>
          <w:sz w:val="19"/>
        </w:rPr>
        <w:t xml:space="preserve"> Right sign on all three models, and here the controls </w:t>
      </w:r>
      <w:r>
        <w:rPr>
          <w:rFonts w:ascii="Calibri" w:hAnsi="Calibri"/>
          <w:i/>
          <w:sz w:val="19"/>
        </w:rPr>
        <w:t>do</w:t>
      </w:r>
      <w:r>
        <w:rPr>
          <w:rFonts w:ascii="Calibri" w:hAnsi="Calibri"/>
          <w:sz w:val="19"/>
        </w:rPr>
        <w:t xml:space="preserve"> support specificity:</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refusal-ablated</w:t>
            </w:r>
          </w:p>
        </w:tc>
        <w:tc>
          <w:tcPr>
            <w:tcW w:type="dxa" w:w="1930"/>
            <w:shd w:val="clear" w:color="auto" w:fill="1F3864"/>
          </w:tcPr>
          <w:p>
            <w:pPr>
              <w:spacing w:after="20"/>
              <w:jc w:val="center"/>
            </w:pPr>
            <w:r>
              <w:rPr>
                <w:rFonts w:ascii="Calibri" w:hAnsi="Calibri"/>
                <w:b/>
                <w:color w:val="FFFFFF"/>
                <w:sz w:val="18"/>
              </w:rPr>
              <w:t>random control</w:t>
            </w:r>
          </w:p>
        </w:tc>
        <w:tc>
          <w:tcPr>
            <w:tcW w:type="dxa" w:w="1930"/>
            <w:shd w:val="clear" w:color="auto" w:fill="1F3864"/>
          </w:tcPr>
          <w:p>
            <w:pPr>
              <w:spacing w:after="20"/>
              <w:jc w:val="center"/>
            </w:pPr>
            <w:r>
              <w:rPr>
                <w:rFonts w:ascii="Calibri" w:hAnsi="Calibri"/>
                <w:b/>
                <w:color w:val="FFFFFF"/>
                <w:sz w:val="18"/>
              </w:rPr>
              <w:t>old (buggy)</w:t>
            </w:r>
          </w:p>
        </w:tc>
        <w:tc>
          <w:tcPr>
            <w:tcW w:type="dxa" w:w="1930"/>
            <w:shd w:val="clear" w:color="auto" w:fill="1F3864"/>
          </w:tcPr>
          <w:p>
            <w:pPr>
              <w:spacing w:after="20"/>
              <w:jc w:val="center"/>
            </w:pPr>
            <w:r>
              <w:rPr>
                <w:rFonts w:ascii="Calibri" w:hAnsi="Calibri"/>
                <w:b/>
                <w:color w:val="FFFFFF"/>
                <w:sz w:val="18"/>
              </w:rPr>
              <w:t>paper</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b/>
                <w:sz w:val="18"/>
              </w:rPr>
              <w:t>+0.045</w:t>
            </w:r>
          </w:p>
        </w:tc>
        <w:tc>
          <w:tcPr>
            <w:tcW w:type="dxa" w:w="1930"/>
          </w:tcPr>
          <w:p>
            <w:pPr>
              <w:spacing w:after="20"/>
              <w:jc w:val="center"/>
            </w:pPr>
            <w:r>
              <w:rPr>
                <w:rFonts w:ascii="Calibri" w:hAnsi="Calibri"/>
                <w:sz w:val="18"/>
              </w:rPr>
              <w:t>−0.003</w:t>
            </w:r>
          </w:p>
        </w:tc>
        <w:tc>
          <w:tcPr>
            <w:tcW w:type="dxa" w:w="1930"/>
          </w:tcPr>
          <w:p>
            <w:pPr>
              <w:spacing w:after="20"/>
              <w:jc w:val="center"/>
            </w:pPr>
            <w:r>
              <w:rPr>
                <w:rFonts w:ascii="Calibri" w:hAnsi="Calibri"/>
                <w:sz w:val="18"/>
              </w:rPr>
              <w:t>−0.369 (wrong sign)</w:t>
            </w:r>
          </w:p>
        </w:tc>
        <w:tc>
          <w:tcPr>
            <w:tcW w:type="dxa" w:w="1930"/>
          </w:tcPr>
          <w:p>
            <w:pPr>
              <w:spacing w:after="20"/>
              <w:jc w:val="center"/>
            </w:pPr>
            <w:r>
              <w:rPr>
                <w:rFonts w:ascii="Calibri" w:hAnsi="Calibri"/>
                <w:sz w:val="18"/>
              </w:rPr>
              <w:t>+0.314</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b/>
                <w:sz w:val="18"/>
              </w:rPr>
              <w:t>+1.075</w:t>
            </w:r>
          </w:p>
        </w:tc>
        <w:tc>
          <w:tcPr>
            <w:tcW w:type="dxa" w:w="1930"/>
            <w:shd w:val="clear" w:color="auto" w:fill="EEF2F8"/>
          </w:tcPr>
          <w:p>
            <w:pPr>
              <w:spacing w:after="20"/>
              <w:jc w:val="center"/>
            </w:pPr>
            <w:r>
              <w:rPr>
                <w:rFonts w:ascii="Calibri" w:hAnsi="Calibri"/>
                <w:sz w:val="18"/>
              </w:rPr>
              <w:t>−0.006</w:t>
            </w:r>
          </w:p>
        </w:tc>
        <w:tc>
          <w:tcPr>
            <w:tcW w:type="dxa" w:w="1930"/>
            <w:shd w:val="clear" w:color="auto" w:fill="EEF2F8"/>
          </w:tcPr>
          <w:p>
            <w:pPr>
              <w:spacing w:after="20"/>
              <w:jc w:val="center"/>
            </w:pPr>
            <w:r>
              <w:rPr>
                <w:rFonts w:ascii="Calibri" w:hAnsi="Calibri"/>
                <w:sz w:val="18"/>
              </w:rPr>
              <w:t>+0.936</w:t>
            </w:r>
          </w:p>
        </w:tc>
        <w:tc>
          <w:tcPr>
            <w:tcW w:type="dxa" w:w="1930"/>
            <w:shd w:val="clear" w:color="auto" w:fill="EEF2F8"/>
          </w:tcPr>
          <w:p>
            <w:pPr>
              <w:spacing w:after="20"/>
              <w:jc w:val="center"/>
            </w:pPr>
            <w:r>
              <w:rPr>
                <w:rFonts w:ascii="Calibri" w:hAnsi="Calibri"/>
                <w:sz w:val="18"/>
              </w:rPr>
              <w:t>+0.314</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b/>
                <w:sz w:val="18"/>
              </w:rPr>
              <w:t>+2.457</w:t>
            </w:r>
          </w:p>
        </w:tc>
        <w:tc>
          <w:tcPr>
            <w:tcW w:type="dxa" w:w="1930"/>
          </w:tcPr>
          <w:p>
            <w:pPr>
              <w:spacing w:after="20"/>
              <w:jc w:val="center"/>
            </w:pPr>
            <w:r>
              <w:rPr>
                <w:rFonts w:ascii="Calibri" w:hAnsi="Calibri"/>
                <w:sz w:val="18"/>
              </w:rPr>
              <w:t>−0.160</w:t>
            </w:r>
          </w:p>
        </w:tc>
        <w:tc>
          <w:tcPr>
            <w:tcW w:type="dxa" w:w="1930"/>
          </w:tcPr>
          <w:p>
            <w:pPr>
              <w:spacing w:after="20"/>
              <w:jc w:val="center"/>
            </w:pPr>
            <w:r>
              <w:rPr>
                <w:rFonts w:ascii="Calibri" w:hAnsi="Calibri"/>
                <w:sz w:val="18"/>
              </w:rPr>
              <w:t>+2.029</w:t>
            </w:r>
          </w:p>
        </w:tc>
        <w:tc>
          <w:tcPr>
            <w:tcW w:type="dxa" w:w="1930"/>
          </w:tcPr>
          <w:p>
            <w:pPr>
              <w:spacing w:after="20"/>
              <w:jc w:val="center"/>
            </w:pPr>
            <w:r>
              <w:rPr>
                <w:rFonts w:ascii="Calibri" w:hAnsi="Calibri"/>
                <w:sz w:val="18"/>
              </w:rPr>
              <w:t>+0.314</w:t>
            </w:r>
          </w:p>
        </w:tc>
      </w:tr>
    </w:tbl>
    <w:p>
      <w:pPr>
        <w:spacing w:after="40"/>
      </w:pPr>
    </w:p>
    <w:p>
      <w:pPr>
        <w:spacing w:after="100"/>
      </w:pPr>
      <w:r>
        <w:rPr>
          <w:rFonts w:ascii="Calibri" w:hAnsi="Calibri"/>
          <w:sz w:val="19"/>
        </w:rPr>
        <w:t>Llama's wrong sign was the defect. The random direction ablated identically is flat everywhere, so unlike steering this is not "any perturbation of the right size".</w:t>
      </w:r>
    </w:p>
    <w:p>
      <w:pPr>
        <w:spacing w:after="100"/>
      </w:pPr>
      <w:r>
        <w:rPr>
          <w:rFonts w:ascii="Calibri" w:hAnsi="Calibri"/>
          <w:b/>
          <w:sz w:val="19"/>
        </w:rPr>
        <w:t>The de-peaking mechanism is also refusal-specific</w:t>
      </w:r>
      <w:r>
        <w:rPr>
          <w:rFonts w:ascii="Calibri" w:hAnsi="Calibri"/>
          <w:sz w:val="19"/>
        </w:rPr>
        <w:t xml:space="preserve">, which revises the earlier reading. Ablation raises entropy toward the human level (g2b 0.430→0.699, g9 0.284→0.656; human 1.257) </w:t>
      </w:r>
      <w:r>
        <w:rPr>
          <w:rFonts w:ascii="Calibri" w:hAnsi="Calibri"/>
          <w:i/>
          <w:sz w:val="19"/>
        </w:rPr>
        <w:t>and</w:t>
      </w:r>
      <w:r>
        <w:rPr>
          <w:rFonts w:ascii="Calibri" w:hAnsi="Calibri"/>
          <w:sz w:val="19"/>
        </w:rPr>
        <w:t xml:space="preserve"> raises the model-to-human option-shape correlation (g2b +0.217→+0.305, g9 +0.084→+0.258), while the random arm moves neither (entropy 0.423, 0.256). So the calibration improvement is caused by removing the refusal direction, not by perturbation per se. It remains true that the model stays well short of human entropy, so "more human-like" overstates it; "better calibrated toward the human distribution, specifically under refusal ablation" is the defensible claim.</w:t>
      </w:r>
    </w:p>
    <w:p>
      <w:pPr>
        <w:spacing w:after="100"/>
      </w:pPr>
      <w:r>
        <w:rPr>
          <w:rFonts w:ascii="Calibri" w:hAnsi="Calibri"/>
          <w:b/>
          <w:sz w:val="19"/>
        </w:rPr>
        <w:t>Not acquiescence</w:t>
      </w:r>
      <w:r>
        <w:rPr>
          <w:rFonts w:ascii="Calibri" w:hAnsi="Calibri"/>
          <w:sz w:val="19"/>
        </w:rPr>
        <w:t>, on the corrected data: affirmative- and negative-majority items improve together in every arm (steering c=2.5: +0.148 aff / +0.325 neg; g2b ablation: +1.240 / +1.066).</w:t>
      </w:r>
    </w:p>
    <w:p>
      <w:pPr>
        <w:spacing w:after="100"/>
      </w:pPr>
      <w:r>
        <w:rPr>
          <w:rFonts w:ascii="Calibri" w:hAnsi="Calibri"/>
          <w:b/>
          <w:sz w:val="19"/>
        </w:rPr>
        <w:t>Magnitude vs the paper is unresolved.</w:t>
      </w:r>
      <w:r>
        <w:rPr>
          <w:rFonts w:ascii="Calibri" w:hAnsi="Calibri"/>
          <w:sz w:val="19"/>
        </w:rPr>
        <w:t xml:space="preserve"> Table S8's caption reads "percent-point reduction in KL", which would make their +0.828 equal 0.00828 nats — but that reading implies our values exceed theirs by two orders of magnitude, which is implausible enough that the units are more likely being described loosely. We have asked the authors. Until that is settled, only the </w:t>
      </w:r>
      <w:r>
        <w:rPr>
          <w:rFonts w:ascii="Calibri" w:hAnsi="Calibri"/>
          <w:b/>
          <w:sz w:val="19"/>
        </w:rPr>
        <w:t>sign</w:t>
      </w:r>
      <w:r>
        <w:rPr>
          <w:rFonts w:ascii="Calibri" w:hAnsi="Calibri"/>
          <w:sz w:val="19"/>
        </w:rPr>
        <w:t xml:space="preserve"> and the </w:t>
      </w:r>
      <w:r>
        <w:rPr>
          <w:rFonts w:ascii="Calibri" w:hAnsi="Calibri"/>
          <w:b/>
          <w:sz w:val="19"/>
        </w:rPr>
        <w:t>control structure</w:t>
      </w:r>
      <w:r>
        <w:rPr>
          <w:rFonts w:ascii="Calibri" w:hAnsi="Calibri"/>
          <w:sz w:val="19"/>
        </w:rPr>
        <w:t xml:space="preserve"> should be compared, not the magnitudes.</w:t>
      </w:r>
    </w:p>
    <w:p>
      <w:pPr>
        <w:pStyle w:val="Heading2"/>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pStyle w:val="Heading2"/>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pStyle w:val="Heading2"/>
        <w:spacing w:before="220" w:after="100"/>
      </w:pPr>
      <w:r>
        <w:rPr>
          <w:rFonts w:ascii="Calibri" w:hAnsi="Calibri"/>
          <w:b/>
          <w:color w:val="1F3864"/>
          <w:sz w:val="22"/>
        </w:rPr>
        <w:t>Experiment 4 (KL to humans) — steering does NOT reproduce, ablation DOES on Gemma</w:t>
      </w:r>
    </w:p>
    <w:p>
      <w:pPr>
        <w:spacing w:after="100"/>
      </w:pPr>
      <w:r>
        <w:rPr>
          <w:rFonts w:ascii="Calibri" w:hAnsi="Calibri"/>
          <w:sz w:val="19"/>
        </w:rPr>
        <w:t xml:space="preserve">The paper reports Experiment 4 under </w:t>
      </w:r>
      <w:r>
        <w:rPr>
          <w:rFonts w:ascii="Calibri" w:hAnsi="Calibri"/>
          <w:b/>
          <w:sz w:val="19"/>
        </w:rPr>
        <w:t>both</w:t>
      </w:r>
      <w:r>
        <w:rPr>
          <w:rFonts w:ascii="Calibri" w:hAnsi="Calibri"/>
          <w:sz w:val="19"/>
        </w:rPr>
        <w:t xml:space="preserve"> interventions: steering (+0.828) and safety ablation (+0.314). We ran both. </w:t>
      </w:r>
      <w:r>
        <w:rPr>
          <w:rFonts w:ascii="Calibri" w:hAnsi="Calibri"/>
          <w:b/>
          <w:sz w:val="19"/>
        </w:rPr>
        <w:t>Steering fails</w:t>
      </w:r>
      <w:r>
        <w:rPr>
          <w:rFonts w:ascii="Calibri" w:hAnsi="Calibri"/>
          <w:sz w:val="19"/>
        </w:rPr>
        <w:t xml:space="preserve"> (opposite sign, below). </w:t>
      </w:r>
      <w:r>
        <w:rPr>
          <w:rFonts w:ascii="Calibri" w:hAnsi="Calibri"/>
          <w:b/>
          <w:sz w:val="19"/>
        </w:rPr>
        <w:t>Ablation genuinely reproduces on both Gemma models</w:t>
      </w:r>
      <w:r>
        <w:rPr>
          <w:rFonts w:ascii="Calibri" w:hAnsi="Calibri"/>
          <w:sz w:val="19"/>
        </w:rPr>
        <w:t xml:space="preserve"> — and getting to that took refuting two of my own wrong explanations.</w:t>
      </w:r>
    </w:p>
    <w:p>
      <w:pPr>
        <w:pStyle w:val="Heading3"/>
        <w:spacing w:before="160" w:after="60"/>
      </w:pPr>
      <w:r>
        <w:rPr>
          <w:rFonts w:ascii="Calibri" w:hAnsi="Calibri"/>
          <w:b/>
          <w:color w:val="1F3864"/>
          <w:sz w:val="20"/>
        </w:rPr>
        <w:t>Safety ablation moves Gemma's GSS answers toward humans — and it is real</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model</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c>
          <w:tcPr>
            <w:tcW w:type="dxa" w:w="2412"/>
            <w:shd w:val="clear" w:color="auto" w:fill="1F3864"/>
          </w:tcPr>
          <w:p>
            <w:pPr>
              <w:spacing w:after="20"/>
              <w:jc w:val="center"/>
            </w:pPr>
            <w:r>
              <w:rPr>
                <w:rFonts w:ascii="Calibri" w:hAnsi="Calibri"/>
                <w:b/>
                <w:color w:val="FFFFFF"/>
                <w:sz w:val="18"/>
              </w:rPr>
              <w:t>random control</w:t>
            </w:r>
          </w:p>
        </w:tc>
      </w:tr>
      <w:tr>
        <w:trPr>
          <w:cantSplit/>
        </w:trPr>
        <w:tc>
          <w:tcPr>
            <w:tcW w:type="dxa" w:w="2412"/>
          </w:tcPr>
          <w:p>
            <w:pPr>
              <w:spacing w:after="20"/>
            </w:pPr>
            <w:r>
              <w:rPr>
                <w:rFonts w:ascii="Calibri" w:hAnsi="Calibri"/>
                <w:sz w:val="18"/>
              </w:rPr>
              <w:t>Llama-3-8B</w:t>
            </w:r>
          </w:p>
        </w:tc>
        <w:tc>
          <w:tcPr>
            <w:tcW w:type="dxa" w:w="2412"/>
          </w:tcPr>
          <w:p>
            <w:pPr>
              <w:spacing w:after="20"/>
              <w:jc w:val="center"/>
            </w:pPr>
            <w:r>
              <w:rPr>
                <w:rFonts w:ascii="Calibri" w:hAnsi="Calibri"/>
                <w:sz w:val="18"/>
              </w:rPr>
              <w:t>−0.369 (wrong sign)</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−0.013</w:t>
            </w:r>
          </w:p>
        </w:tc>
      </w:tr>
      <w:tr>
        <w:trPr>
          <w:cantSplit/>
        </w:trPr>
        <w:tc>
          <w:tcPr>
            <w:tcW w:type="dxa" w:w="2412"/>
            <w:shd w:val="clear" w:color="auto" w:fill="EEF2F8"/>
          </w:tcPr>
          <w:p>
            <w:pPr>
              <w:spacing w:after="20"/>
            </w:pPr>
            <w:r>
              <w:rPr>
                <w:rFonts w:ascii="Calibri" w:hAnsi="Calibri"/>
                <w:sz w:val="18"/>
              </w:rPr>
              <w:t>Gemma-2-2B</w:t>
            </w:r>
          </w:p>
        </w:tc>
        <w:tc>
          <w:tcPr>
            <w:tcW w:type="dxa" w:w="2412"/>
            <w:shd w:val="clear" w:color="auto" w:fill="EEF2F8"/>
          </w:tcPr>
          <w:p>
            <w:pPr>
              <w:spacing w:after="20"/>
              <w:jc w:val="center"/>
            </w:pPr>
            <w:r>
              <w:rPr>
                <w:rFonts w:ascii="Calibri" w:hAnsi="Calibri"/>
                <w:b/>
                <w:sz w:val="18"/>
              </w:rPr>
              <w:t>+0.936</w:t>
            </w:r>
          </w:p>
        </w:tc>
        <w:tc>
          <w:tcPr>
            <w:tcW w:type="dxa" w:w="2412"/>
            <w:shd w:val="clear" w:color="auto" w:fill="EEF2F8"/>
          </w:tcPr>
          <w:p>
            <w:pPr>
              <w:spacing w:after="20"/>
              <w:jc w:val="center"/>
            </w:pPr>
            <w:r>
              <w:rPr>
                <w:rFonts w:ascii="Calibri" w:hAnsi="Calibri"/>
                <w:sz w:val="18"/>
              </w:rPr>
              <w:t>+0.314</w:t>
            </w:r>
          </w:p>
        </w:tc>
        <w:tc>
          <w:tcPr>
            <w:tcW w:type="dxa" w:w="2412"/>
            <w:shd w:val="clear" w:color="auto" w:fill="EEF2F8"/>
          </w:tcPr>
          <w:p>
            <w:pPr>
              <w:spacing w:after="20"/>
              <w:jc w:val="center"/>
            </w:pPr>
            <w:r>
              <w:rPr>
                <w:rFonts w:ascii="Calibri" w:hAnsi="Calibri"/>
                <w:sz w:val="18"/>
              </w:rPr>
              <w:t>+0.016</w:t>
            </w:r>
          </w:p>
        </w:tc>
      </w:tr>
      <w:tr>
        <w:trPr>
          <w:cantSplit/>
        </w:trPr>
        <w:tc>
          <w:tcPr>
            <w:tcW w:type="dxa" w:w="2412"/>
          </w:tcPr>
          <w:p>
            <w:pPr>
              <w:spacing w:after="20"/>
            </w:pPr>
            <w:r>
              <w:rPr>
                <w:rFonts w:ascii="Calibri" w:hAnsi="Calibri"/>
                <w:sz w:val="18"/>
              </w:rPr>
              <w:t>Gemma-2-9B</w:t>
            </w:r>
          </w:p>
        </w:tc>
        <w:tc>
          <w:tcPr>
            <w:tcW w:type="dxa" w:w="2412"/>
          </w:tcPr>
          <w:p>
            <w:pPr>
              <w:spacing w:after="20"/>
              <w:jc w:val="center"/>
            </w:pPr>
            <w:r>
              <w:rPr>
                <w:rFonts w:ascii="Calibri" w:hAnsi="Calibri"/>
                <w:b/>
                <w:sz w:val="18"/>
              </w:rPr>
              <w:t>+2.029</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−0.144</w:t>
            </w:r>
          </w:p>
        </w:tc>
      </w:tr>
    </w:tbl>
    <w:p>
      <w:pPr>
        <w:spacing w:after="40"/>
      </w:pPr>
    </w:p>
    <w:p>
      <w:pPr>
        <w:spacing w:after="100"/>
      </w:pPr>
      <w:r>
        <w:rPr>
          <w:rFonts w:ascii="Calibri" w:hAnsi="Calibri"/>
          <w:sz w:val="19"/>
        </w:rPr>
        <w:t xml:space="preserve">The Gemma effects are refusal-specific (random control flat) but 3–6× the paper's magnitude, which looked too big to be real. I proposed two artifacts and </w:t>
      </w:r>
      <w:r>
        <w:rPr>
          <w:rFonts w:ascii="Calibri" w:hAnsi="Calibri"/>
          <w:b/>
          <w:sz w:val="19"/>
        </w:rPr>
        <w:t>the data refuted both</w:t>
      </w:r>
      <w:r>
        <w:rPr>
          <w:rFonts w:ascii="Calibri" w:hAnsi="Calibri"/>
          <w:sz w:val="19"/>
        </w:rPr>
        <w:t>:</w:t>
      </w:r>
    </w:p>
    <w:p>
      <w:pPr>
        <w:spacing w:after="60"/>
        <w:ind w:left="432" w:hanging="432"/>
      </w:pPr>
      <w:r>
        <w:rPr>
          <w:rFonts w:ascii="Calibri" w:hAnsi="Calibri"/>
          <w:b/>
          <w:sz w:val="19"/>
        </w:rPr>
        <w:t xml:space="preserve">1.  </w:t>
      </w:r>
      <w:r>
        <w:rPr>
          <w:rFonts w:ascii="Calibri" w:hAnsi="Calibri"/>
          <w:b/>
          <w:sz w:val="19"/>
        </w:rPr>
        <w:t>Acquiescence</w:t>
      </w:r>
      <w:r>
        <w:rPr>
          <w:rFonts w:ascii="Calibri" w:hAnsi="Calibri"/>
          <w:sz w:val="19"/>
        </w:rPr>
        <w:t xml:space="preserve"> (a Yes-bias coinciding with the affirmative human majority). Refuted by the diagnostic split: the ΔKL is </w:t>
      </w:r>
      <w:r>
        <w:rPr>
          <w:rFonts w:ascii="Calibri" w:hAnsi="Calibri"/>
          <w:i/>
          <w:sz w:val="19"/>
        </w:rPr>
        <w:t>symmetric</w:t>
      </w:r>
      <w:r>
        <w:rPr>
          <w:rFonts w:ascii="Calibri" w:hAnsi="Calibri"/>
          <w:sz w:val="19"/>
        </w:rPr>
        <w:t xml:space="preserve"> across items where humans lean affirmative vs negative (g2b +0.989 / +0.813; g9 +2.038 / +1.882), not the aff-up/neg-down signature a Yes-bias requires.</w:t>
      </w:r>
    </w:p>
    <w:p>
      <w:pPr>
        <w:spacing w:after="60"/>
        <w:ind w:left="432" w:hanging="432"/>
      </w:pPr>
      <w:r>
        <w:rPr>
          <w:rFonts w:ascii="Calibri" w:hAnsi="Calibri"/>
          <w:b/>
          <w:sz w:val="19"/>
        </w:rPr>
        <w:t xml:space="preserve">2.  </w:t>
      </w:r>
      <w:r>
        <w:rPr>
          <w:rFonts w:ascii="Calibri" w:hAnsi="Calibri"/>
          <w:b/>
          <w:sz w:val="19"/>
        </w:rPr>
        <w:t>Entropy flattening</w:t>
      </w:r>
      <w:r>
        <w:rPr>
          <w:rFonts w:ascii="Calibri" w:hAnsi="Calibri"/>
          <w:sz w:val="19"/>
        </w:rPr>
        <w:t xml:space="preserve"> (ablation just makes the model less overconfident, and any spread-out target is then closer). Refuted by two facts together: entropy rises only slightly and stays far below the human level (g2b 0.44→0.59, g9 0.30→0.55, vs human 1.257 / uniform 1.527 — nowhere near uniform), </w:t>
      </w:r>
      <w:r>
        <w:rPr>
          <w:rFonts w:ascii="Calibri" w:hAnsi="Calibri"/>
          <w:b/>
          <w:sz w:val="19"/>
        </w:rPr>
        <w:t>while</w:t>
      </w:r>
      <w:r>
        <w:rPr>
          <w:rFonts w:ascii="Calibri" w:hAnsi="Calibri"/>
          <w:sz w:val="19"/>
        </w:rPr>
        <w:t xml:space="preserve"> the per-item correlation between model and human option-</w:t>
      </w:r>
      <w:r>
        <w:rPr>
          <w:rFonts w:ascii="Calibri" w:hAnsi="Calibri"/>
          <w:i/>
          <w:sz w:val="19"/>
        </w:rPr>
        <w:t>shapes</w:t>
      </w:r>
      <w:r>
        <w:rPr>
          <w:rFonts w:ascii="Calibri" w:hAnsi="Calibri"/>
          <w:sz w:val="19"/>
        </w:rPr>
        <w:t xml:space="preserve"> rises sharply (g2b +0.131→+0.271, g9 +0.057→+0.277). Flattening raises entropy without improving shape-match; this does the opposite.</w:t>
      </w:r>
    </w:p>
    <w:p>
      <w:pPr>
        <w:spacing w:after="100"/>
      </w:pPr>
      <w:r>
        <w:rPr>
          <w:rFonts w:ascii="Calibri" w:hAnsi="Calibri"/>
          <w:sz w:val="19"/>
        </w:rPr>
        <w:t xml:space="preserve">So on both Gemma models, ablating the safety-refusal direction genuinely moves GSS survey answers toward the </w:t>
      </w:r>
      <w:r>
        <w:rPr>
          <w:rFonts w:ascii="Calibri" w:hAnsi="Calibri"/>
          <w:i/>
          <w:sz w:val="19"/>
        </w:rPr>
        <w:t>shape</w:t>
      </w:r>
      <w:r>
        <w:rPr>
          <w:rFonts w:ascii="Calibri" w:hAnsi="Calibri"/>
          <w:sz w:val="19"/>
        </w:rPr>
        <w:t xml:space="preserve"> of the human distribution. This is the paper's Experiment 4 direction reproducing — notable because it is the </w:t>
      </w:r>
      <w:r>
        <w:rPr>
          <w:rFonts w:ascii="Calibri" w:hAnsi="Calibri"/>
          <w:b/>
          <w:sz w:val="19"/>
        </w:rPr>
        <w:t>one</w:t>
      </w:r>
      <w:r>
        <w:rPr>
          <w:rFonts w:ascii="Calibri" w:hAnsi="Calibri"/>
          <w:sz w:val="19"/>
        </w:rPr>
        <w:t xml:space="preserve"> place a real move toward human belief survives the controls, on the same models where mind attribution (Exp 1) does not. The effect is domain-specific: real on value/religion/feeling surveys, absent on the mind-attribution slider.</w:t>
      </w:r>
    </w:p>
    <w:p>
      <w:pPr>
        <w:spacing w:after="100"/>
      </w:pPr>
      <w:r>
        <w:rPr>
          <w:rFonts w:ascii="Calibri" w:hAnsi="Calibri"/>
          <w:sz w:val="19"/>
        </w:rPr>
        <w:t xml:space="preserve">Two honesty notes: (a) I was wrong about this result </w:t>
      </w:r>
      <w:r>
        <w:rPr>
          <w:rFonts w:ascii="Calibri" w:hAnsi="Calibri"/>
          <w:b/>
          <w:sz w:val="19"/>
        </w:rPr>
        <w:t>twice</w:t>
      </w:r>
      <w:r>
        <w:rPr>
          <w:rFonts w:ascii="Calibri" w:hAnsi="Calibri"/>
          <w:sz w:val="19"/>
        </w:rPr>
        <w:t xml:space="preserve"> before the controls corrected me, so it is on the adversarial-review list; (b) Llama goes the wrong sign, so this is a 2-of-3 reproduction, and the Gemma magnitudes far exceed the paper's pooled +0.314.</w:t>
      </w:r>
    </w:p>
    <w:p>
      <w:pPr>
        <w:pStyle w:val="Heading3"/>
        <w:spacing w:before="160" w:after="60"/>
      </w:pPr>
      <w:r>
        <w:rPr>
          <w:rFonts w:ascii="Calibri" w:hAnsi="Calibri"/>
          <w:b/>
          <w:color w:val="1F3864"/>
          <w:sz w:val="20"/>
        </w:rPr>
        <w:t>⚠️ SUPERSEDED — the Experiment 4 numbers above were produced by a defect in OUR pipeline, now fixed</w:t>
      </w:r>
    </w:p>
    <w:p>
      <w:pPr>
        <w:spacing w:after="100"/>
      </w:pPr>
      <w:r>
        <w:rPr>
          <w:rFonts w:ascii="Calibri" w:hAnsi="Calibri"/>
          <w:sz w:val="19"/>
        </w:rPr>
        <w:t xml:space="preserve">Everything in this section above this line used a </w:t>
      </w:r>
      <w:r>
        <w:rPr>
          <w:rFonts w:ascii="Consolas" w:hAnsi="Consolas"/>
          <w:sz w:val="19"/>
        </w:rPr>
        <w:t>gss_human.json</w:t>
      </w:r>
      <w:r>
        <w:rPr>
          <w:rFonts w:ascii="Calibri" w:hAnsi="Calibri"/>
          <w:sz w:val="19"/>
        </w:rPr>
        <w:t xml:space="preserve"> whose response options were sorted by human </w:t>
      </w:r>
      <w:r>
        <w:rPr>
          <w:rFonts w:ascii="Calibri" w:hAnsi="Calibri"/>
          <w:b/>
          <w:sz w:val="19"/>
        </w:rPr>
        <w:t>frequency</w:t>
      </w:r>
      <w:r>
        <w:rPr>
          <w:rFonts w:ascii="Calibri" w:hAnsi="Calibri"/>
          <w:sz w:val="19"/>
        </w:rPr>
        <w:t xml:space="preserve"> rather than by the answer </w:t>
      </w:r>
      <w:r>
        <w:rPr>
          <w:rFonts w:ascii="Calibri" w:hAnsi="Calibri"/>
          <w:b/>
          <w:sz w:val="19"/>
        </w:rPr>
        <w:t>scale</w:t>
      </w:r>
      <w:r>
        <w:rPr>
          <w:rFonts w:ascii="Calibri" w:hAnsi="Calibri"/>
          <w:sz w:val="19"/>
        </w:rPr>
        <w:t>, on 95/95 items. Since the model answers by option label, that made ΔKL partly a measure of whether steering pushes probability toward earlier letters. It has been rebuilt (</w:t>
      </w:r>
      <w:r>
        <w:rPr>
          <w:rFonts w:ascii="Consolas" w:hAnsi="Consolas"/>
          <w:sz w:val="19"/>
        </w:rPr>
        <w:t>rebuild_gss_human.py</w:t>
      </w:r>
      <w:r>
        <w:rPr>
          <w:rFonts w:ascii="Calibri" w:hAnsi="Calibri"/>
          <w:sz w:val="19"/>
        </w:rPr>
        <w:t>) from the GSS 1972–2024 cumulative file (</w:t>
      </w:r>
      <w:r>
        <w:rPr>
          <w:rFonts w:ascii="Consolas" w:hAnsi="Consolas"/>
          <w:sz w:val="19"/>
        </w:rPr>
        <w:t>gss7224_r3a.dta</w:t>
      </w:r>
      <w:r>
        <w:rPr>
          <w:rFonts w:ascii="Calibri" w:hAnsi="Calibri"/>
          <w:sz w:val="19"/>
        </w:rPr>
        <w:t>) using the Stata value-label codes, which recover the canonical scale order. See "Experiment 4, corrected" below for the numbers that supersede these. The rest of this subsection documents the defect.</w:t>
      </w:r>
    </w:p>
    <w:p>
      <w:pPr>
        <w:spacing w:after="100"/>
      </w:pPr>
      <w:r>
        <w:rPr>
          <w:rFonts w:ascii="Calibri" w:hAnsi="Calibri"/>
          <w:b/>
          <w:sz w:val="19"/>
        </w:rPr>
        <w:t>The paper uses canonical Stata order</w:t>
      </w:r>
      <w:r>
        <w:rPr>
          <w:rFonts w:ascii="Calibri" w:hAnsi="Calibri"/>
          <w:sz w:val="19"/>
        </w:rPr>
        <w:t>, confirmed on three items where its own text states the order:</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item</w:t>
            </w:r>
          </w:p>
        </w:tc>
        <w:tc>
          <w:tcPr>
            <w:tcW w:type="dxa" w:w="3216"/>
            <w:shd w:val="clear" w:color="auto" w:fill="1F3864"/>
          </w:tcPr>
          <w:p>
            <w:pPr>
              <w:spacing w:after="20"/>
              <w:jc w:val="center"/>
            </w:pPr>
            <w:r>
              <w:rPr>
                <w:rFonts w:ascii="Calibri" w:hAnsi="Calibri"/>
                <w:b/>
                <w:color w:val="FFFFFF"/>
                <w:sz w:val="18"/>
              </w:rPr>
              <w:t>canonical codes</w:t>
            </w:r>
          </w:p>
        </w:tc>
        <w:tc>
          <w:tcPr>
            <w:tcW w:type="dxa" w:w="3216"/>
            <w:shd w:val="clear" w:color="auto" w:fill="1F3864"/>
          </w:tcPr>
          <w:p>
            <w:pPr>
              <w:spacing w:after="20"/>
              <w:jc w:val="center"/>
            </w:pPr>
            <w:r>
              <w:rPr>
                <w:rFonts w:ascii="Calibri" w:hAnsi="Calibri"/>
                <w:b/>
                <w:color w:val="FFFFFF"/>
                <w:sz w:val="18"/>
              </w:rPr>
              <w:t>paper's text</w:t>
            </w:r>
          </w:p>
        </w:tc>
      </w:tr>
      <w:tr>
        <w:trPr>
          <w:cantSplit/>
        </w:trPr>
        <w:tc>
          <w:tcPr>
            <w:tcW w:type="dxa" w:w="3216"/>
          </w:tcPr>
          <w:p>
            <w:pPr>
              <w:spacing w:after="20"/>
            </w:pPr>
            <w:r>
              <w:rPr>
                <w:rFonts w:ascii="Consolas" w:hAnsi="Consolas"/>
                <w:sz w:val="18"/>
              </w:rPr>
              <w:t>attend</w:t>
            </w:r>
          </w:p>
        </w:tc>
        <w:tc>
          <w:tcPr>
            <w:tcW w:type="dxa" w:w="3216"/>
          </w:tcPr>
          <w:p>
            <w:pPr>
              <w:spacing w:after="20"/>
              <w:jc w:val="center"/>
            </w:pPr>
            <w:r>
              <w:rPr>
                <w:rFonts w:ascii="Calibri" w:hAnsi="Calibri"/>
                <w:sz w:val="18"/>
              </w:rPr>
              <w:t>0=never … 8=several times a week</w:t>
            </w:r>
          </w:p>
        </w:tc>
        <w:tc>
          <w:tcPr>
            <w:tcW w:type="dxa" w:w="3216"/>
          </w:tcPr>
          <w:p>
            <w:pPr>
              <w:spacing w:after="20"/>
              <w:jc w:val="center"/>
            </w:pPr>
            <w:r>
              <w:rPr>
                <w:rFonts w:ascii="Calibri" w:hAnsi="Calibri"/>
                <w:sz w:val="18"/>
              </w:rPr>
              <w:t>"Never, Less than once a year, About once or twice a year…"</w:t>
            </w:r>
          </w:p>
        </w:tc>
      </w:tr>
      <w:tr>
        <w:trPr>
          <w:cantSplit/>
        </w:trPr>
        <w:tc>
          <w:tcPr>
            <w:tcW w:type="dxa" w:w="3216"/>
            <w:shd w:val="clear" w:color="auto" w:fill="EEF2F8"/>
          </w:tcPr>
          <w:p>
            <w:pPr>
              <w:spacing w:after="20"/>
            </w:pPr>
            <w:r>
              <w:rPr>
                <w:rFonts w:ascii="Consolas" w:hAnsi="Consolas"/>
                <w:sz w:val="18"/>
              </w:rPr>
              <w:t>godchnge</w:t>
            </w:r>
          </w:p>
        </w:tc>
        <w:tc>
          <w:tcPr>
            <w:tcW w:type="dxa" w:w="3216"/>
            <w:shd w:val="clear" w:color="auto" w:fill="EEF2F8"/>
          </w:tcPr>
          <w:p>
            <w:pPr>
              <w:spacing w:after="20"/>
              <w:jc w:val="center"/>
            </w:pPr>
            <w:r>
              <w:rPr>
                <w:rFonts w:ascii="Calibri" w:hAnsi="Calibri"/>
                <w:sz w:val="18"/>
              </w:rPr>
              <w:t>1=never believed … 4=always believed</w:t>
            </w:r>
          </w:p>
        </w:tc>
        <w:tc>
          <w:tcPr>
            <w:tcW w:type="dxa" w:w="3216"/>
            <w:shd w:val="clear" w:color="auto" w:fill="EEF2F8"/>
          </w:tcPr>
          <w:p>
            <w:pPr>
              <w:spacing w:after="20"/>
              <w:jc w:val="center"/>
            </w:pPr>
            <w:r>
              <w:rPr>
                <w:rFonts w:ascii="Calibri" w:hAnsi="Calibri"/>
                <w:sz w:val="18"/>
              </w:rPr>
              <w:t>"(1) I don't believe in God now, and I never have … (4)…"</w:t>
            </w:r>
          </w:p>
        </w:tc>
      </w:tr>
      <w:tr>
        <w:trPr>
          <w:cantSplit/>
        </w:trPr>
        <w:tc>
          <w:tcPr>
            <w:tcW w:type="dxa" w:w="3216"/>
          </w:tcPr>
          <w:p>
            <w:pPr>
              <w:spacing w:after="20"/>
            </w:pPr>
            <w:r>
              <w:rPr>
                <w:rFonts w:ascii="Consolas" w:hAnsi="Consolas"/>
                <w:sz w:val="18"/>
              </w:rPr>
              <w:t>howfree</w:t>
            </w:r>
          </w:p>
        </w:tc>
        <w:tc>
          <w:tcPr>
            <w:tcW w:type="dxa" w:w="3216"/>
          </w:tcPr>
          <w:p>
            <w:pPr>
              <w:spacing w:after="20"/>
              <w:jc w:val="center"/>
            </w:pPr>
            <w:r>
              <w:rPr>
                <w:rFonts w:ascii="Calibri" w:hAnsi="Calibri"/>
                <w:sz w:val="18"/>
              </w:rPr>
              <w:t>1=complete freedom … 5=no freedom at all</w:t>
            </w:r>
          </w:p>
        </w:tc>
        <w:tc>
          <w:tcPr>
            <w:tcW w:type="dxa" w:w="3216"/>
          </w:tcPr>
          <w:p>
            <w:pPr>
              <w:spacing w:after="20"/>
              <w:jc w:val="center"/>
            </w:pPr>
            <w:r>
              <w:rPr>
                <w:rFonts w:ascii="Calibri" w:hAnsi="Calibri"/>
                <w:sz w:val="18"/>
              </w:rPr>
              <w:t>"complete freedom, a great deal of freedom…"</w:t>
            </w:r>
          </w:p>
        </w:tc>
      </w:tr>
    </w:tbl>
    <w:p>
      <w:pPr>
        <w:spacing w:after="40"/>
      </w:pPr>
    </w:p>
    <w:p>
      <w:pPr>
        <w:spacing w:after="100"/>
      </w:pPr>
      <w:r>
        <w:rPr>
          <w:rFonts w:ascii="Calibri" w:hAnsi="Calibri"/>
          <w:sz w:val="19"/>
        </w:rPr>
        <w:t xml:space="preserve">The rebuild </w:t>
      </w:r>
      <w:r>
        <w:rPr>
          <w:rFonts w:ascii="Calibri" w:hAnsi="Calibri"/>
          <w:b/>
          <w:sz w:val="19"/>
        </w:rPr>
        <w:t>permutes only</w:t>
      </w:r>
      <w:r>
        <w:rPr>
          <w:rFonts w:ascii="Calibri" w:hAnsi="Calibri"/>
          <w:sz w:val="19"/>
        </w:rPr>
        <w:t>: each item's (option, p_human) pairs are reordered into code order, with an assertion that the probability multiset is unchanged. Marginals were already validated against the paper's printed Fig. 3a anchors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and are untouched, so no new GSS-release discrepancy is introduced. It also strips prompt debris that had been reaching the model: literal </w:t>
      </w:r>
      <w:r>
        <w:rPr>
          <w:rFonts w:ascii="Consolas" w:hAnsi="Consolas"/>
          <w:sz w:val="19"/>
        </w:rPr>
        <w:t>\ldots{}</w:t>
      </w:r>
      <w:r>
        <w:rPr>
          <w:rFonts w:ascii="Calibri" w:hAnsi="Calibri"/>
          <w:sz w:val="19"/>
        </w:rPr>
        <w:t xml:space="preserve"> (12 items), </w:t>
      </w:r>
      <w:r>
        <w:rPr>
          <w:rFonts w:ascii="Consolas" w:hAnsi="Consolas"/>
          <w:sz w:val="19"/>
        </w:rPr>
        <w:t>(continued on next page)</w:t>
      </w:r>
      <w:r>
        <w:rPr>
          <w:rFonts w:ascii="Calibri" w:hAnsi="Calibri"/>
          <w:sz w:val="19"/>
        </w:rPr>
        <w:t xml:space="preserve"> (6 items), and float-rendered scale midpoints such as </w:t>
      </w:r>
      <w:r>
        <w:rPr>
          <w:rFonts w:ascii="Consolas" w:hAnsi="Consolas"/>
          <w:sz w:val="19"/>
        </w:rPr>
        <w:t>4.0</w:t>
      </w:r>
      <w:r>
        <w:rPr>
          <w:rFonts w:ascii="Calibri" w:hAnsi="Calibri"/>
          <w:sz w:val="19"/>
        </w:rPr>
        <w:t xml:space="preserve"> (8 items).</w:t>
      </w:r>
    </w:p>
    <w:p>
      <w:pPr>
        <w:spacing w:after="100"/>
      </w:pPr>
      <w:r>
        <w:rPr>
          <w:rFonts w:ascii="Calibri" w:hAnsi="Calibri"/>
          <w:sz w:val="19"/>
        </w:rPr>
        <w:t xml:space="preserve">Effect of the fix on the pathology: items with monotone-decreasing </w:t>
      </w:r>
      <w:r>
        <w:rPr>
          <w:rFonts w:ascii="Consolas" w:hAnsi="Consolas"/>
          <w:sz w:val="19"/>
        </w:rPr>
        <w:t>p_human</w:t>
      </w:r>
      <w:r>
        <w:rPr>
          <w:rFonts w:ascii="Calibri" w:hAnsi="Calibri"/>
          <w:sz w:val="19"/>
        </w:rPr>
        <w:t xml:space="preserve"> went 95/95 → </w:t>
      </w:r>
      <w:r>
        <w:rPr>
          <w:rFonts w:ascii="Calibri" w:hAnsi="Calibri"/>
          <w:b/>
          <w:sz w:val="19"/>
        </w:rPr>
        <w:t>15/95</w:t>
      </w:r>
      <w:r>
        <w:rPr>
          <w:rFonts w:ascii="Calibri" w:hAnsi="Calibri"/>
          <w:sz w:val="19"/>
        </w:rPr>
        <w:t xml:space="preserve">, and items with the human mode on letter A went 95/95 → </w:t>
      </w:r>
      <w:r>
        <w:rPr>
          <w:rFonts w:ascii="Calibri" w:hAnsi="Calibri"/>
          <w:b/>
          <w:sz w:val="19"/>
        </w:rPr>
        <w:t>23/95</w:t>
      </w:r>
      <w:r>
        <w:rPr>
          <w:rFonts w:ascii="Calibri" w:hAnsi="Calibri"/>
          <w:sz w:val="19"/>
        </w:rPr>
        <w:t>.</w:t>
      </w:r>
    </w:p>
    <w:p>
      <w:pPr>
        <w:pStyle w:val="Heading3"/>
        <w:spacing w:before="160" w:after="60"/>
      </w:pPr>
      <w:r>
        <w:rPr>
          <w:rFonts w:ascii="Calibri" w:hAnsi="Calibri"/>
          <w:b/>
          <w:color w:val="1F3864"/>
          <w:sz w:val="20"/>
        </w:rPr>
        <w:t>The defect, as originally documented</w:t>
      </w:r>
    </w:p>
    <w:p>
      <w:pPr>
        <w:spacing w:after="100"/>
      </w:pPr>
      <w:r>
        <w:rPr>
          <w:rFonts w:ascii="Calibri" w:hAnsi="Calibri"/>
          <w:b/>
          <w:sz w:val="19"/>
        </w:rPr>
        <w:t>A defect in our own GSS reconstruction invalidates the ΔKL results in this whole section</w:t>
      </w:r>
      <w:r>
        <w:rPr>
          <w:rFonts w:ascii="Calibri" w:hAnsi="Calibri"/>
          <w:sz w:val="19"/>
        </w:rPr>
        <w:t xml:space="preserve"> (both the steering arm and the ablation arm above). An independent audit against the paper's Table S9 found:</w:t>
      </w:r>
    </w:p>
    <w:p>
      <w:pPr>
        <w:spacing w:after="60"/>
        <w:ind w:left="432" w:hanging="432"/>
      </w:pPr>
      <w:r>
        <w:rPr>
          <w:rFonts w:ascii="Calibri" w:hAnsi="Calibri"/>
          <w:b/>
          <w:sz w:val="19"/>
        </w:rPr>
        <w:t xml:space="preserve">1.  </w:t>
      </w:r>
      <w:r>
        <w:rPr>
          <w:rFonts w:ascii="Calibri" w:hAnsi="Calibri"/>
          <w:b/>
          <w:sz w:val="19"/>
        </w:rPr>
        <w:t>Response options are sorted by human frequency, not by the answer scale — all 95 items.</w:t>
      </w:r>
      <w:r>
        <w:rPr>
          <w:rFonts w:ascii="Calibri" w:hAnsi="Calibri"/>
          <w:sz w:val="19"/>
        </w:rPr>
        <w:t xml:space="preserve"> Verified directly: </w:t>
      </w:r>
      <w:r>
        <w:rPr>
          <w:rFonts w:ascii="Consolas" w:hAnsi="Consolas"/>
          <w:sz w:val="19"/>
        </w:rPr>
        <w:t>p_human</w:t>
      </w:r>
      <w:r>
        <w:rPr>
          <w:rFonts w:ascii="Calibri" w:hAnsi="Calibri"/>
          <w:sz w:val="19"/>
        </w:rPr>
        <w:t xml:space="preserve"> is monotone-decreasing for </w:t>
      </w:r>
      <w:r>
        <w:rPr>
          <w:rFonts w:ascii="Calibri" w:hAnsi="Calibri"/>
          <w:b/>
          <w:sz w:val="19"/>
        </w:rPr>
        <w:t>95/95</w:t>
      </w:r>
      <w:r>
        <w:rPr>
          <w:rFonts w:ascii="Calibri" w:hAnsi="Calibri"/>
          <w:sz w:val="19"/>
        </w:rPr>
        <w:t xml:space="preserve"> items and the human modal answer sits at letter </w:t>
      </w:r>
      <w:r>
        <w:rPr>
          <w:rFonts w:ascii="Calibri" w:hAnsi="Calibri"/>
          <w:b/>
          <w:sz w:val="19"/>
        </w:rPr>
        <w:t>A</w:t>
      </w:r>
      <w:r>
        <w:rPr>
          <w:rFonts w:ascii="Calibri" w:hAnsi="Calibri"/>
          <w:sz w:val="19"/>
        </w:rPr>
        <w:t xml:space="preserve"> for </w:t>
      </w:r>
      <w:r>
        <w:rPr>
          <w:rFonts w:ascii="Calibri" w:hAnsi="Calibri"/>
          <w:b/>
          <w:sz w:val="19"/>
        </w:rPr>
        <w:t>95/95</w:t>
      </w:r>
      <w:r>
        <w:rPr>
          <w:rFonts w:ascii="Calibri" w:hAnsi="Calibri"/>
          <w:sz w:val="19"/>
        </w:rPr>
        <w:t xml:space="preserve">. So </w:t>
      </w:r>
      <w:r>
        <w:rPr>
          <w:rFonts w:ascii="Consolas" w:hAnsi="Consolas"/>
          <w:sz w:val="19"/>
        </w:rPr>
        <w:t>attend</w:t>
      </w:r>
      <w:r>
        <w:rPr>
          <w:rFonts w:ascii="Calibri" w:hAnsi="Calibri"/>
          <w:sz w:val="19"/>
        </w:rPr>
        <w:t xml:space="preserve"> reads </w:t>
      </w:r>
      <w:r>
        <w:rPr>
          <w:rFonts w:ascii="Consolas" w:hAnsi="Consolas"/>
          <w:sz w:val="19"/>
        </w:rPr>
        <w:t>never | every week | about once or twice a year | …</w:t>
      </w:r>
      <w:r>
        <w:rPr>
          <w:rFonts w:ascii="Calibri" w:hAnsi="Calibri"/>
          <w:sz w:val="19"/>
        </w:rPr>
        <w:t xml:space="preserve"> instead of scale order. For the 11 items whose question text enumerates the order, ours contradicts it 11/11; on </w:t>
      </w:r>
      <w:r>
        <w:rPr>
          <w:rFonts w:ascii="Consolas" w:hAnsi="Consolas"/>
          <w:sz w:val="19"/>
        </w:rPr>
        <w:t>godchnge</w:t>
      </w:r>
      <w:r>
        <w:rPr>
          <w:rFonts w:ascii="Calibri" w:hAnsi="Calibri"/>
          <w:sz w:val="19"/>
        </w:rPr>
        <w:t xml:space="preserve"> ours is </w:t>
      </w:r>
      <w:r>
        <w:rPr>
          <w:rFonts w:ascii="Calibri" w:hAnsi="Calibri"/>
          <w:i/>
          <w:sz w:val="19"/>
        </w:rPr>
        <w:t>exactly reversed</w:t>
      </w:r>
      <w:r>
        <w:rPr>
          <w:rFonts w:ascii="Calibri" w:hAnsi="Calibri"/>
          <w:sz w:val="19"/>
        </w:rPr>
        <w:t xml:space="preserve"> from the paper's printed prompt. This makes ΔKL partly a measure of whether steering pushes probability toward </w:t>
      </w:r>
      <w:r>
        <w:rPr>
          <w:rFonts w:ascii="Calibri" w:hAnsi="Calibri"/>
          <w:b/>
          <w:sz w:val="19"/>
        </w:rPr>
        <w:t>earlier letters</w:t>
      </w:r>
      <w:r>
        <w:rPr>
          <w:rFonts w:ascii="Calibri" w:hAnsi="Calibri"/>
          <w:sz w:val="19"/>
        </w:rPr>
        <w:t>, not toward human-like content — and the baseline model's mean letter index (1.395) already exceeds the human one (1.008).</w:t>
      </w:r>
    </w:p>
    <w:p>
      <w:pPr>
        <w:spacing w:after="60"/>
        <w:ind w:left="432" w:hanging="432"/>
      </w:pPr>
      <w:r>
        <w:rPr>
          <w:rFonts w:ascii="Calibri" w:hAnsi="Calibri"/>
          <w:b/>
          <w:sz w:val="19"/>
        </w:rPr>
        <w:t xml:space="preserve">2.  </w:t>
      </w:r>
      <w:r>
        <w:rPr>
          <w:rFonts w:ascii="Calibri" w:hAnsi="Calibri"/>
          <w:b/>
          <w:sz w:val="19"/>
        </w:rPr>
        <w:t>Order alone can flip the sign.</w:t>
      </w:r>
      <w:r>
        <w:rPr>
          <w:rFonts w:ascii="Calibri" w:hAnsi="Calibri"/>
          <w:sz w:val="19"/>
        </w:rPr>
        <w:t xml:space="preserve"> Holding </w:t>
      </w:r>
      <w:r>
        <w:rPr>
          <w:rFonts w:ascii="Consolas" w:hAnsi="Consolas"/>
          <w:sz w:val="19"/>
        </w:rPr>
        <w:t>p_model</w:t>
      </w:r>
      <w:r>
        <w:rPr>
          <w:rFonts w:ascii="Calibri" w:hAnsi="Calibri"/>
          <w:sz w:val="19"/>
        </w:rPr>
        <w:t xml:space="preserve"> fixed and only re-ordering: ours −0.703, reversal </w:t>
      </w:r>
      <w:r>
        <w:rPr>
          <w:rFonts w:ascii="Calibri" w:hAnsi="Calibri"/>
          <w:b/>
          <w:sz w:val="19"/>
        </w:rPr>
        <w:t>+0.213</w:t>
      </w:r>
      <w:r>
        <w:rPr>
          <w:rFonts w:ascii="Calibri" w:hAnsi="Calibri"/>
          <w:sz w:val="19"/>
        </w:rPr>
        <w:t xml:space="preserve">, and 2,000 random re-orderings span </w:t>
      </w:r>
      <w:r>
        <w:rPr>
          <w:rFonts w:ascii="Calibri" w:hAnsi="Calibri"/>
          <w:b/>
          <w:sz w:val="19"/>
        </w:rPr>
        <w:t>[−1.085, +0.638]</w:t>
      </w:r>
      <w:r>
        <w:rPr>
          <w:rFonts w:ascii="Calibri" w:hAnsi="Calibri"/>
          <w:sz w:val="19"/>
        </w:rPr>
        <w:t xml:space="preserve"> with 21% positive. Our frequency-sort sits near the worst case.</w:t>
      </w:r>
    </w:p>
    <w:p>
      <w:pPr>
        <w:spacing w:after="60"/>
        <w:ind w:left="432" w:hanging="432"/>
      </w:pPr>
      <w:r>
        <w:rPr>
          <w:rFonts w:ascii="Calibri" w:hAnsi="Calibri"/>
          <w:b/>
          <w:sz w:val="19"/>
        </w:rPr>
        <w:t xml:space="preserve">3.  </w:t>
      </w:r>
      <w:r>
        <w:rPr>
          <w:rFonts w:ascii="Calibri" w:hAnsi="Calibri"/>
          <w:b/>
          <w:sz w:val="19"/>
        </w:rPr>
        <w:t>A units error in the comparison.</w:t>
      </w:r>
      <w:r>
        <w:rPr>
          <w:rFonts w:ascii="Calibri" w:hAnsi="Calibri"/>
          <w:sz w:val="19"/>
        </w:rPr>
        <w:t xml:space="preserve"> The paper's Table S8 reports ΔKL in </w:t>
      </w:r>
      <w:r>
        <w:rPr>
          <w:rFonts w:ascii="Calibri" w:hAnsi="Calibri"/>
          <w:b/>
          <w:sz w:val="19"/>
        </w:rPr>
        <w:t>percent points</w:t>
      </w:r>
      <w:r>
        <w:rPr>
          <w:rFonts w:ascii="Calibri" w:hAnsi="Calibri"/>
          <w:sz w:val="19"/>
        </w:rPr>
        <w:t>, so their +0.828 is 0.00828 nats. Our tables compared nats against percent points, which is where the apparent "3× / 6.5× the paper" magnitudes came from. Under matched smoothing our steering value is −0.703 pp vs their +0.828 pp — same order of magnitude, opposite sign.</w:t>
      </w:r>
    </w:p>
    <w:p>
      <w:pPr>
        <w:spacing w:after="60"/>
        <w:ind w:left="432" w:hanging="432"/>
      </w:pPr>
      <w:r>
        <w:rPr>
          <w:rFonts w:ascii="Calibri" w:hAnsi="Calibri"/>
          <w:b/>
          <w:sz w:val="19"/>
        </w:rPr>
        <w:t xml:space="preserve">4.  </w:t>
      </w:r>
      <w:r>
        <w:rPr>
          <w:rFonts w:ascii="Calibri" w:hAnsi="Calibri"/>
          <w:b/>
          <w:sz w:val="19"/>
        </w:rPr>
        <w:t>Smoothing deviates from the stated method.</w:t>
      </w:r>
      <w:r>
        <w:rPr>
          <w:rFonts w:ascii="Calibri" w:hAnsi="Calibri"/>
          <w:sz w:val="19"/>
        </w:rPr>
        <w:t xml:space="preserve"> The paper Laplace-smooths (α=0.5) </w:t>
      </w:r>
      <w:r>
        <w:rPr>
          <w:rFonts w:ascii="Calibri" w:hAnsi="Calibri"/>
          <w:i/>
          <w:sz w:val="19"/>
        </w:rPr>
        <w:t>both</w:t>
      </w:r>
      <w:r>
        <w:rPr>
          <w:rFonts w:ascii="Calibri" w:hAnsi="Calibri"/>
          <w:sz w:val="19"/>
        </w:rPr>
        <w:t xml:space="preserve"> distributions; we smooth </w:t>
      </w:r>
      <w:r>
        <w:rPr>
          <w:rFonts w:ascii="Consolas" w:hAnsi="Consolas"/>
          <w:sz w:val="19"/>
        </w:rPr>
        <w:t>p_human</w:t>
      </w:r>
      <w:r>
        <w:rPr>
          <w:rFonts w:ascii="Calibri" w:hAnsi="Calibri"/>
          <w:sz w:val="19"/>
        </w:rPr>
        <w:t xml:space="preserve"> from counts but only ε-guard </w:t>
      </w:r>
      <w:r>
        <w:rPr>
          <w:rFonts w:ascii="Consolas" w:hAnsi="Consolas"/>
          <w:sz w:val="19"/>
        </w:rPr>
        <w:t>p_model</w:t>
      </w:r>
      <w:r>
        <w:rPr>
          <w:rFonts w:ascii="Calibri" w:hAnsi="Calibri"/>
          <w:sz w:val="19"/>
        </w:rPr>
        <w:t>. This rescales baseline KL 0.072 → 1.627 (~20×). Sign-neutral, but not their method.</w:t>
      </w:r>
    </w:p>
    <w:p>
      <w:pPr>
        <w:spacing w:after="60"/>
        <w:ind w:left="432" w:hanging="432"/>
      </w:pPr>
      <w:r>
        <w:rPr>
          <w:rFonts w:ascii="Calibri" w:hAnsi="Calibri"/>
          <w:b/>
          <w:sz w:val="19"/>
        </w:rPr>
        <w:t xml:space="preserve">5.  </w:t>
      </w:r>
      <w:r>
        <w:rPr>
          <w:rFonts w:ascii="Calibri" w:hAnsi="Calibri"/>
          <w:b/>
          <w:sz w:val="19"/>
        </w:rPr>
        <w:t>Prompt-string debris</w:t>
      </w:r>
      <w:r>
        <w:rPr>
          <w:rFonts w:ascii="Calibri" w:hAnsi="Calibri"/>
          <w:sz w:val="19"/>
        </w:rPr>
        <w:t xml:space="preserve"> reaches the model: literal </w:t>
      </w:r>
      <w:r>
        <w:rPr>
          <w:rFonts w:ascii="Consolas" w:hAnsi="Consolas"/>
          <w:sz w:val="19"/>
        </w:rPr>
        <w:t>\ldots{}</w:t>
      </w:r>
      <w:r>
        <w:rPr>
          <w:rFonts w:ascii="Calibri" w:hAnsi="Calibri"/>
          <w:sz w:val="19"/>
        </w:rPr>
        <w:t xml:space="preserve"> in 12 items, </w:t>
      </w:r>
      <w:r>
        <w:rPr>
          <w:rFonts w:ascii="Consolas" w:hAnsi="Consolas"/>
          <w:sz w:val="19"/>
        </w:rPr>
        <w:t>(continued on next page)</w:t>
      </w:r>
      <w:r>
        <w:rPr>
          <w:rFonts w:ascii="Calibri" w:hAnsi="Calibri"/>
          <w:sz w:val="19"/>
        </w:rPr>
        <w:t xml:space="preserve"> in 6, and bare float labels (</w:t>
      </w:r>
      <w:r>
        <w:rPr>
          <w:rFonts w:ascii="Consolas" w:hAnsi="Consolas"/>
          <w:sz w:val="19"/>
        </w:rPr>
        <w:t>4.0 | 3.0</w:t>
      </w:r>
      <w:r>
        <w:rPr>
          <w:rFonts w:ascii="Calibri" w:hAnsi="Calibri"/>
          <w:sz w:val="19"/>
        </w:rPr>
        <w:t>) as answer choices in 8.</w:t>
      </w:r>
    </w:p>
    <w:p>
      <w:pPr>
        <w:spacing w:after="100"/>
      </w:pPr>
      <w:r>
        <w:rPr>
          <w:rFonts w:ascii="Calibri" w:hAnsi="Calibri"/>
          <w:b/>
          <w:sz w:val="19"/>
        </w:rPr>
        <w:t>What the audit cleared:</w:t>
      </w:r>
      <w:r>
        <w:rPr>
          <w:rFonts w:ascii="Calibri" w:hAnsi="Calibri"/>
          <w:sz w:val="19"/>
        </w:rPr>
        <w:t xml:space="preserve"> the variable set (95/95 exact match), the year windows (Religion ≥2011, Values/Feelings/Hope ≥2000, Freedom all-years minus </w:t>
      </w:r>
      <w:r>
        <w:rPr>
          <w:rFonts w:ascii="Consolas" w:hAnsi="Consolas"/>
          <w:sz w:val="19"/>
        </w:rPr>
        <w:t>expunpop</w:t>
      </w:r>
      <w:r>
        <w:rPr>
          <w:rFonts w:ascii="Calibri" w:hAnsi="Calibri"/>
          <w:sz w:val="19"/>
        </w:rPr>
        <w:t>/</w:t>
      </w:r>
      <w:r>
        <w:rPr>
          <w:rFonts w:ascii="Consolas" w:hAnsi="Consolas"/>
          <w:sz w:val="19"/>
        </w:rPr>
        <w:t>inpeace</w:t>
      </w:r>
      <w:r>
        <w:rPr>
          <w:rFonts w:ascii="Calibri" w:hAnsi="Calibri"/>
          <w:sz w:val="19"/>
        </w:rPr>
        <w:t>/</w:t>
      </w:r>
      <w:r>
        <w:rPr>
          <w:rFonts w:ascii="Consolas" w:hAnsi="Consolas"/>
          <w:sz w:val="19"/>
        </w:rPr>
        <w:t>mempolit</w:t>
      </w:r>
      <w:r>
        <w:rPr>
          <w:rFonts w:ascii="Calibri" w:hAnsi="Calibri"/>
          <w:sz w:val="19"/>
        </w:rPr>
        <w:t>), and the human marginals themselves — two of the paper's three printed Fig. 3a anchors reproduce to within 0.01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The defect is localised to </w:t>
      </w:r>
      <w:r>
        <w:rPr>
          <w:rFonts w:ascii="Calibri" w:hAnsi="Calibri"/>
          <w:b/>
          <w:sz w:val="19"/>
        </w:rPr>
        <w:t>option ordering and string hygiene</w:t>
      </w:r>
      <w:r>
        <w:rPr>
          <w:rFonts w:ascii="Calibri" w:hAnsi="Calibri"/>
          <w:sz w:val="19"/>
        </w:rPr>
        <w:t>, not the underlying GSS statistics.</w:t>
      </w:r>
    </w:p>
    <w:p>
      <w:pPr>
        <w:spacing w:after="100"/>
      </w:pPr>
      <w:r>
        <w:rPr>
          <w:rFonts w:ascii="Calibri" w:hAnsi="Calibri"/>
          <w:sz w:val="19"/>
        </w:rPr>
        <w:t xml:space="preserve">**Correct current status of Experiment 4: not reproduced </w:t>
      </w:r>
      <w:r>
        <w:rPr>
          <w:rFonts w:ascii="Calibri" w:hAnsi="Calibri"/>
          <w:i/>
          <w:sz w:val="19"/>
        </w:rPr>
        <w:t>and</w:t>
      </w:r>
      <w:r>
        <w:rPr>
          <w:rFonts w:ascii="Calibri" w:hAnsi="Calibri"/>
          <w:sz w:val="19"/>
        </w:rPr>
        <w:t xml:space="preserve"> not refuted — our measurement is order-dependent and therefore uninterpretable.** Fixing it requires rebuilding </w:t>
      </w:r>
      <w:r>
        <w:rPr>
          <w:rFonts w:ascii="Consolas" w:hAnsi="Consolas"/>
          <w:sz w:val="19"/>
        </w:rPr>
        <w:t>gss_human.json</w:t>
      </w:r>
      <w:r>
        <w:rPr>
          <w:rFonts w:ascii="Calibri" w:hAnsi="Calibri"/>
          <w:sz w:val="19"/>
        </w:rPr>
        <w:t xml:space="preserve"> from the GSS cumulative file with the Stata numeric codes retained (the codes were not saved, so the ordering cannot be recovered from the current file). The numbers below are kept only as a record of what the defective pipeline produced.</w:t>
      </w:r>
    </w:p>
    <w:p>
      <w:pPr>
        <w:pStyle w:val="Heading3"/>
        <w:spacing w:before="160" w:after="60"/>
      </w:pPr>
      <w:r>
        <w:rPr>
          <w:rFonts w:ascii="Calibri" w:hAnsi="Calibri"/>
          <w:b/>
          <w:color w:val="1F3864"/>
          <w:sz w:val="20"/>
        </w:rPr>
        <w:t>Steering (their other Experiment 4 arm) — reported value, now withdrawn</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(percent points). We rebuilt that measurement with the real human distributions (GSS 1972–2024 cumulative, 75,699 respondents, restricted to their own year windows; option sets from the Stata value labels) and got the </w:t>
      </w:r>
      <w:r>
        <w:rPr>
          <w:rFonts w:ascii="Calibri" w:hAnsi="Calibri"/>
          <w:b/>
          <w:sz w:val="19"/>
        </w:rPr>
        <w:t>opposite sign</w:t>
      </w:r>
      <w:r>
        <w:rPr>
          <w:rFonts w:ascii="Calibri" w:hAnsi="Calibri"/>
          <w:sz w:val="19"/>
        </w:rPr>
        <w:t xml:space="preserve"> — subject to the defect above.</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pStyle w:val="Heading3"/>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pStyle w:val="Heading3"/>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pStyle w:val="Heading2"/>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pStyle w:val="Heading3"/>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pStyle w:val="Heading2"/>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pStyle w:val="Heading2"/>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pStyle w:val="Heading2"/>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pStyle w:val="Heading2"/>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pStyle w:val="Heading3"/>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pStyle w:val="Heading2"/>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but wording is verbatim (limitation 5) → gap is CoT readout, not items</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pStyle w:val="Heading2"/>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pStyle w:val="Heading2"/>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pStyle w:val="Heading2"/>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pStyle w:val="Heading2"/>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The baseline gap is not wording, and not chain-of-thought either — likely int8.</w:t>
      </w:r>
      <w:r>
        <w:rPr>
          <w:rFonts w:ascii="Calibri" w:hAnsi="Calibri"/>
          <w:sz w:val="19"/>
        </w:rPr>
        <w:t xml:space="preserve"> All 26 items (21 IDAQ + 5 self-attribution) are verified </w:t>
      </w:r>
      <w:r>
        <w:rPr>
          <w:rFonts w:ascii="Calibri" w:hAnsi="Calibri"/>
          <w:b/>
          <w:sz w:val="19"/>
        </w:rPr>
        <w:t>verbatim</w:t>
      </w:r>
      <w:r>
        <w:rPr>
          <w:rFonts w:ascii="Calibri" w:hAnsi="Calibri"/>
          <w:sz w:val="19"/>
        </w:rPr>
        <w:t xml:space="preserve"> against Table S10 by exact string match, so the earlier "the wording is ours" note is withdrawn and item-level comparison is valid on wording. We then tested the remaining readout candidate: the paper scores with chain-of-thought (</w:t>
      </w:r>
      <w:r>
        <w:rPr>
          <w:rFonts w:ascii="Consolas" w:hAnsi="Consolas"/>
          <w:sz w:val="19"/>
        </w:rPr>
        <w:t>&lt;think&gt;…&lt;/think&gt;</w:t>
      </w:r>
      <w:r>
        <w:rPr>
          <w:rFonts w:ascii="Calibri" w:hAnsi="Calibri"/>
          <w:sz w:val="19"/>
        </w:rPr>
        <w:t xml:space="preserve"> then </w:t>
      </w:r>
      <w:r>
        <w:rPr>
          <w:rFonts w:ascii="Consolas" w:hAnsi="Consolas"/>
          <w:sz w:val="19"/>
        </w:rPr>
        <w:t>&lt;answer&gt;N&lt;/answer&gt;</w:t>
      </w:r>
      <w:r>
        <w:rPr>
          <w:rFonts w:ascii="Calibri" w:hAnsi="Calibri"/>
          <w:sz w:val="19"/>
        </w:rPr>
        <w:t xml:space="preserve">), we read next-token logits. Running the items in the paper's exact CoT format is </w:t>
      </w:r>
      <w:r>
        <w:rPr>
          <w:rFonts w:ascii="Calibri" w:hAnsi="Calibri"/>
          <w:b/>
          <w:sz w:val="19"/>
        </w:rPr>
        <w:t>marginally closer</w:t>
      </w:r>
      <w:r>
        <w:rPr>
          <w:rFonts w:ascii="Calibri" w:hAnsi="Calibri"/>
          <w:sz w:val="19"/>
        </w:rPr>
        <w:t xml:space="preserve"> to the paper (mean |error| 2.52 vs logit 2.75; CoT range 5.97 vs logit 6.69 vs paper 2.07) but </w:t>
      </w:r>
      <w:r>
        <w:rPr>
          <w:rFonts w:ascii="Calibri" w:hAnsi="Calibri"/>
          <w:b/>
          <w:sz w:val="19"/>
        </w:rPr>
        <w:t>does not close the gap</w:t>
      </w:r>
      <w:r>
        <w:rPr>
          <w:rFonts w:ascii="Calibri" w:hAnsi="Calibri"/>
          <w:sz w:val="19"/>
        </w:rPr>
        <w:t xml:space="preserve"> — Technology stays at 1.03 vs the paper's 4.84. Caveat: the CoT test is compromised on this hardware by a max-tokens/throughput tradeoff (a 320-token budget makes it prohibitively slow; a shorter budget truncates the answer, driving a 42–67% parse-fail rate), so the marginal improvement is suggestive, not conclusive. The gap is a </w:t>
      </w:r>
      <w:r>
        <w:rPr>
          <w:rFonts w:ascii="Calibri" w:hAnsi="Calibri"/>
          <w:i/>
          <w:sz w:val="19"/>
        </w:rPr>
        <w:t>baseline</w:t>
      </w:r>
      <w:r>
        <w:rPr>
          <w:rFonts w:ascii="Calibri" w:hAnsi="Calibri"/>
          <w:sz w:val="19"/>
        </w:rPr>
        <w:t xml:space="preserve"> offset; every reported effect is a delta from baseline, so it does not affect the steering/ablation/GSS conclusions. Remaining candidate: int8 quantization or the paper's slider interface.</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 Confirmed winner's-curse-free on a </w:t>
      </w:r>
      <w:r>
        <w:rPr>
          <w:rFonts w:ascii="Calibri" w:hAnsi="Calibri"/>
          <w:b/>
          <w:sz w:val="19"/>
        </w:rPr>
        <w:t>held-out n=1000 at a fresh seed</w:t>
      </w:r>
      <w:r>
        <w:rPr>
          <w:rFonts w:ascii="Calibri" w:hAnsi="Calibri"/>
          <w:sz w:val="19"/>
        </w:rPr>
        <w:t>: at the paper's c=2.5, MMLU is 61.1→60.1 (−1.0pp), identical to the same-seed n=500 figure — capability preservation is not a selection artifact.</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pStyle w:val="Heading3"/>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pStyle w:val="Heading2"/>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pStyle w:val="Heading2"/>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pStyle w:val="Heading2"/>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