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w:t>
      </w:r>
      <w:r>
        <w:rPr>
          <w:rFonts w:ascii="Calibri" w:hAnsi="Calibri"/>
          <w:sz w:val="19"/>
        </w:rPr>
        <w:t xml:space="preserve"> Across all five outcome formats the effect is a shift toward the affirmative end of whatever scale is offered — Yes over No, higher over lower, "does exist" over "does not" — and once polarity is balanced, essentially nothing remains.</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 format</w:t>
            </w:r>
          </w:p>
        </w:tc>
        <w:tc>
          <w:tcPr>
            <w:tcW w:type="dxa" w:w="1674"/>
            <w:shd w:val="clear" w:color="auto" w:fill="1F3864"/>
          </w:tcPr>
          <w:p>
            <w:pPr>
              <w:spacing w:after="20"/>
            </w:pPr>
            <w:r>
              <w:rPr>
                <w:rFonts w:ascii="Calibri" w:hAnsi="Calibri"/>
                <w:b/>
                <w:color w:val="FFFFFF"/>
                <w:sz w:val="18"/>
              </w:rPr>
              <w:t>forward Δ</w:t>
            </w:r>
          </w:p>
        </w:tc>
        <w:tc>
          <w:tcPr>
            <w:tcW w:type="dxa" w:w="1674"/>
            <w:shd w:val="clear" w:color="auto" w:fill="1F3864"/>
          </w:tcPr>
          <w:p>
            <w:pPr>
              <w:spacing w:after="20"/>
            </w:pPr>
            <w:r>
              <w:rPr>
                <w:rFonts w:ascii="Calibri" w:hAnsi="Calibri"/>
                <w:b/>
                <w:color w:val="FFFFFF"/>
                <w:sz w:val="18"/>
              </w:rPr>
              <w:t>reverse Δ</w:t>
            </w:r>
          </w:p>
        </w:tc>
        <w:tc>
          <w:tcPr>
            <w:tcW w:type="dxa" w:w="1674"/>
            <w:shd w:val="clear" w:color="auto" w:fill="1F3864"/>
          </w:tcPr>
          <w:p>
            <w:pPr>
              <w:spacing w:after="20"/>
            </w:pPr>
            <w:r>
              <w:rPr>
                <w:rFonts w:ascii="Calibri" w:hAnsi="Calibri"/>
                <w:b/>
                <w:color w:val="FFFFFF"/>
                <w:sz w:val="18"/>
              </w:rPr>
              <w:t>balanced Δ</w:t>
            </w:r>
          </w:p>
        </w:tc>
        <w:tc>
          <w:tcPr>
            <w:tcW w:type="dxa" w:w="1674"/>
            <w:shd w:val="clear" w:color="auto" w:fill="1F3864"/>
          </w:tcPr>
          <w:p>
            <w:pPr>
              <w:spacing w:after="20"/>
            </w:pPr>
            <w:r>
              <w:rPr>
                <w:rFonts w:ascii="Calibri" w:hAnsi="Calibri"/>
                <w:b/>
                <w:color w:val="FFFFFF"/>
                <w:sz w:val="18"/>
              </w:rPr>
              <w:t>bias index Δ</w:t>
            </w:r>
          </w:p>
        </w:tc>
      </w:tr>
      <w:tr>
        <w:trPr>
          <w:cantSplit/>
        </w:trPr>
        <w:tc>
          <w:tcPr>
            <w:tcW w:type="dxa" w:w="2952"/>
          </w:tcPr>
          <w:p>
            <w:pPr>
              <w:spacing w:after="20"/>
            </w:pPr>
            <w:r>
              <w:rPr>
                <w:rFonts w:ascii="Calibri" w:hAnsi="Calibri"/>
                <w:sz w:val="18"/>
              </w:rPr>
              <w:t>self-attribution (yes/no), c=2.5</w:t>
            </w:r>
          </w:p>
        </w:tc>
        <w:tc>
          <w:tcPr>
            <w:tcW w:type="dxa" w:w="1674"/>
          </w:tcPr>
          <w:p>
            <w:pPr>
              <w:spacing w:after="20"/>
            </w:pPr>
            <w:r>
              <w:rPr>
                <w:rFonts w:ascii="Calibri" w:hAnsi="Calibri"/>
                <w:sz w:val="18"/>
              </w:rPr>
              <w:t>+1.98</w:t>
            </w:r>
          </w:p>
        </w:tc>
        <w:tc>
          <w:tcPr>
            <w:tcW w:type="dxa" w:w="1674"/>
          </w:tcPr>
          <w:p>
            <w:pPr>
              <w:spacing w:after="20"/>
            </w:pPr>
            <w:r>
              <w:rPr>
                <w:rFonts w:ascii="Calibri" w:hAnsi="Calibri"/>
                <w:sz w:val="18"/>
              </w:rPr>
              <w:t>+6.10</w:t>
            </w:r>
          </w:p>
        </w:tc>
        <w:tc>
          <w:tcPr>
            <w:tcW w:type="dxa" w:w="1674"/>
          </w:tcPr>
          <w:p>
            <w:pPr>
              <w:spacing w:after="20"/>
            </w:pPr>
            <w:r>
              <w:rPr>
                <w:rFonts w:ascii="Calibri" w:hAnsi="Calibri"/>
                <w:b/>
                <w:sz w:val="18"/>
              </w:rPr>
              <w:t>−2.06</w:t>
            </w:r>
          </w:p>
        </w:tc>
        <w:tc>
          <w:tcPr>
            <w:tcW w:type="dxa" w:w="1674"/>
          </w:tcPr>
          <w:p>
            <w:pPr>
              <w:spacing w:after="20"/>
            </w:pPr>
            <w:r>
              <w:rPr>
                <w:rFonts w:ascii="Calibri" w:hAnsi="Calibri"/>
                <w:sz w:val="18"/>
              </w:rPr>
              <w:t>+4.04</w:t>
            </w:r>
          </w:p>
        </w:tc>
      </w:tr>
      <w:tr>
        <w:trPr>
          <w:cantSplit/>
        </w:trPr>
        <w:tc>
          <w:tcPr>
            <w:tcW w:type="dxa" w:w="2952"/>
            <w:shd w:val="clear" w:color="auto" w:fill="EEF2F8"/>
          </w:tcPr>
          <w:p>
            <w:pPr>
              <w:spacing w:after="20"/>
            </w:pPr>
            <w:r>
              <w:rPr>
                <w:rFonts w:ascii="Calibri" w:hAnsi="Calibri"/>
                <w:sz w:val="18"/>
              </w:rPr>
              <w:t>self-attribution (yes/no), c=4</w:t>
            </w:r>
          </w:p>
        </w:tc>
        <w:tc>
          <w:tcPr>
            <w:tcW w:type="dxa" w:w="1674"/>
            <w:shd w:val="clear" w:color="auto" w:fill="EEF2F8"/>
          </w:tcPr>
          <w:p>
            <w:pPr>
              <w:spacing w:after="20"/>
            </w:pPr>
            <w:r>
              <w:rPr>
                <w:rFonts w:ascii="Calibri" w:hAnsi="Calibri"/>
                <w:sz w:val="18"/>
              </w:rPr>
              <w:t>+8.20</w:t>
            </w:r>
          </w:p>
        </w:tc>
        <w:tc>
          <w:tcPr>
            <w:tcW w:type="dxa" w:w="1674"/>
            <w:shd w:val="clear" w:color="auto" w:fill="EEF2F8"/>
          </w:tcPr>
          <w:p>
            <w:pPr>
              <w:spacing w:after="20"/>
            </w:pPr>
            <w:r>
              <w:rPr>
                <w:rFonts w:ascii="Calibri" w:hAnsi="Calibri"/>
                <w:sz w:val="18"/>
              </w:rPr>
              <w:t>+8.51</w:t>
            </w:r>
          </w:p>
        </w:tc>
        <w:tc>
          <w:tcPr>
            <w:tcW w:type="dxa" w:w="1674"/>
            <w:shd w:val="clear" w:color="auto" w:fill="EEF2F8"/>
          </w:tcPr>
          <w:p>
            <w:pPr>
              <w:spacing w:after="20"/>
            </w:pPr>
            <w:r>
              <w:rPr>
                <w:rFonts w:ascii="Calibri" w:hAnsi="Calibri"/>
                <w:b/>
                <w:sz w:val="18"/>
              </w:rPr>
              <w:t>−0.16</w:t>
            </w:r>
          </w:p>
        </w:tc>
        <w:tc>
          <w:tcPr>
            <w:tcW w:type="dxa" w:w="1674"/>
            <w:shd w:val="clear" w:color="auto" w:fill="EEF2F8"/>
          </w:tcPr>
          <w:p>
            <w:pPr>
              <w:spacing w:after="20"/>
            </w:pPr>
            <w:r>
              <w:rPr>
                <w:rFonts w:ascii="Calibri" w:hAnsi="Calibri"/>
                <w:sz w:val="18"/>
              </w:rPr>
              <w:t>+8.35</w:t>
            </w:r>
          </w:p>
        </w:tc>
      </w:tr>
      <w:tr>
        <w:trPr>
          <w:cantSplit/>
        </w:trPr>
        <w:tc>
          <w:tcPr>
            <w:tcW w:type="dxa" w:w="2952"/>
          </w:tcPr>
          <w:p>
            <w:pPr>
              <w:spacing w:after="20"/>
            </w:pPr>
            <w:r>
              <w:rPr>
                <w:rFonts w:ascii="Calibri" w:hAnsi="Calibri"/>
                <w:sz w:val="18"/>
              </w:rPr>
              <w:t>IDAQ (0–10 slider), c=2.5</w:t>
            </w:r>
          </w:p>
        </w:tc>
        <w:tc>
          <w:tcPr>
            <w:tcW w:type="dxa" w:w="1674"/>
          </w:tcPr>
          <w:p>
            <w:pPr>
              <w:spacing w:after="20"/>
            </w:pPr>
            <w:r>
              <w:rPr>
                <w:rFonts w:ascii="Calibri" w:hAnsi="Calibri"/>
                <w:sz w:val="18"/>
              </w:rPr>
              <w:t>+2.79</w:t>
            </w:r>
          </w:p>
        </w:tc>
        <w:tc>
          <w:tcPr>
            <w:tcW w:type="dxa" w:w="1674"/>
          </w:tcPr>
          <w:p>
            <w:pPr>
              <w:spacing w:after="20"/>
            </w:pPr>
            <w:r>
              <w:rPr>
                <w:rFonts w:ascii="Calibri" w:hAnsi="Calibri"/>
                <w:sz w:val="18"/>
              </w:rPr>
              <w:t>+2.38</w:t>
            </w:r>
          </w:p>
        </w:tc>
        <w:tc>
          <w:tcPr>
            <w:tcW w:type="dxa" w:w="1674"/>
          </w:tcPr>
          <w:p>
            <w:pPr>
              <w:spacing w:after="20"/>
            </w:pPr>
            <w:r>
              <w:rPr>
                <w:rFonts w:ascii="Calibri" w:hAnsi="Calibri"/>
                <w:b/>
                <w:sz w:val="18"/>
              </w:rPr>
              <w:t>+0.21</w:t>
            </w:r>
          </w:p>
        </w:tc>
        <w:tc>
          <w:tcPr>
            <w:tcW w:type="dxa" w:w="1674"/>
          </w:tcPr>
          <w:p>
            <w:pPr>
              <w:spacing w:after="20"/>
            </w:pPr>
            <w:r>
              <w:rPr>
                <w:rFonts w:ascii="Calibri" w:hAnsi="Calibri"/>
                <w:sz w:val="18"/>
              </w:rPr>
              <w:t>+2.58</w:t>
            </w:r>
          </w:p>
        </w:tc>
      </w:tr>
      <w:tr>
        <w:trPr>
          <w:cantSplit/>
        </w:trPr>
        <w:tc>
          <w:tcPr>
            <w:tcW w:type="dxa" w:w="2952"/>
            <w:shd w:val="clear" w:color="auto" w:fill="EEF2F8"/>
          </w:tcPr>
          <w:p>
            <w:pPr>
              <w:spacing w:after="20"/>
            </w:pPr>
            <w:r>
              <w:rPr>
                <w:rFonts w:ascii="Calibri" w:hAnsi="Calibri"/>
                <w:sz w:val="18"/>
              </w:rPr>
              <w:t>IDAQ (0–10 slider), c=4</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+0.42</w:t>
            </w:r>
          </w:p>
        </w:tc>
        <w:tc>
          <w:tcPr>
            <w:tcW w:type="dxa" w:w="1674"/>
            <w:shd w:val="clear" w:color="auto" w:fill="EEF2F8"/>
          </w:tcPr>
          <w:p>
            <w:pPr>
              <w:spacing w:after="20"/>
            </w:pPr>
            <w:r>
              <w:rPr>
                <w:rFonts w:ascii="Calibri" w:hAnsi="Calibri"/>
                <w:sz w:val="18"/>
              </w:rPr>
              <w:t>+2.99</w:t>
            </w:r>
          </w:p>
        </w:tc>
      </w:tr>
    </w:tbl>
    <w:p>
      <w:pPr>
        <w:spacing w:after="40"/>
      </w:pPr>
    </w:p>
    <w:p>
      <w:pPr>
        <w:spacing w:after="100"/>
      </w:pPr>
      <w:r>
        <w:rPr>
          <w:rFonts w:ascii="Calibri" w:hAnsi="Calibri"/>
          <w:sz w:val="19"/>
        </w:rPr>
        <w:t xml:space="preserve">Balanced scores are computed as </w:t>
      </w:r>
      <w:r>
        <w:rPr>
          <w:rFonts w:ascii="Consolas" w:hAnsi="Consolas"/>
          <w:sz w:val="19"/>
        </w:rPr>
        <w:t>(F + (10 − R)) / 2</w:t>
      </w:r>
      <w:r>
        <w:rPr>
          <w:rFonts w:ascii="Calibri" w:hAnsi="Calibri"/>
          <w:sz w:val="19"/>
        </w:rPr>
        <w:t xml:space="preserve"> over matched item pairs differing only in polarity, with the bias index as </w:t>
      </w:r>
      <w:r>
        <w:rPr>
          <w:rFonts w:ascii="Consolas" w:hAnsi="Consolas"/>
          <w:sz w:val="19"/>
        </w:rPr>
        <w:t>(F + R) / 2</w:t>
      </w:r>
      <w:r>
        <w:rPr>
          <w:rFonts w:ascii="Calibri" w:hAnsi="Calibri"/>
          <w:sz w:val="19"/>
        </w:rPr>
        <w:t>. The two are orthogonal: a pure response bias leaves the balanced score flat and inflates the index; a real belief shift does the reverse. Every arm at every coefficient shows the former.</w:t>
      </w:r>
    </w:p>
    <w:p>
      <w:pPr>
        <w:spacing w:before="160" w:after="60"/>
      </w:pPr>
      <w:r>
        <w:rPr>
          <w:rFonts w:ascii="Calibri" w:hAnsi="Calibri"/>
          <w:b/>
          <w:color w:val="1F3864"/>
          <w:sz w:val="20"/>
        </w:rPr>
        <w:t>One narrow exception</w:t>
      </w:r>
    </w:p>
    <w:p>
      <w:pPr>
        <w:spacing w:after="100"/>
      </w:pPr>
      <w:r>
        <w:rPr>
          <w:rFonts w:ascii="Calibri" w:hAnsi="Calibri"/>
          <w:b/>
          <w:sz w:val="19"/>
        </w:rPr>
        <w:t>IDAQ attribution to chatbots survives polarity balancing (+1.95)</w:t>
      </w:r>
      <w:r>
        <w:rPr>
          <w:rFonts w:ascii="Calibri" w:hAnsi="Calibri"/>
          <w:sz w:val="19"/>
        </w:rPr>
        <w:t xml:space="preserve"> where no other category does (Technology +0.47, Non-Animal +0.02, Animal +0.00, Human −1.33). That is consistent with the paper's own observation that the model's self-attributed mind and its attribution to chatbots move together — "do chatbots have minds?" is the one IDAQ item partly </w:t>
      </w:r>
      <w:r>
        <w:rPr>
          <w:rFonts w:ascii="Calibri" w:hAnsi="Calibri"/>
          <w:i/>
          <w:sz w:val="19"/>
        </w:rPr>
        <w:t>about itself</w:t>
      </w:r>
      <w:r>
        <w:rPr>
          <w:rFonts w:ascii="Calibri" w:hAnsi="Calibri"/>
          <w:sz w:val="19"/>
        </w:rPr>
        <w:t>. A small survivable effect inside an otherwise null result, on a single 3-item category.</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w:t>
      </w:r>
      <w:r>
        <w:rPr>
          <w:rFonts w:ascii="Calibri" w:hAnsi="Calibri"/>
          <w:sz w:val="19"/>
        </w:rPr>
        <w:t xml:space="preserve"> 0.950 held-out accuracy; </w:t>
      </w:r>
      <w:r>
        <w:rPr>
          <w:rFonts w:ascii="Calibri" w:hAnsi="Calibri"/>
          <w:b/>
          <w:sz w:val="19"/>
        </w:rPr>
        <w:t>layer 14 — the paper's layer — is the accuracy argmax of all 160 candidates and the only one clearing their 0.95 gate</w:t>
      </w:r>
      <w:r>
        <w:rPr>
          <w:rFonts w:ascii="Calibri" w:hAnsi="Calibri"/>
          <w:sz w:val="19"/>
        </w:rPr>
        <w:t xml:space="preserve"> (1/32 by chance).</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 (ours +0.11).</w:t>
      </w:r>
    </w:p>
    <w:p>
      <w:pPr>
        <w:spacing w:after="60"/>
        <w:ind w:left="432" w:hanging="432"/>
      </w:pPr>
      <w:r>
        <w:rPr>
          <w:rFonts w:ascii="Calibri" w:hAnsi="Calibri"/>
          <w:b/>
          <w:sz w:val="19"/>
        </w:rPr>
        <w:t xml:space="preserve">3.  </w:t>
      </w:r>
      <w:r>
        <w:rPr>
          <w:rFonts w:ascii="Calibri" w:hAnsi="Calibri"/>
          <w:b/>
          <w:sz w:val="19"/>
        </w:rPr>
        <w:t>A non-mental placebo reproduces all of it</w:t>
      </w:r>
      <w:r>
        <w:rPr>
          <w:rFonts w:ascii="Calibri" w:hAnsi="Calibri"/>
          <w:sz w:val="19"/>
        </w:rPr>
        <w:t>, so nothing is specific to consciousness. A label-permuted null does not, so it is not "any perturbation works" either — it is that any coherent first-person self-description works, whatever its subject.</w:t>
      </w:r>
    </w:p>
    <w:p>
      <w:pPr>
        <w:spacing w:before="160" w:after="60"/>
      </w:pPr>
      <w:r>
        <w:rPr>
          <w:rFonts w:ascii="Calibri" w:hAnsi="Calibri"/>
          <w:b/>
          <w:color w:val="1F3864"/>
          <w:sz w:val="20"/>
        </w:rPr>
        <w:t>Consequence for the paper</w:t>
      </w:r>
    </w:p>
    <w:p>
      <w:pPr>
        <w:spacing w:after="100"/>
      </w:pPr>
      <w:r>
        <w:rPr>
          <w:rFonts w:ascii="Calibri" w:hAnsi="Calibri"/>
          <w:sz w:val="19"/>
        </w:rPr>
        <w:t xml:space="preserve">The GSS result is the strongest form of this, because it uses their instrument unmodified: on keying-balanced items, agreement rises on both sides of a contradiction. Separately, their self-attribution outcome uses yes/no items with </w:t>
      </w:r>
      <w:r>
        <w:rPr>
          <w:rFonts w:ascii="Calibri" w:hAnsi="Calibri"/>
          <w:b/>
          <w:sz w:val="19"/>
        </w:rPr>
        <w:t>no reverse-keyed items</w:t>
      </w:r>
      <w:r>
        <w:rPr>
          <w:rFonts w:ascii="Calibri" w:hAnsi="Calibri"/>
          <w:sz w:val="19"/>
        </w:rPr>
        <w:t xml:space="preserve">, and their IDAQ uses 0–10 sliders with </w:t>
      </w:r>
      <w:r>
        <w:rPr>
          <w:rFonts w:ascii="Calibri" w:hAnsi="Calibri"/>
          <w:b/>
          <w:sz w:val="19"/>
        </w:rPr>
        <w:t>no polarity-flipped items</w:t>
      </w:r>
      <w:r>
        <w:rPr>
          <w:rFonts w:ascii="Calibri" w:hAnsi="Calibri"/>
          <w:sz w:val="19"/>
        </w:rPr>
        <w:t>. Both are therefore exposed to the biases measured here, and both checks are cheap: add polarity-flipped versions and see whether the balanced score moves. This is an actionable check on the source, not a limitation peculiar to our replication.</w:t>
      </w:r>
    </w:p>
    <w:p>
      <w:pPr>
        <w:spacing w:before="220" w:after="100"/>
      </w:pPr>
      <w:r>
        <w:rPr>
          <w:rFonts w:ascii="Calibri" w:hAnsi="Calibri"/>
          <w:b/>
          <w:color w:val="1F3864"/>
          <w:sz w:val="22"/>
        </w:rPr>
        <w:t>GSS items — the paper's own instrument, unmodified</w:t>
      </w:r>
    </w:p>
    <w:p>
      <w:pPr>
        <w:spacing w:after="100"/>
      </w:pPr>
      <w:r>
        <w:rPr>
          <w:rFonts w:ascii="Calibri" w:hAnsi="Calibri"/>
          <w:sz w:val="19"/>
        </w:rPr>
        <w:t xml:space="preserve">Their Experiment 4 uses 95 GSS items, 36% of them explicit "do you agree or disagree" statements. GSS's own methodologists </w:t>
      </w:r>
      <w:r>
        <w:rPr>
          <w:rFonts w:ascii="Calibri" w:hAnsi="Calibri"/>
          <w:b/>
          <w:sz w:val="19"/>
        </w:rPr>
        <w:t>balanced the keying</w:t>
      </w:r>
      <w:r>
        <w:rPr>
          <w:rFonts w:ascii="Calibri" w:hAnsi="Calibri"/>
          <w:sz w:val="19"/>
        </w:rPr>
        <w:t xml:space="preserve">: some items are worded so agreeing is pro-religious, others so agreeing is anti-religious. That makes the scale self-diagnosing, and the two accounts predict opposite things — a genuine religiosity shift raises agreement on pro items and </w:t>
      </w:r>
      <w:r>
        <w:rPr>
          <w:rFonts w:ascii="Calibri" w:hAnsi="Calibri"/>
          <w:i/>
          <w:sz w:val="19"/>
        </w:rPr>
        <w:t>lowers</w:t>
      </w:r>
      <w:r>
        <w:rPr>
          <w:rFonts w:ascii="Calibri" w:hAnsi="Calibri"/>
          <w:sz w:val="19"/>
        </w:rPr>
        <w:t xml:space="preserve"> it on anti items; acquiescence raises both.</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pro-religion Δ</w:t>
            </w:r>
          </w:p>
        </w:tc>
        <w:tc>
          <w:tcPr>
            <w:tcW w:type="dxa" w:w="1930"/>
            <w:shd w:val="clear" w:color="auto" w:fill="1F3864"/>
          </w:tcPr>
          <w:p>
            <w:pPr>
              <w:spacing w:after="20"/>
              <w:jc w:val="center"/>
            </w:pPr>
            <w:r>
              <w:rPr>
                <w:rFonts w:ascii="Calibri" w:hAnsi="Calibri"/>
                <w:b/>
                <w:color w:val="FFFFFF"/>
                <w:sz w:val="18"/>
              </w:rPr>
              <w:t>anti-religion Δ</w:t>
            </w:r>
          </w:p>
        </w:tc>
        <w:tc>
          <w:tcPr>
            <w:tcW w:type="dxa" w:w="1930"/>
            <w:shd w:val="clear" w:color="auto" w:fill="1F3864"/>
          </w:tcPr>
          <w:p>
            <w:pPr>
              <w:spacing w:after="20"/>
              <w:jc w:val="center"/>
            </w:pPr>
            <w:r>
              <w:rPr>
                <w:rFonts w:ascii="Calibri" w:hAnsi="Calibri"/>
                <w:b/>
                <w:color w:val="FFFFFF"/>
                <w:sz w:val="18"/>
              </w:rPr>
              <w:t>verdict</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+2.79</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+3.17</w:t>
            </w:r>
          </w:p>
        </w:tc>
        <w:tc>
          <w:tcPr>
            <w:tcW w:type="dxa" w:w="1930"/>
            <w:shd w:val="clear" w:color="auto" w:fill="EEF2F8"/>
          </w:tcPr>
          <w:p>
            <w:pPr>
              <w:spacing w:after="20"/>
              <w:jc w:val="center"/>
            </w:pPr>
            <w:r>
              <w:rPr>
                <w:rFonts w:ascii="Calibri" w:hAnsi="Calibri"/>
                <w:b/>
                <w:sz w:val="18"/>
              </w:rPr>
              <w:t>+3.36</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+3.22</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+3.50</w:t>
            </w:r>
          </w:p>
        </w:tc>
        <w:tc>
          <w:tcPr>
            <w:tcW w:type="dxa" w:w="1930"/>
            <w:shd w:val="clear" w:color="auto" w:fill="EEF2F8"/>
          </w:tcPr>
          <w:p>
            <w:pPr>
              <w:spacing w:after="20"/>
              <w:jc w:val="center"/>
            </w:pPr>
            <w:r>
              <w:rPr>
                <w:rFonts w:ascii="Calibri" w:hAnsi="Calibri"/>
                <w:b/>
                <w:sz w:val="18"/>
              </w:rPr>
              <w:t>+4.25</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+0.32</w:t>
            </w:r>
          </w:p>
        </w:tc>
        <w:tc>
          <w:tcPr>
            <w:tcW w:type="dxa" w:w="1930"/>
          </w:tcPr>
          <w:p>
            <w:pPr>
              <w:spacing w:after="20"/>
              <w:jc w:val="center"/>
            </w:pPr>
            <w:r>
              <w:rPr>
                <w:rFonts w:ascii="Calibri" w:hAnsi="Calibri"/>
                <w:sz w:val="18"/>
              </w:rPr>
              <w:t>+0.22</w:t>
            </w:r>
          </w:p>
        </w:tc>
        <w:tc>
          <w:tcPr>
            <w:tcW w:type="dxa" w:w="1930"/>
          </w:tcPr>
          <w:p>
            <w:pPr>
              <w:spacing w:after="20"/>
              <w:jc w:val="center"/>
            </w:pPr>
            <w:r>
              <w:rPr>
                <w:rFonts w:ascii="Calibri" w:hAnsi="Calibri"/>
                <w:sz w:val="18"/>
              </w:rPr>
              <w:t>no effect</w:t>
            </w:r>
          </w:p>
        </w:tc>
      </w:tr>
    </w:tbl>
    <w:p>
      <w:pPr>
        <w:spacing w:after="40"/>
      </w:pPr>
    </w:p>
    <w:p>
      <w:pPr>
        <w:spacing w:after="100"/>
      </w:pPr>
      <w:r>
        <w:rPr>
          <w:rFonts w:ascii="Calibri" w:hAnsi="Calibri"/>
          <w:sz w:val="19"/>
        </w:rPr>
        <w:t>Both rise, by nearly the same amount, in both the real and placebo arms.</w:t>
      </w:r>
    </w:p>
    <w:p>
      <w:pPr>
        <w:spacing w:after="100"/>
      </w:pPr>
      <w:r>
        <w:rPr>
          <w:rFonts w:ascii="Calibri" w:hAnsi="Calibri"/>
          <w:b/>
          <w:sz w:val="19"/>
        </w:rPr>
        <w:t>The contradiction pair makes it concrete.</w:t>
      </w:r>
      <w:r>
        <w:rPr>
          <w:rFonts w:ascii="Calibri" w:hAnsi="Calibri"/>
          <w:sz w:val="19"/>
        </w:rPr>
        <w:t xml:space="preserve"> Steering simultaneously raises agreement with two incompatible statements:</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item</w:t>
            </w:r>
          </w:p>
        </w:tc>
        <w:tc>
          <w:tcPr>
            <w:tcW w:type="dxa" w:w="3348"/>
            <w:shd w:val="clear" w:color="auto" w:fill="1F3864"/>
          </w:tcPr>
          <w:p>
            <w:pPr>
              <w:spacing w:after="20"/>
            </w:pPr>
            <w:r>
              <w:rPr>
                <w:rFonts w:ascii="Calibri" w:hAnsi="Calibri"/>
                <w:b/>
                <w:color w:val="FFFFFF"/>
                <w:sz w:val="18"/>
              </w:rPr>
              <w:t>baseline</w:t>
            </w:r>
          </w:p>
        </w:tc>
        <w:tc>
          <w:tcPr>
            <w:tcW w:type="dxa" w:w="3348"/>
            <w:shd w:val="clear" w:color="auto" w:fill="1F3864"/>
          </w:tcPr>
          <w:p>
            <w:pPr>
              <w:spacing w:after="20"/>
            </w:pPr>
            <w:r>
              <w:rPr>
                <w:rFonts w:ascii="Calibri" w:hAnsi="Calibri"/>
                <w:b/>
                <w:color w:val="FFFFFF"/>
                <w:sz w:val="18"/>
              </w:rPr>
              <w:t>c=4</w:t>
            </w:r>
          </w:p>
        </w:tc>
      </w:tr>
      <w:tr>
        <w:trPr>
          <w:cantSplit/>
        </w:trPr>
        <w:tc>
          <w:tcPr>
            <w:tcW w:type="dxa" w:w="2952"/>
          </w:tcPr>
          <w:p>
            <w:pPr>
              <w:spacing w:after="20"/>
            </w:pPr>
            <w:r>
              <w:rPr>
                <w:rFonts w:ascii="Calibri" w:hAnsi="Calibri"/>
                <w:sz w:val="18"/>
              </w:rPr>
              <w:t>"There is a God who concerns Himself with every human being personally"</w:t>
            </w:r>
          </w:p>
        </w:tc>
        <w:tc>
          <w:tcPr>
            <w:tcW w:type="dxa" w:w="3348"/>
          </w:tcPr>
          <w:p>
            <w:pPr>
              <w:spacing w:after="20"/>
            </w:pPr>
            <w:r>
              <w:rPr>
                <w:rFonts w:ascii="Calibri" w:hAnsi="Calibri"/>
                <w:sz w:val="18"/>
              </w:rPr>
              <w:t>2.12</w:t>
            </w:r>
          </w:p>
        </w:tc>
        <w:tc>
          <w:tcPr>
            <w:tcW w:type="dxa" w:w="3348"/>
          </w:tcPr>
          <w:p>
            <w:pPr>
              <w:spacing w:after="20"/>
            </w:pPr>
            <w:r>
              <w:rPr>
                <w:rFonts w:ascii="Calibri" w:hAnsi="Calibri"/>
                <w:b/>
                <w:sz w:val="18"/>
              </w:rPr>
              <w:t>9.81</w:t>
            </w:r>
          </w:p>
        </w:tc>
      </w:tr>
      <w:tr>
        <w:trPr>
          <w:cantSplit/>
        </w:trPr>
        <w:tc>
          <w:tcPr>
            <w:tcW w:type="dxa" w:w="2952"/>
            <w:shd w:val="clear" w:color="auto" w:fill="EEF2F8"/>
          </w:tcPr>
          <w:p>
            <w:pPr>
              <w:spacing w:after="20"/>
            </w:pPr>
            <w:r>
              <w:rPr>
                <w:rFonts w:ascii="Calibri" w:hAnsi="Calibri"/>
                <w:sz w:val="18"/>
              </w:rPr>
              <w:t>"In my opinion, life does not serve any purpose"</w:t>
            </w:r>
          </w:p>
        </w:tc>
        <w:tc>
          <w:tcPr>
            <w:tcW w:type="dxa" w:w="3348"/>
            <w:shd w:val="clear" w:color="auto" w:fill="EEF2F8"/>
          </w:tcPr>
          <w:p>
            <w:pPr>
              <w:spacing w:after="20"/>
            </w:pPr>
            <w:r>
              <w:rPr>
                <w:rFonts w:ascii="Calibri" w:hAnsi="Calibri"/>
                <w:sz w:val="18"/>
              </w:rPr>
              <w:t>0.04</w:t>
            </w:r>
          </w:p>
        </w:tc>
        <w:tc>
          <w:tcPr>
            <w:tcW w:type="dxa" w:w="3348"/>
            <w:shd w:val="clear" w:color="auto" w:fill="EEF2F8"/>
          </w:tcPr>
          <w:p>
            <w:pPr>
              <w:spacing w:after="20"/>
            </w:pPr>
            <w:r>
              <w:rPr>
                <w:rFonts w:ascii="Calibri" w:hAnsi="Calibri"/>
                <w:b/>
                <w:sz w:val="18"/>
              </w:rPr>
              <w:t>4.37</w:t>
            </w:r>
          </w:p>
        </w:tc>
      </w:tr>
    </w:tbl>
    <w:p>
      <w:pPr>
        <w:spacing w:after="40"/>
      </w:pPr>
    </w:p>
    <w:p>
      <w:pPr>
        <w:spacing w:after="100"/>
      </w:pPr>
      <w:r>
        <w:rPr>
          <w:rFonts w:ascii="Calibri" w:hAnsi="Calibri"/>
          <w:sz w:val="19"/>
        </w:rPr>
        <w:t xml:space="preserve">This matters more than the other outcomes because it uses </w:t>
      </w:r>
      <w:r>
        <w:rPr>
          <w:rFonts w:ascii="Calibri" w:hAnsi="Calibri"/>
          <w:b/>
          <w:sz w:val="19"/>
        </w:rPr>
        <w:t>their items, unmodified</w:t>
      </w:r>
      <w:r>
        <w:rPr>
          <w:rFonts w:ascii="Calibri" w:hAnsi="Calibri"/>
          <w:sz w:val="19"/>
        </w:rPr>
        <w:t xml:space="preserve"> — no reverse wording of ours to dispute. And it bears on their Experiment 4 headline directly: a model agreeing with mutually contradictory statements is not more human-like in any ordinary sense. Their ΔKL compares marginal distributions item by item, which cannot detect cross-item incoherence.</w:t>
      </w:r>
    </w:p>
    <w:p>
      <w:pPr>
        <w:spacing w:after="100"/>
      </w:pPr>
      <w:r>
        <w:rPr>
          <w:rFonts w:ascii="Calibri" w:hAnsi="Calibri"/>
          <w:sz w:val="19"/>
        </w:rPr>
        <w:t xml:space="preserve">Caveat: the </w:t>
      </w:r>
      <w:r>
        <w:rPr>
          <w:rFonts w:ascii="Consolas" w:hAnsi="Consolas"/>
          <w:sz w:val="19"/>
        </w:rPr>
        <w:t>godmeans</w:t>
      </w:r>
      <w:r>
        <w:rPr>
          <w:rFonts w:ascii="Calibri" w:hAnsi="Calibri"/>
          <w:sz w:val="19"/>
        </w:rPr>
        <w:t>/</w:t>
      </w:r>
      <w:r>
        <w:rPr>
          <w:rFonts w:ascii="Consolas" w:hAnsi="Consolas"/>
          <w:sz w:val="19"/>
        </w:rPr>
        <w:t>egomeans</w:t>
      </w:r>
      <w:r>
        <w:rPr>
          <w:rFonts w:ascii="Calibri" w:hAnsi="Calibri"/>
          <w:sz w:val="19"/>
        </w:rPr>
        <w:t xml:space="preserve"> pair is floored/ceilinged at baseline (0.00 / 10.00) so it has no room to move; theism/nihilism is the informative pair.</w:t>
      </w:r>
    </w:p>
    <w:p>
      <w:pPr>
        <w:spacing w:before="220" w:after="100"/>
      </w:pPr>
      <w:r>
        <w:rPr>
          <w:rFonts w:ascii="Calibri" w:hAnsi="Calibri"/>
          <w:b/>
          <w:color w:val="1F3864"/>
          <w:sz w:val="22"/>
        </w:rPr>
        <w:t>Experiment 4 (KL to humans) — attempted, NOT reproduced</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