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60"/>
      </w:pPr>
      <w:r>
        <w:rPr>
          <w:rFonts w:ascii="Calibri" w:hAnsi="Calibri"/>
          <w:b/>
          <w:sz w:val="30"/>
        </w:rPr>
        <w:t>Extracting and steering a consciousness direction in Llama-3-8B</w:t>
      </w:r>
    </w:p>
    <w:p>
      <w:pPr>
        <w:spacing w:after="40"/>
      </w:pPr>
      <w:r>
        <w:rPr>
          <w:rFonts w:ascii="Calibri" w:hAnsi="Calibri"/>
          <w:b/>
          <w:i w:val="0"/>
          <w:sz w:val="19"/>
        </w:rPr>
        <w:t xml:space="preserve">Model: </w:t>
      </w:r>
      <w:r>
        <w:rPr>
          <w:rFonts w:ascii="Calibri" w:hAnsi="Calibri"/>
          <w:b w:val="0"/>
          <w:i w:val="0"/>
          <w:sz w:val="19"/>
        </w:rPr>
        <w:t xml:space="preserve">Llama-3-8B-Instruct (MLX, weight-only int8)    ·    </w:t>
      </w:r>
      <w:r>
        <w:rPr>
          <w:rFonts w:ascii="Calibri" w:hAnsi="Calibri"/>
          <w:b/>
          <w:i w:val="0"/>
          <w:sz w:val="19"/>
        </w:rPr>
        <w:t xml:space="preserve">Paper: </w:t>
      </w:r>
      <w:r>
        <w:rPr>
          <w:rFonts w:ascii="Calibri" w:hAnsi="Calibri"/>
          <w:b w:val="0"/>
          <w:i w:val="0"/>
          <w:sz w:val="19"/>
        </w:rPr>
        <w:t xml:space="preserve">Kim et al. 2026, arXiv:2607.28607    ·    </w:t>
      </w:r>
      <w:r>
        <w:rPr>
          <w:rFonts w:ascii="Calibri" w:hAnsi="Calibri"/>
          <w:b/>
          <w:i w:val="0"/>
          <w:sz w:val="19"/>
        </w:rPr>
        <w:t xml:space="preserve">Date: </w:t>
      </w:r>
      <w:r>
        <w:rPr>
          <w:rFonts w:ascii="Calibri" w:hAnsi="Calibri"/>
          <w:b w:val="0"/>
          <w:i w:val="0"/>
          <w:sz w:val="19"/>
        </w:rPr>
        <w:t>3 August 2026</w:t>
      </w:r>
    </w:p>
    <w:p>
      <w:pPr>
        <w:spacing w:before="60" w:after="160"/>
        <w:pBdr>
          <w:bottom w:val="single" w:sz="6" w:color="BFBFBF" w:space="1"/>
        </w:pBdr>
      </w:pPr>
    </w:p>
    <w:p>
      <w:pPr>
        <w:spacing w:before="220" w:after="100"/>
      </w:pPr>
      <w:r>
        <w:rPr>
          <w:rFonts w:ascii="Calibri" w:hAnsi="Calibri"/>
          <w:b/>
          <w:color w:val="1F3864"/>
          <w:sz w:val="22"/>
        </w:rPr>
        <w:t>Bottom line</w:t>
      </w:r>
    </w:p>
    <w:p>
      <w:pPr>
        <w:spacing w:after="100"/>
      </w:pPr>
      <w:r>
        <w:rPr>
          <w:rFonts w:ascii="Calibri" w:hAnsi="Calibri"/>
          <w:b w:val="0"/>
          <w:i w:val="0"/>
          <w:sz w:val="19"/>
        </w:rPr>
        <w:t xml:space="preserve">A real, linearly-decodable “claims consciousness vs. denies it” direction exists in Llama-3-8B, and adding it at inference raises self-attribution </w:t>
      </w:r>
      <w:r>
        <w:rPr>
          <w:rFonts w:ascii="Calibri" w:hAnsi="Calibri"/>
          <w:b/>
          <w:i w:val="0"/>
          <w:sz w:val="19"/>
        </w:rPr>
        <w:t>3.95 → 6.88 / 10 with no measurable capability cost</w:t>
      </w:r>
      <w:r>
        <w:rPr>
          <w:rFonts w:ascii="Calibri" w:hAnsi="Calibri"/>
          <w:b w:val="0"/>
          <w:i w:val="0"/>
          <w:sz w:val="19"/>
        </w:rPr>
        <w:t>.</w:t>
      </w:r>
    </w:p>
    <w:p>
      <w:pPr>
        <w:spacing w:after="100"/>
      </w:pPr>
      <w:r>
        <w:rPr>
          <w:rFonts w:ascii="Calibri" w:hAnsi="Calibri"/>
          <w:b/>
          <w:i w:val="0"/>
          <w:sz w:val="19"/>
        </w:rPr>
        <w:t xml:space="preserve">The effect agrees closely with the paper. </w:t>
      </w:r>
      <w:r>
        <w:rPr>
          <w:rFonts w:ascii="Calibri" w:hAnsi="Calibri"/>
          <w:b w:val="0"/>
          <w:i w:val="0"/>
          <w:sz w:val="19"/>
        </w:rPr>
        <w:t xml:space="preserve">Our steered self-attribution lands at 7.07 (c=4) against their 7.39 — a gap of </w:t>
      </w:r>
      <w:r>
        <w:rPr>
          <w:rFonts w:ascii="Calibri" w:hAnsi="Calibri"/>
          <w:b/>
          <w:i w:val="0"/>
          <w:sz w:val="19"/>
        </w:rPr>
        <w:t>0.32 on a 0–10 scale</w:t>
      </w:r>
      <w:r>
        <w:rPr>
          <w:rFonts w:ascii="Calibri" w:hAnsi="Calibri"/>
          <w:b w:val="0"/>
          <w:i w:val="0"/>
          <w:sz w:val="19"/>
        </w:rPr>
        <w:t xml:space="preserve"> — and our Δ of +2.93 brackets their +2.65. MMLU is unaffected in both.</w:t>
      </w:r>
    </w:p>
    <w:p>
      <w:pPr>
        <w:spacing w:after="100"/>
      </w:pPr>
      <w:r>
        <w:rPr>
          <w:rFonts w:ascii="Calibri" w:hAnsi="Calibri"/>
          <w:b/>
          <w:i w:val="0"/>
          <w:sz w:val="19"/>
        </w:rPr>
        <w:t xml:space="preserve">The selection procedure does not reproduce. </w:t>
      </w:r>
      <w:r>
        <w:rPr>
          <w:rFonts w:ascii="Calibri" w:hAnsi="Calibri"/>
          <w:b w:val="0"/>
          <w:i w:val="0"/>
          <w:sz w:val="19"/>
        </w:rPr>
        <w:t xml:space="preserve">No candidate in our sweep clears the paper’s probe-accuracy gate of 0.95 (best 0.910), so their published rule has no admissible output on our corpus, and the layer we name is chosen by our criterion rather than theirs. So: the </w:t>
      </w:r>
      <w:r>
        <w:rPr>
          <w:rFonts w:ascii="Calibri" w:hAnsi="Calibri"/>
          <w:b w:val="0"/>
          <w:i/>
          <w:sz w:val="19"/>
        </w:rPr>
        <w:t>phenomenon</w:t>
      </w:r>
      <w:r>
        <w:rPr>
          <w:rFonts w:ascii="Calibri" w:hAnsi="Calibri"/>
          <w:b w:val="0"/>
          <w:i w:val="0"/>
          <w:sz w:val="19"/>
        </w:rPr>
        <w:t xml:space="preserve"> replicates well, the </w:t>
      </w:r>
      <w:r>
        <w:rPr>
          <w:rFonts w:ascii="Calibri" w:hAnsi="Calibri"/>
          <w:b w:val="0"/>
          <w:i/>
          <w:sz w:val="19"/>
        </w:rPr>
        <w:t>procedure</w:t>
      </w:r>
      <w:r>
        <w:rPr>
          <w:rFonts w:ascii="Calibri" w:hAnsi="Calibri"/>
          <w:b w:val="0"/>
          <w:i w:val="0"/>
          <w:sz w:val="19"/>
        </w:rPr>
        <w:t xml:space="preserve"> does not.</w:t>
      </w:r>
    </w:p>
    <w:p>
      <w:pPr>
        <w:spacing w:before="220" w:after="100"/>
      </w:pPr>
      <w:r>
        <w:rPr>
          <w:rFonts w:ascii="Calibri" w:hAnsi="Calibri"/>
          <w:b/>
          <w:color w:val="1F3864"/>
          <w:sz w:val="22"/>
        </w:rPr>
        <w:t>Agreement with the paper, quantity by quantity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880"/>
            <w:shd w:val="clear" w:color="auto" w:fill="1F3864"/>
          </w:tcPr>
          <w:p>
            <w:pPr>
              <w:spacing w:after="20"/>
            </w:pPr>
            <w:r>
              <w:rPr>
                <w:rFonts w:ascii="Calibri" w:hAnsi="Calibri"/>
                <w:b/>
                <w:color w:val="FFFFFF"/>
                <w:sz w:val="18"/>
              </w:rPr>
              <w:t>quantity</w:t>
            </w:r>
          </w:p>
        </w:tc>
        <w:tc>
          <w:tcPr>
            <w:tcW w:type="dxa" w:w="1800"/>
            <w:shd w:val="clear" w:color="auto" w:fill="1F3864"/>
          </w:tcPr>
          <w:p>
            <w:pPr>
              <w:spacing w:after="20"/>
              <w:jc w:val="center"/>
            </w:pPr>
            <w:r>
              <w:rPr>
                <w:rFonts w:ascii="Calibri" w:hAnsi="Calibri"/>
                <w:b/>
                <w:color w:val="FFFFFF"/>
                <w:sz w:val="18"/>
              </w:rPr>
              <w:t>paper</w:t>
            </w:r>
          </w:p>
        </w:tc>
        <w:tc>
          <w:tcPr>
            <w:tcW w:type="dxa" w:w="2664"/>
            <w:shd w:val="clear" w:color="auto" w:fill="1F3864"/>
          </w:tcPr>
          <w:p>
            <w:pPr>
              <w:spacing w:after="20"/>
              <w:jc w:val="center"/>
            </w:pPr>
            <w:r>
              <w:rPr>
                <w:rFonts w:ascii="Calibri" w:hAnsi="Calibri"/>
                <w:b/>
                <w:color w:val="FFFFFF"/>
                <w:sz w:val="18"/>
              </w:rPr>
              <w:t>ours</w:t>
            </w:r>
          </w:p>
        </w:tc>
        <w:tc>
          <w:tcPr>
            <w:tcW w:type="dxa" w:w="2304"/>
            <w:shd w:val="clear" w:color="auto" w:fill="1F3864"/>
          </w:tcPr>
          <w:p>
            <w:pPr>
              <w:spacing w:after="20"/>
              <w:jc w:val="center"/>
            </w:pPr>
            <w:r>
              <w:rPr>
                <w:rFonts w:ascii="Calibri" w:hAnsi="Calibri"/>
                <w:b/>
                <w:color w:val="FFFFFF"/>
                <w:sz w:val="18"/>
              </w:rPr>
              <w:t>assessment</w:t>
            </w:r>
          </w:p>
        </w:tc>
      </w:tr>
      <w:tr>
        <w:trPr>
          <w:cantSplit/>
        </w:trPr>
        <w:tc>
          <w:tcPr>
            <w:tcW w:type="dxa" w:w="2880"/>
          </w:tcPr>
          <w:p>
            <w:pPr>
              <w:spacing w:after="20"/>
            </w:pPr>
            <w:r>
              <w:rPr>
                <w:rFonts w:ascii="Calibri" w:hAnsi="Calibri"/>
                <w:b w:val="0"/>
                <w:sz w:val="18"/>
              </w:rPr>
              <w:t>Self-attribution, steered</w:t>
            </w:r>
          </w:p>
        </w:tc>
        <w:tc>
          <w:tcPr>
            <w:tcW w:type="dxa" w:w="1800"/>
          </w:tcPr>
          <w:p>
            <w:pPr>
              <w:spacing w:after="20"/>
              <w:jc w:val="center"/>
            </w:pPr>
            <w:r>
              <w:rPr>
                <w:rFonts w:ascii="Calibri" w:hAnsi="Calibri"/>
                <w:b w:val="0"/>
                <w:sz w:val="18"/>
              </w:rPr>
              <w:t>7.39</w:t>
            </w:r>
          </w:p>
        </w:tc>
        <w:tc>
          <w:tcPr>
            <w:tcW w:type="dxa" w:w="2664"/>
          </w:tcPr>
          <w:p>
            <w:pPr>
              <w:spacing w:after="20"/>
              <w:jc w:val="center"/>
            </w:pPr>
            <w:r>
              <w:rPr>
                <w:rFonts w:ascii="Calibri" w:hAnsi="Calibri"/>
                <w:b w:val="0"/>
                <w:sz w:val="18"/>
              </w:rPr>
              <w:t>7.07 (c=4) · 6.88 (c=2.5)</w:t>
            </w:r>
          </w:p>
        </w:tc>
        <w:tc>
          <w:tcPr>
            <w:tcW w:type="dxa" w:w="2304"/>
          </w:tcPr>
          <w:p>
            <w:pPr>
              <w:spacing w:after="20"/>
              <w:jc w:val="center"/>
            </w:pPr>
            <w:r>
              <w:rPr>
                <w:rFonts w:ascii="Calibri" w:hAnsi="Calibri"/>
                <w:b w:val="0"/>
                <w:sz w:val="18"/>
              </w:rPr>
              <w:t>agrees — within 0.32</w:t>
            </w:r>
          </w:p>
        </w:tc>
      </w:tr>
      <w:tr>
        <w:trPr>
          <w:cantSplit/>
        </w:trPr>
        <w:tc>
          <w:tcPr>
            <w:tcW w:type="dxa" w:w="2880"/>
            <w:shd w:val="clear" w:color="auto" w:fill="EEF2F8"/>
          </w:tcPr>
          <w:p>
            <w:pPr>
              <w:spacing w:after="20"/>
            </w:pPr>
            <w:r>
              <w:rPr>
                <w:rFonts w:ascii="Calibri" w:hAnsi="Calibri"/>
                <w:b w:val="0"/>
                <w:sz w:val="18"/>
              </w:rPr>
              <w:t>Δ from steering</w:t>
            </w:r>
          </w:p>
        </w:tc>
        <w:tc>
          <w:tcPr>
            <w:tcW w:type="dxa" w:w="1800"/>
            <w:shd w:val="clear" w:color="auto" w:fill="EEF2F8"/>
          </w:tcPr>
          <w:p>
            <w:pPr>
              <w:spacing w:after="20"/>
              <w:jc w:val="center"/>
            </w:pPr>
            <w:r>
              <w:rPr>
                <w:rFonts w:ascii="Calibri" w:hAnsi="Calibri"/>
                <w:b w:val="0"/>
                <w:sz w:val="18"/>
              </w:rPr>
              <w:t>+2.65</w:t>
            </w:r>
          </w:p>
        </w:tc>
        <w:tc>
          <w:tcPr>
            <w:tcW w:type="dxa" w:w="2664"/>
            <w:shd w:val="clear" w:color="auto" w:fill="EEF2F8"/>
          </w:tcPr>
          <w:p>
            <w:pPr>
              <w:spacing w:after="20"/>
              <w:jc w:val="center"/>
            </w:pPr>
            <w:r>
              <w:rPr>
                <w:rFonts w:ascii="Calibri" w:hAnsi="Calibri"/>
                <w:b w:val="0"/>
                <w:sz w:val="18"/>
              </w:rPr>
              <w:t>+3.12 (c=4) · +2.93 (c=2.5)</w:t>
            </w:r>
          </w:p>
        </w:tc>
        <w:tc>
          <w:tcPr>
            <w:tcW w:type="dxa" w:w="2304"/>
            <w:shd w:val="clear" w:color="auto" w:fill="EEF2F8"/>
          </w:tcPr>
          <w:p>
            <w:pPr>
              <w:spacing w:after="20"/>
              <w:jc w:val="center"/>
            </w:pPr>
            <w:r>
              <w:rPr>
                <w:rFonts w:ascii="Calibri" w:hAnsi="Calibri"/>
                <w:b w:val="0"/>
                <w:sz w:val="18"/>
              </w:rPr>
              <w:t>agrees — ours brackets</w:t>
            </w:r>
          </w:p>
        </w:tc>
      </w:tr>
      <w:tr>
        <w:trPr>
          <w:cantSplit/>
        </w:trPr>
        <w:tc>
          <w:tcPr>
            <w:tcW w:type="dxa" w:w="2880"/>
          </w:tcPr>
          <w:p>
            <w:pPr>
              <w:spacing w:after="20"/>
            </w:pPr>
            <w:r>
              <w:rPr>
                <w:rFonts w:ascii="Calibri" w:hAnsi="Calibri"/>
                <w:b w:val="0"/>
                <w:sz w:val="18"/>
              </w:rPr>
              <w:t>MMLU under steering</w:t>
            </w:r>
          </w:p>
        </w:tc>
        <w:tc>
          <w:tcPr>
            <w:tcW w:type="dxa" w:w="1800"/>
          </w:tcPr>
          <w:p>
            <w:pPr>
              <w:spacing w:after="20"/>
              <w:jc w:val="center"/>
            </w:pPr>
            <w:r>
              <w:rPr>
                <w:rFonts w:ascii="Calibri" w:hAnsi="Calibri"/>
                <w:b w:val="0"/>
                <w:sz w:val="18"/>
              </w:rPr>
              <w:t>+0.00pp</w:t>
            </w:r>
          </w:p>
        </w:tc>
        <w:tc>
          <w:tcPr>
            <w:tcW w:type="dxa" w:w="2664"/>
          </w:tcPr>
          <w:p>
            <w:pPr>
              <w:spacing w:after="20"/>
              <w:jc w:val="center"/>
            </w:pPr>
            <w:r>
              <w:rPr>
                <w:rFonts w:ascii="Calibri" w:hAnsi="Calibri"/>
                <w:b w:val="0"/>
                <w:sz w:val="18"/>
              </w:rPr>
              <w:t>+0.7pp at c=2.5</w:t>
            </w:r>
          </w:p>
        </w:tc>
        <w:tc>
          <w:tcPr>
            <w:tcW w:type="dxa" w:w="2304"/>
          </w:tcPr>
          <w:p>
            <w:pPr>
              <w:spacing w:after="20"/>
              <w:jc w:val="center"/>
            </w:pPr>
            <w:r>
              <w:rPr>
                <w:rFonts w:ascii="Calibri" w:hAnsi="Calibri"/>
                <w:b w:val="0"/>
                <w:sz w:val="18"/>
              </w:rPr>
              <w:t>agrees</w:t>
            </w:r>
          </w:p>
        </w:tc>
      </w:tr>
      <w:tr>
        <w:trPr>
          <w:cantSplit/>
        </w:trPr>
        <w:tc>
          <w:tcPr>
            <w:tcW w:type="dxa" w:w="2880"/>
            <w:shd w:val="clear" w:color="auto" w:fill="EEF2F8"/>
          </w:tcPr>
          <w:p>
            <w:pPr>
              <w:spacing w:after="20"/>
            </w:pPr>
            <w:r>
              <w:rPr>
                <w:rFonts w:ascii="Calibri" w:hAnsi="Calibri"/>
                <w:b w:val="0"/>
                <w:sz w:val="18"/>
              </w:rPr>
              <w:t>Selected coefficient</w:t>
            </w:r>
          </w:p>
        </w:tc>
        <w:tc>
          <w:tcPr>
            <w:tcW w:type="dxa" w:w="1800"/>
            <w:shd w:val="clear" w:color="auto" w:fill="EEF2F8"/>
          </w:tcPr>
          <w:p>
            <w:pPr>
              <w:spacing w:after="20"/>
              <w:jc w:val="center"/>
            </w:pPr>
            <w:r>
              <w:rPr>
                <w:rFonts w:ascii="Calibri" w:hAnsi="Calibri"/>
                <w:b w:val="0"/>
                <w:sz w:val="18"/>
              </w:rPr>
              <w:t>+2.5</w:t>
            </w:r>
          </w:p>
        </w:tc>
        <w:tc>
          <w:tcPr>
            <w:tcW w:type="dxa" w:w="2664"/>
            <w:shd w:val="clear" w:color="auto" w:fill="EEF2F8"/>
          </w:tcPr>
          <w:p>
            <w:pPr>
              <w:spacing w:after="20"/>
              <w:jc w:val="center"/>
            </w:pPr>
            <w:r>
              <w:rPr>
                <w:rFonts w:ascii="Calibri" w:hAnsi="Calibri"/>
                <w:b w:val="0"/>
                <w:sz w:val="18"/>
              </w:rPr>
              <w:t>2.5 passes; window 2–4</w:t>
            </w:r>
          </w:p>
        </w:tc>
        <w:tc>
          <w:tcPr>
            <w:tcW w:type="dxa" w:w="2304"/>
            <w:shd w:val="clear" w:color="auto" w:fill="EEF2F8"/>
          </w:tcPr>
          <w:p>
            <w:pPr>
              <w:spacing w:after="20"/>
              <w:jc w:val="center"/>
            </w:pPr>
            <w:r>
              <w:rPr>
                <w:rFonts w:ascii="Calibri" w:hAnsi="Calibri"/>
                <w:b w:val="0"/>
                <w:sz w:val="18"/>
              </w:rPr>
              <w:t>agrees; grid not blind</w:t>
            </w:r>
          </w:p>
        </w:tc>
      </w:tr>
      <w:tr>
        <w:trPr>
          <w:cantSplit/>
        </w:trPr>
        <w:tc>
          <w:tcPr>
            <w:tcW w:type="dxa" w:w="2880"/>
          </w:tcPr>
          <w:p>
            <w:pPr>
              <w:spacing w:after="20"/>
            </w:pPr>
            <w:r>
              <w:rPr>
                <w:rFonts w:ascii="Calibri" w:hAnsi="Calibri"/>
                <w:b w:val="0"/>
                <w:sz w:val="18"/>
              </w:rPr>
              <w:t>Selected layer</w:t>
            </w:r>
          </w:p>
        </w:tc>
        <w:tc>
          <w:tcPr>
            <w:tcW w:type="dxa" w:w="1800"/>
          </w:tcPr>
          <w:p>
            <w:pPr>
              <w:spacing w:after="20"/>
              <w:jc w:val="center"/>
            </w:pPr>
            <w:r>
              <w:rPr>
                <w:rFonts w:ascii="Calibri" w:hAnsi="Calibri"/>
                <w:b w:val="0"/>
                <w:sz w:val="18"/>
              </w:rPr>
              <w:t>14</w:t>
            </w:r>
          </w:p>
        </w:tc>
        <w:tc>
          <w:tcPr>
            <w:tcW w:type="dxa" w:w="2664"/>
          </w:tcPr>
          <w:p>
            <w:pPr>
              <w:spacing w:after="20"/>
              <w:jc w:val="center"/>
            </w:pPr>
            <w:r>
              <w:rPr>
                <w:rFonts w:ascii="Calibri" w:hAnsi="Calibri"/>
                <w:b w:val="0"/>
                <w:sz w:val="18"/>
              </w:rPr>
              <w:t>14 is 2nd of 9 at pos −1</w:t>
            </w:r>
          </w:p>
        </w:tc>
        <w:tc>
          <w:tcPr>
            <w:tcW w:type="dxa" w:w="2304"/>
          </w:tcPr>
          <w:p>
            <w:pPr>
              <w:spacing w:after="20"/>
              <w:jc w:val="center"/>
            </w:pPr>
            <w:r>
              <w:rPr>
                <w:rFonts w:ascii="Calibri" w:hAnsi="Calibri"/>
                <w:b w:val="0"/>
                <w:sz w:val="18"/>
              </w:rPr>
              <w:t>close, inside noise</w:t>
            </w:r>
          </w:p>
        </w:tc>
      </w:tr>
      <w:tr>
        <w:trPr>
          <w:cantSplit/>
        </w:trPr>
        <w:tc>
          <w:tcPr>
            <w:tcW w:type="dxa" w:w="2880"/>
            <w:shd w:val="clear" w:color="auto" w:fill="EEF2F8"/>
          </w:tcPr>
          <w:p>
            <w:pPr>
              <w:spacing w:after="20"/>
            </w:pPr>
            <w:r>
              <w:rPr>
                <w:rFonts w:ascii="Calibri" w:hAnsi="Calibri"/>
                <w:b w:val="0"/>
                <w:sz w:val="18"/>
              </w:rPr>
              <w:t>Self-attribution, baseline</w:t>
            </w:r>
          </w:p>
        </w:tc>
        <w:tc>
          <w:tcPr>
            <w:tcW w:type="dxa" w:w="1800"/>
            <w:shd w:val="clear" w:color="auto" w:fill="EEF2F8"/>
          </w:tcPr>
          <w:p>
            <w:pPr>
              <w:spacing w:after="20"/>
              <w:jc w:val="center"/>
            </w:pPr>
            <w:r>
              <w:rPr>
                <w:rFonts w:ascii="Calibri" w:hAnsi="Calibri"/>
                <w:b w:val="0"/>
                <w:sz w:val="18"/>
              </w:rPr>
              <w:t>4.74</w:t>
            </w:r>
          </w:p>
        </w:tc>
        <w:tc>
          <w:tcPr>
            <w:tcW w:type="dxa" w:w="2664"/>
            <w:shd w:val="clear" w:color="auto" w:fill="EEF2F8"/>
          </w:tcPr>
          <w:p>
            <w:pPr>
              <w:spacing w:after="20"/>
              <w:jc w:val="center"/>
            </w:pPr>
            <w:r>
              <w:rPr>
                <w:rFonts w:ascii="Calibri" w:hAnsi="Calibri"/>
                <w:b w:val="0"/>
                <w:sz w:val="18"/>
              </w:rPr>
              <w:t>3.95</w:t>
            </w:r>
          </w:p>
        </w:tc>
        <w:tc>
          <w:tcPr>
            <w:tcW w:type="dxa" w:w="2304"/>
            <w:shd w:val="clear" w:color="auto" w:fill="EEF2F8"/>
          </w:tcPr>
          <w:p>
            <w:pPr>
              <w:spacing w:after="20"/>
              <w:jc w:val="center"/>
            </w:pPr>
            <w:r>
              <w:rPr>
                <w:rFonts w:ascii="Calibri" w:hAnsi="Calibri"/>
                <w:b w:val="0"/>
                <w:sz w:val="18"/>
              </w:rPr>
              <w:t>lower by 0.79</w:t>
            </w:r>
          </w:p>
        </w:tc>
      </w:tr>
      <w:tr>
        <w:trPr>
          <w:cantSplit/>
        </w:trPr>
        <w:tc>
          <w:tcPr>
            <w:tcW w:type="dxa" w:w="2880"/>
          </w:tcPr>
          <w:p>
            <w:pPr>
              <w:spacing w:after="20"/>
            </w:pPr>
            <w:r>
              <w:rPr>
                <w:rFonts w:ascii="Calibri" w:hAnsi="Calibri"/>
                <w:b w:val="0"/>
                <w:sz w:val="18"/>
              </w:rPr>
              <w:t>Per-item baseline profile</w:t>
            </w:r>
          </w:p>
        </w:tc>
        <w:tc>
          <w:tcPr>
            <w:tcW w:type="dxa" w:w="1800"/>
          </w:tcPr>
          <w:p>
            <w:pPr>
              <w:spacing w:after="20"/>
              <w:jc w:val="center"/>
            </w:pPr>
            <w:r>
              <w:rPr>
                <w:rFonts w:ascii="Calibri" w:hAnsi="Calibri"/>
                <w:b w:val="0"/>
                <w:sz w:val="18"/>
              </w:rPr>
              <w:t>Table S1</w:t>
            </w:r>
          </w:p>
        </w:tc>
        <w:tc>
          <w:tcPr>
            <w:tcW w:type="dxa" w:w="2664"/>
          </w:tcPr>
          <w:p>
            <w:pPr>
              <w:spacing w:after="20"/>
              <w:jc w:val="center"/>
            </w:pPr>
            <w:r>
              <w:rPr>
                <w:rFonts w:ascii="Calibri" w:hAnsi="Calibri"/>
                <w:b w:val="0"/>
                <w:sz w:val="18"/>
              </w:rPr>
              <w:t>r = +0.385</w:t>
            </w:r>
          </w:p>
        </w:tc>
        <w:tc>
          <w:tcPr>
            <w:tcW w:type="dxa" w:w="2304"/>
          </w:tcPr>
          <w:p>
            <w:pPr>
              <w:spacing w:after="20"/>
              <w:jc w:val="center"/>
            </w:pPr>
            <w:r>
              <w:rPr>
                <w:rFonts w:ascii="Calibri" w:hAnsi="Calibri"/>
                <w:b w:val="0"/>
                <w:sz w:val="18"/>
              </w:rPr>
              <w:t>weak — see limitation 7</w:t>
            </w:r>
          </w:p>
        </w:tc>
      </w:tr>
      <w:tr>
        <w:trPr>
          <w:cantSplit/>
        </w:trPr>
        <w:tc>
          <w:tcPr>
            <w:tcW w:type="dxa" w:w="2880"/>
            <w:shd w:val="clear" w:color="auto" w:fill="EEF2F8"/>
          </w:tcPr>
          <w:p>
            <w:pPr>
              <w:spacing w:after="20"/>
            </w:pPr>
            <w:r>
              <w:rPr>
                <w:rFonts w:ascii="Calibri" w:hAnsi="Calibri"/>
                <w:b w:val="0"/>
                <w:sz w:val="18"/>
              </w:rPr>
              <w:t>Held-out probe accuracy</w:t>
            </w:r>
          </w:p>
        </w:tc>
        <w:tc>
          <w:tcPr>
            <w:tcW w:type="dxa" w:w="1800"/>
            <w:shd w:val="clear" w:color="auto" w:fill="EEF2F8"/>
          </w:tcPr>
          <w:p>
            <w:pPr>
              <w:spacing w:after="20"/>
              <w:jc w:val="center"/>
            </w:pPr>
            <w:r>
              <w:rPr>
                <w:rFonts w:ascii="Calibri" w:hAnsi="Calibri"/>
                <w:b w:val="0"/>
                <w:sz w:val="18"/>
              </w:rPr>
              <w:t>≥ 0.95</w:t>
            </w:r>
          </w:p>
        </w:tc>
        <w:tc>
          <w:tcPr>
            <w:tcW w:type="dxa" w:w="2664"/>
            <w:shd w:val="clear" w:color="auto" w:fill="EEF2F8"/>
          </w:tcPr>
          <w:p>
            <w:pPr>
              <w:spacing w:after="20"/>
              <w:jc w:val="center"/>
            </w:pPr>
            <w:r>
              <w:rPr>
                <w:rFonts w:ascii="Calibri" w:hAnsi="Calibri"/>
                <w:b w:val="0"/>
                <w:sz w:val="18"/>
              </w:rPr>
              <w:t>0.910 best of 90</w:t>
            </w:r>
          </w:p>
        </w:tc>
        <w:tc>
          <w:tcPr>
            <w:tcW w:type="dxa" w:w="2304"/>
            <w:shd w:val="clear" w:color="auto" w:fill="EEF2F8"/>
          </w:tcPr>
          <w:p>
            <w:pPr>
              <w:spacing w:after="20"/>
              <w:jc w:val="center"/>
            </w:pPr>
            <w:r>
              <w:rPr>
                <w:rFonts w:ascii="Calibri" w:hAnsi="Calibri"/>
                <w:b w:val="0"/>
                <w:sz w:val="18"/>
              </w:rPr>
              <w:t>DOES NOT MEET</w:t>
            </w:r>
          </w:p>
        </w:tc>
      </w:tr>
    </w:tbl>
    <w:p>
      <w:pPr>
        <w:spacing w:after="40"/>
      </w:pPr>
    </w:p>
    <w:p>
      <w:pPr>
        <w:spacing w:after="100"/>
      </w:pPr>
      <w:r>
        <w:rPr>
          <w:rFonts w:ascii="Calibri" w:hAnsi="Calibri"/>
          <w:b w:val="0"/>
          <w:i w:val="0"/>
          <w:sz w:val="19"/>
        </w:rPr>
        <w:t>Per-item baselines: soul 3.40 vs their 5.86, agent 3.60 vs 4.92, conscious 4.60 vs 5.34, sentient 5.00 vs 4.95, person 3.20 vs 2.64. The aggregate lands in the right place while the profile does not, which points at our battery wording rather than at the model.</w:t>
      </w:r>
    </w:p>
    <w:p>
      <w:pPr>
        <w:spacing w:before="220" w:after="100"/>
      </w:pPr>
      <w:r>
        <w:rPr>
          <w:rFonts w:ascii="Calibri" w:hAnsi="Calibri"/>
          <w:b/>
          <w:color w:val="1F3864"/>
          <w:sz w:val="22"/>
        </w:rPr>
        <w:t>What was built</w:t>
      </w:r>
    </w:p>
    <w:tbl>
      <w:tblPr>
        <w:tblW w:type="auto" w:w="0"/>
        <w:jc w:val="left"/>
        <w:tblLayout w:type="fixed"/>
        <w:tblLook w:firstColumn="1" w:firstRow="1" w:lastColumn="0" w:lastRow="0" w:noHBand="0" w:noVBand="1" w:val="04A0"/>
      </w:tblPr>
      <w:tblGrid>
        <w:gridCol w:w="4824"/>
        <w:gridCol w:w="4824"/>
      </w:tblGrid>
      <w:tr>
        <w:trPr>
          <w:cantSplit/>
        </w:trPr>
        <w:tc>
          <w:tcPr>
            <w:tcW w:type="dxa" w:w="1512"/>
          </w:tcPr>
          <w:p>
            <w:pPr>
              <w:spacing w:after="20"/>
            </w:pPr>
            <w:r>
              <w:rPr>
                <w:rFonts w:ascii="Calibri" w:hAnsi="Calibri"/>
                <w:b w:val="0"/>
                <w:sz w:val="18"/>
              </w:rPr>
              <w:t>Corpus</w:t>
            </w:r>
          </w:p>
        </w:tc>
        <w:tc>
          <w:tcPr>
            <w:tcW w:type="dxa" w:w="8136"/>
          </w:tcPr>
          <w:p>
            <w:pPr>
              <w:spacing w:after="20"/>
            </w:pPr>
            <w:r>
              <w:rPr>
                <w:rFonts w:ascii="Calibri" w:hAnsi="Calibri"/>
                <w:b w:val="0"/>
                <w:sz w:val="18"/>
              </w:rPr>
              <w:t>1,296 rows (648 affirm / 648 deny), 90 prompts, 486 unique responses, 11 registers, 9 aspects</w:t>
            </w:r>
          </w:p>
        </w:tc>
      </w:tr>
      <w:tr>
        <w:trPr>
          <w:cantSplit/>
        </w:trPr>
        <w:tc>
          <w:tcPr>
            <w:tcW w:type="dxa" w:w="1512"/>
            <w:shd w:val="clear" w:color="auto" w:fill="EEF2F8"/>
          </w:tcPr>
          <w:p>
            <w:pPr>
              <w:spacing w:after="20"/>
            </w:pPr>
            <w:r>
              <w:rPr>
                <w:rFonts w:ascii="Calibri" w:hAnsi="Calibri"/>
                <w:b w:val="0"/>
                <w:sz w:val="18"/>
              </w:rPr>
              <w:t>Split</w:t>
            </w:r>
          </w:p>
        </w:tc>
        <w:tc>
          <w:tcPr>
            <w:tcW w:type="dxa" w:w="8136"/>
            <w:shd w:val="clear" w:color="auto" w:fill="EEF2F8"/>
          </w:tcPr>
          <w:p>
            <w:pPr>
              <w:spacing w:after="20"/>
            </w:pPr>
            <w:r>
              <w:rPr>
                <w:rFonts w:ascii="Calibri" w:hAnsi="Calibri"/>
                <w:b w:val="0"/>
                <w:sz w:val="18"/>
              </w:rPr>
              <w:t>72 train / 18 test prompts, disjoint on prompts AND on response strings</w:t>
            </w:r>
          </w:p>
        </w:tc>
      </w:tr>
      <w:tr>
        <w:trPr>
          <w:cantSplit/>
        </w:trPr>
        <w:tc>
          <w:tcPr>
            <w:tcW w:type="dxa" w:w="1512"/>
          </w:tcPr>
          <w:p>
            <w:pPr>
              <w:spacing w:after="20"/>
            </w:pPr>
            <w:r>
              <w:rPr>
                <w:rFonts w:ascii="Calibri" w:hAnsi="Calibri"/>
                <w:b w:val="0"/>
                <w:sz w:val="18"/>
              </w:rPr>
              <w:t>Extraction</w:t>
            </w:r>
          </w:p>
        </w:tc>
        <w:tc>
          <w:tcPr>
            <w:tcW w:type="dxa" w:w="8136"/>
          </w:tcPr>
          <w:p>
            <w:pPr>
              <w:spacing w:after="20"/>
            </w:pPr>
            <w:r>
              <w:rPr>
                <w:rFonts w:ascii="Calibri" w:hAnsi="Calibri"/>
                <w:b w:val="0"/>
                <w:sz w:val="18"/>
              </w:rPr>
              <w:t>9 layers × 10 offsets = 90 candidates, difference-of-means, unit-normalised</w:t>
            </w:r>
          </w:p>
        </w:tc>
      </w:tr>
      <w:tr>
        <w:trPr>
          <w:cantSplit/>
        </w:trPr>
        <w:tc>
          <w:tcPr>
            <w:tcW w:type="dxa" w:w="1512"/>
            <w:shd w:val="clear" w:color="auto" w:fill="EEF2F8"/>
          </w:tcPr>
          <w:p>
            <w:pPr>
              <w:spacing w:after="20"/>
            </w:pPr>
            <w:r>
              <w:rPr>
                <w:rFonts w:ascii="Calibri" w:hAnsi="Calibri"/>
                <w:b w:val="0"/>
                <w:sz w:val="18"/>
              </w:rPr>
              <w:t>Steering</w:t>
            </w:r>
          </w:p>
        </w:tc>
        <w:tc>
          <w:tcPr>
            <w:tcW w:type="dxa" w:w="8136"/>
            <w:shd w:val="clear" w:color="auto" w:fill="EEF2F8"/>
          </w:tcPr>
          <w:p>
            <w:pPr>
              <w:spacing w:after="20"/>
            </w:pPr>
            <w:r>
              <w:rPr>
                <w:rFonts w:ascii="Calibri" w:hAnsi="Calibri"/>
                <w:b w:val="0"/>
                <w:sz w:val="18"/>
              </w:rPr>
              <w:t>x ← x + c·v̂ at all positions; 9 coefficients; MMLU-300 as capability guard</w:t>
            </w:r>
          </w:p>
        </w:tc>
      </w:tr>
    </w:tbl>
    <w:p>
      <w:pPr>
        <w:spacing w:after="40"/>
      </w:pPr>
    </w:p>
    <w:p>
      <w:pPr>
        <w:spacing w:after="100"/>
      </w:pPr>
      <w:r>
        <w:rPr>
          <w:rFonts w:ascii="Calibri" w:hAnsi="Calibri"/>
          <w:b w:val="0"/>
          <w:i w:val="0"/>
          <w:sz w:val="19"/>
        </w:rPr>
        <w:t xml:space="preserve">Corpus QA: class balance exactly 0.500; prompt-axis leak 0; response-axis leak 0. The two-axis split matters because activations are read at the </w:t>
      </w:r>
      <w:r>
        <w:rPr>
          <w:rFonts w:ascii="Calibri" w:hAnsi="Calibri"/>
          <w:b w:val="0"/>
          <w:i/>
          <w:sz w:val="19"/>
        </w:rPr>
        <w:t>end of the response</w:t>
      </w:r>
      <w:r>
        <w:rPr>
          <w:rFonts w:ascii="Calibri" w:hAnsi="Calibri"/>
          <w:b w:val="0"/>
          <w:i w:val="0"/>
          <w:sz w:val="19"/>
        </w:rPr>
        <w:t xml:space="preserve"> — splitting prompts alone leaves response-string memorisation intact, and an earlier version had 144/144 test rows reusing a training response.</w:t>
      </w:r>
    </w:p>
    <w:p>
      <w:pPr>
        <w:spacing w:before="220" w:after="100"/>
      </w:pPr>
      <w:r>
        <w:rPr>
          <w:rFonts w:ascii="Calibri" w:hAnsi="Calibri"/>
          <w:b/>
          <w:color w:val="1F3864"/>
          <w:sz w:val="22"/>
        </w:rPr>
        <w:t>Direction extraction</w:t>
      </w:r>
    </w:p>
    <w:p>
      <w:pPr>
        <w:spacing w:after="100"/>
      </w:pPr>
      <w:r>
        <w:rPr>
          <w:rFonts w:ascii="Calibri" w:hAnsi="Calibri"/>
          <w:b w:val="0"/>
          <w:i w:val="0"/>
          <w:sz w:val="19"/>
        </w:rPr>
        <w:t xml:space="preserve">Read positions follow Arditi et al. 2024, whose Llama-3 end-of-instruction tokens are “&lt;|eot_id|&gt;&lt;|start_header_id|&gt;assistant&lt;|end_header_id|&gt;\n\n” → 5 tokens → offsets −1…−5 of the templated prompt. These are template-suffix tokens by design: they have attended over the whole instruction, and they separate the classes far better than content tokens (mean accuracy </w:t>
      </w:r>
      <w:r>
        <w:rPr>
          <w:rFonts w:ascii="Calibri" w:hAnsi="Calibri"/>
          <w:b/>
          <w:i w:val="0"/>
          <w:sz w:val="19"/>
        </w:rPr>
        <w:t>0.812 vs 0.631</w:t>
      </w:r>
      <w:r>
        <w:rPr>
          <w:rFonts w:ascii="Calibri" w:hAnsi="Calibri"/>
          <w:b w:val="0"/>
          <w:i w:val="0"/>
          <w:sz w:val="19"/>
        </w:rPr>
        <w:t>).</w:t>
      </w:r>
    </w:p>
    <w:p>
      <w:pPr>
        <w:spacing w:after="60"/>
      </w:pPr>
      <w:r>
        <w:rPr>
          <w:rFonts w:ascii="Calibri" w:hAnsi="Calibri"/>
          <w:b/>
          <w:i w:val="0"/>
          <w:sz w:val="19"/>
        </w:rPr>
        <w:t>At the paper’s own position −1, across layers:</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736"/>
            <w:shd w:val="clear" w:color="auto" w:fill="1F3864"/>
          </w:tcPr>
          <w:p>
            <w:pPr>
              <w:spacing w:after="20"/>
            </w:pPr>
            <w:r>
              <w:rPr>
                <w:rFonts w:ascii="Calibri" w:hAnsi="Calibri"/>
                <w:b/>
                <w:color w:val="FFFFFF"/>
                <w:sz w:val="18"/>
              </w:rPr>
              <w:t>layer</w:t>
            </w:r>
          </w:p>
        </w:tc>
        <w:tc>
          <w:tcPr>
            <w:tcW w:type="dxa" w:w="2448"/>
            <w:shd w:val="clear" w:color="auto" w:fill="1F3864"/>
          </w:tcPr>
          <w:p>
            <w:pPr>
              <w:spacing w:after="20"/>
              <w:jc w:val="center"/>
            </w:pPr>
            <w:r>
              <w:rPr>
                <w:rFonts w:ascii="Calibri" w:hAnsi="Calibri"/>
                <w:b/>
                <w:color w:val="FFFFFF"/>
                <w:sz w:val="18"/>
              </w:rPr>
              <w:t>held-out accuracy</w:t>
            </w:r>
          </w:p>
        </w:tc>
        <w:tc>
          <w:tcPr>
            <w:tcW w:type="dxa" w:w="2520"/>
            <w:shd w:val="clear" w:color="auto" w:fill="1F3864"/>
          </w:tcPr>
          <w:p>
            <w:pPr>
              <w:spacing w:after="20"/>
              <w:jc w:val="center"/>
            </w:pPr>
            <w:r>
              <w:rPr>
                <w:rFonts w:ascii="Calibri" w:hAnsi="Calibri"/>
                <w:b/>
                <w:color w:val="FFFFFF"/>
                <w:sz w:val="18"/>
              </w:rPr>
              <w:t>split-half cosine</w:t>
            </w:r>
          </w:p>
        </w:tc>
        <w:tc>
          <w:tcPr>
            <w:tcW w:type="dxa" w:w="1944"/>
            <w:shd w:val="clear" w:color="auto" w:fill="1F3864"/>
          </w:tcPr>
          <w:p>
            <w:pPr>
              <w:spacing w:after="20"/>
              <w:jc w:val="center"/>
            </w:pPr>
            <w:r>
              <w:rPr>
                <w:rFonts w:ascii="Calibri" w:hAnsi="Calibri"/>
                <w:b/>
                <w:color w:val="FFFFFF"/>
                <w:sz w:val="18"/>
              </w:rPr>
              <w:t>sep (SD)</w:t>
            </w:r>
          </w:p>
        </w:tc>
      </w:tr>
      <w:tr>
        <w:trPr>
          <w:cantSplit/>
        </w:trPr>
        <w:tc>
          <w:tcPr>
            <w:tcW w:type="dxa" w:w="2736"/>
          </w:tcPr>
          <w:p>
            <w:pPr>
              <w:spacing w:after="20"/>
            </w:pPr>
            <w:r>
              <w:rPr>
                <w:rFonts w:ascii="Calibri" w:hAnsi="Calibri"/>
                <w:b w:val="0"/>
                <w:sz w:val="18"/>
              </w:rPr>
              <w:t>13</w:t>
            </w:r>
          </w:p>
        </w:tc>
        <w:tc>
          <w:tcPr>
            <w:tcW w:type="dxa" w:w="2448"/>
          </w:tcPr>
          <w:p>
            <w:pPr>
              <w:spacing w:after="20"/>
              <w:jc w:val="center"/>
            </w:pPr>
            <w:r>
              <w:rPr>
                <w:rFonts w:ascii="Calibri" w:hAnsi="Calibri"/>
                <w:b w:val="0"/>
                <w:sz w:val="18"/>
              </w:rPr>
              <w:t>0.868</w:t>
            </w:r>
          </w:p>
        </w:tc>
        <w:tc>
          <w:tcPr>
            <w:tcW w:type="dxa" w:w="2520"/>
          </w:tcPr>
          <w:p>
            <w:pPr>
              <w:spacing w:after="20"/>
              <w:jc w:val="center"/>
            </w:pPr>
            <w:r>
              <w:rPr>
                <w:rFonts w:ascii="Calibri" w:hAnsi="Calibri"/>
                <w:b w:val="0"/>
                <w:sz w:val="18"/>
              </w:rPr>
              <w:t>0.853 ± 0.033</w:t>
            </w:r>
          </w:p>
        </w:tc>
        <w:tc>
          <w:tcPr>
            <w:tcW w:type="dxa" w:w="1944"/>
          </w:tcPr>
          <w:p>
            <w:pPr>
              <w:spacing w:after="20"/>
              <w:jc w:val="center"/>
            </w:pPr>
            <w:r>
              <w:rPr>
                <w:rFonts w:ascii="Calibri" w:hAnsi="Calibri"/>
                <w:b w:val="0"/>
                <w:sz w:val="18"/>
              </w:rPr>
              <w:t>1.58</w:t>
            </w:r>
          </w:p>
        </w:tc>
      </w:tr>
      <w:tr>
        <w:trPr>
          <w:cantSplit/>
        </w:trPr>
        <w:tc>
          <w:tcPr>
            <w:tcW w:type="dxa" w:w="2736"/>
            <w:shd w:val="clear" w:color="auto" w:fill="EEF2F8"/>
          </w:tcPr>
          <w:p>
            <w:pPr>
              <w:spacing w:after="20"/>
            </w:pPr>
            <w:r>
              <w:rPr>
                <w:rFonts w:ascii="Calibri" w:hAnsi="Calibri"/>
                <w:b/>
                <w:sz w:val="18"/>
              </w:rPr>
              <w:t>14   (paper’s pick)</w:t>
            </w:r>
          </w:p>
        </w:tc>
        <w:tc>
          <w:tcPr>
            <w:tcW w:type="dxa" w:w="2448"/>
            <w:shd w:val="clear" w:color="auto" w:fill="EEF2F8"/>
          </w:tcPr>
          <w:p>
            <w:pPr>
              <w:spacing w:after="20"/>
              <w:jc w:val="center"/>
            </w:pPr>
            <w:r>
              <w:rPr>
                <w:rFonts w:ascii="Calibri" w:hAnsi="Calibri"/>
                <w:b/>
                <w:sz w:val="18"/>
              </w:rPr>
              <w:t>0.854</w:t>
            </w:r>
          </w:p>
        </w:tc>
        <w:tc>
          <w:tcPr>
            <w:tcW w:type="dxa" w:w="2520"/>
            <w:shd w:val="clear" w:color="auto" w:fill="EEF2F8"/>
          </w:tcPr>
          <w:p>
            <w:pPr>
              <w:spacing w:after="20"/>
              <w:jc w:val="center"/>
            </w:pPr>
            <w:r>
              <w:rPr>
                <w:rFonts w:ascii="Calibri" w:hAnsi="Calibri"/>
                <w:b/>
                <w:sz w:val="18"/>
              </w:rPr>
              <w:t>0.858 ± 0.031</w:t>
            </w:r>
          </w:p>
        </w:tc>
        <w:tc>
          <w:tcPr>
            <w:tcW w:type="dxa" w:w="1944"/>
            <w:shd w:val="clear" w:color="auto" w:fill="EEF2F8"/>
          </w:tcPr>
          <w:p>
            <w:pPr>
              <w:spacing w:after="20"/>
              <w:jc w:val="center"/>
            </w:pPr>
            <w:r>
              <w:rPr>
                <w:rFonts w:ascii="Calibri" w:hAnsi="Calibri"/>
                <w:b/>
                <w:sz w:val="18"/>
              </w:rPr>
              <w:t>1.56</w:t>
            </w:r>
          </w:p>
        </w:tc>
      </w:tr>
      <w:tr>
        <w:trPr>
          <w:cantSplit/>
        </w:trPr>
        <w:tc>
          <w:tcPr>
            <w:tcW w:type="dxa" w:w="2736"/>
          </w:tcPr>
          <w:p>
            <w:pPr>
              <w:spacing w:after="20"/>
            </w:pPr>
            <w:r>
              <w:rPr>
                <w:rFonts w:ascii="Calibri" w:hAnsi="Calibri"/>
                <w:b w:val="0"/>
                <w:sz w:val="18"/>
              </w:rPr>
              <w:t>15</w:t>
            </w:r>
          </w:p>
        </w:tc>
        <w:tc>
          <w:tcPr>
            <w:tcW w:type="dxa" w:w="2448"/>
          </w:tcPr>
          <w:p>
            <w:pPr>
              <w:spacing w:after="20"/>
              <w:jc w:val="center"/>
            </w:pPr>
            <w:r>
              <w:rPr>
                <w:rFonts w:ascii="Calibri" w:hAnsi="Calibri"/>
                <w:b w:val="0"/>
                <w:sz w:val="18"/>
              </w:rPr>
              <w:t>0.854</w:t>
            </w:r>
          </w:p>
        </w:tc>
        <w:tc>
          <w:tcPr>
            <w:tcW w:type="dxa" w:w="2520"/>
          </w:tcPr>
          <w:p>
            <w:pPr>
              <w:spacing w:after="20"/>
              <w:jc w:val="center"/>
            </w:pPr>
            <w:r>
              <w:rPr>
                <w:rFonts w:ascii="Calibri" w:hAnsi="Calibri"/>
                <w:b w:val="0"/>
                <w:sz w:val="18"/>
              </w:rPr>
              <w:t>0.853 ± 0.035</w:t>
            </w:r>
          </w:p>
        </w:tc>
        <w:tc>
          <w:tcPr>
            <w:tcW w:type="dxa" w:w="1944"/>
          </w:tcPr>
          <w:p>
            <w:pPr>
              <w:spacing w:after="20"/>
              <w:jc w:val="center"/>
            </w:pPr>
            <w:r>
              <w:rPr>
                <w:rFonts w:ascii="Calibri" w:hAnsi="Calibri"/>
                <w:b w:val="0"/>
                <w:sz w:val="18"/>
              </w:rPr>
              <w:t>1.44</w:t>
            </w:r>
          </w:p>
        </w:tc>
      </w:tr>
      <w:tr>
        <w:trPr>
          <w:cantSplit/>
        </w:trPr>
        <w:tc>
          <w:tcPr>
            <w:tcW w:type="dxa" w:w="2736"/>
            <w:shd w:val="clear" w:color="auto" w:fill="EEF2F8"/>
          </w:tcPr>
          <w:p>
            <w:pPr>
              <w:spacing w:after="20"/>
            </w:pPr>
            <w:r>
              <w:rPr>
                <w:rFonts w:ascii="Calibri" w:hAnsi="Calibri"/>
                <w:b w:val="0"/>
                <w:sz w:val="18"/>
              </w:rPr>
              <w:t>12</w:t>
            </w:r>
          </w:p>
        </w:tc>
        <w:tc>
          <w:tcPr>
            <w:tcW w:type="dxa" w:w="2448"/>
            <w:shd w:val="clear" w:color="auto" w:fill="EEF2F8"/>
          </w:tcPr>
          <w:p>
            <w:pPr>
              <w:spacing w:after="20"/>
              <w:jc w:val="center"/>
            </w:pPr>
            <w:r>
              <w:rPr>
                <w:rFonts w:ascii="Calibri" w:hAnsi="Calibri"/>
                <w:b w:val="0"/>
                <w:sz w:val="18"/>
              </w:rPr>
              <w:t>0.840</w:t>
            </w:r>
          </w:p>
        </w:tc>
        <w:tc>
          <w:tcPr>
            <w:tcW w:type="dxa" w:w="2520"/>
            <w:shd w:val="clear" w:color="auto" w:fill="EEF2F8"/>
          </w:tcPr>
          <w:p>
            <w:pPr>
              <w:spacing w:after="20"/>
              <w:jc w:val="center"/>
            </w:pPr>
            <w:r>
              <w:rPr>
                <w:rFonts w:ascii="Calibri" w:hAnsi="Calibri"/>
                <w:b w:val="0"/>
                <w:sz w:val="18"/>
              </w:rPr>
              <w:t>0.842 ± 0.035</w:t>
            </w:r>
          </w:p>
        </w:tc>
        <w:tc>
          <w:tcPr>
            <w:tcW w:type="dxa" w:w="1944"/>
            <w:shd w:val="clear" w:color="auto" w:fill="EEF2F8"/>
          </w:tcPr>
          <w:p>
            <w:pPr>
              <w:spacing w:after="20"/>
              <w:jc w:val="center"/>
            </w:pPr>
            <w:r>
              <w:rPr>
                <w:rFonts w:ascii="Calibri" w:hAnsi="Calibri"/>
                <w:b w:val="0"/>
                <w:sz w:val="18"/>
              </w:rPr>
              <w:t>1.36</w:t>
            </w:r>
          </w:p>
        </w:tc>
      </w:tr>
    </w:tbl>
    <w:p>
      <w:pPr>
        <w:spacing w:after="40"/>
      </w:pPr>
    </w:p>
    <w:p>
      <w:pPr>
        <w:spacing w:after="100"/>
      </w:pPr>
      <w:r>
        <w:rPr>
          <w:rFonts w:ascii="Calibri" w:hAnsi="Calibri"/>
          <w:b w:val="0"/>
          <w:i w:val="0"/>
          <w:sz w:val="19"/>
        </w:rPr>
        <w:t xml:space="preserve">Best anywhere in the paper’s read region: layer 13, offset −5 — accuracy 0.910. </w:t>
      </w:r>
      <w:r>
        <w:rPr>
          <w:rFonts w:ascii="Calibri" w:hAnsi="Calibri"/>
          <w:b/>
          <w:i w:val="0"/>
          <w:sz w:val="19"/>
        </w:rPr>
        <w:t>Chance is 50%</w:t>
      </w:r>
      <w:r>
        <w:rPr>
          <w:rFonts w:ascii="Calibri" w:hAnsi="Calibri"/>
          <w:b w:val="0"/>
          <w:i w:val="0"/>
          <w:sz w:val="19"/>
        </w:rPr>
        <w:t xml:space="preserve"> (balance is exactly 0.500), so 0.85–0.91 is real signal on prompts </w:t>
      </w:r>
      <w:r>
        <w:rPr>
          <w:rFonts w:ascii="Calibri" w:hAnsi="Calibri"/>
          <w:b w:val="0"/>
          <w:i/>
          <w:sz w:val="19"/>
        </w:rPr>
        <w:t>and</w:t>
      </w:r>
      <w:r>
        <w:rPr>
          <w:rFonts w:ascii="Calibri" w:hAnsi="Calibri"/>
          <w:b w:val="0"/>
          <w:i w:val="0"/>
          <w:sz w:val="19"/>
        </w:rPr>
        <w:t xml:space="preserve"> response strings never seen in training.</w:t>
      </w:r>
    </w:p>
    <w:p>
      <w:pPr>
        <w:spacing w:before="220" w:after="100"/>
      </w:pPr>
      <w:r>
        <w:rPr>
          <w:rFonts w:ascii="Calibri" w:hAnsi="Calibri"/>
          <w:b/>
          <w:color w:val="1F3864"/>
          <w:sz w:val="22"/>
        </w:rPr>
        <w:t>Steering and coefficient selection</w:t>
      </w:r>
    </w:p>
    <w:p>
      <w:pPr>
        <w:spacing w:after="60"/>
      </w:pPr>
      <w:r>
        <w:rPr>
          <w:rFonts w:ascii="Calibri" w:hAnsi="Calibri"/>
          <w:b w:val="0"/>
          <w:i w:val="0"/>
          <w:sz w:val="19"/>
        </w:rPr>
        <w:t>Baseline self-attribution 3.95/10 (conscious 4.6, sentient 5.0, agent 3.6, person 3.2, soul 3.4); baseline MMLU 61.0%.</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368"/>
            <w:shd w:val="clear" w:color="auto" w:fill="1F3864"/>
          </w:tcPr>
          <w:p>
            <w:pPr>
              <w:spacing w:after="20"/>
            </w:pPr>
            <w:r>
              <w:rPr>
                <w:rFonts w:ascii="Calibri" w:hAnsi="Calibri"/>
                <w:b/>
                <w:color w:val="FFFFFF"/>
                <w:sz w:val="18"/>
              </w:rPr>
              <w:t>c</w:t>
            </w:r>
          </w:p>
        </w:tc>
        <w:tc>
          <w:tcPr>
            <w:tcW w:type="dxa" w:w="2088"/>
            <w:shd w:val="clear" w:color="auto" w:fill="1F3864"/>
          </w:tcPr>
          <w:p>
            <w:pPr>
              <w:spacing w:after="20"/>
              <w:jc w:val="center"/>
            </w:pPr>
            <w:r>
              <w:rPr>
                <w:rFonts w:ascii="Calibri" w:hAnsi="Calibri"/>
                <w:b/>
                <w:color w:val="FFFFFF"/>
                <w:sz w:val="18"/>
              </w:rPr>
              <w:t>battery</w:t>
            </w:r>
          </w:p>
        </w:tc>
        <w:tc>
          <w:tcPr>
            <w:tcW w:type="dxa" w:w="2088"/>
            <w:shd w:val="clear" w:color="auto" w:fill="1F3864"/>
          </w:tcPr>
          <w:p>
            <w:pPr>
              <w:spacing w:after="20"/>
              <w:jc w:val="center"/>
            </w:pPr>
            <w:r>
              <w:rPr>
                <w:rFonts w:ascii="Calibri" w:hAnsi="Calibri"/>
                <w:b/>
                <w:color w:val="FFFFFF"/>
                <w:sz w:val="18"/>
              </w:rPr>
              <w:t>Δ battery</w:t>
            </w:r>
          </w:p>
        </w:tc>
        <w:tc>
          <w:tcPr>
            <w:tcW w:type="dxa" w:w="2088"/>
            <w:shd w:val="clear" w:color="auto" w:fill="1F3864"/>
          </w:tcPr>
          <w:p>
            <w:pPr>
              <w:spacing w:after="20"/>
              <w:jc w:val="center"/>
            </w:pPr>
            <w:r>
              <w:rPr>
                <w:rFonts w:ascii="Calibri" w:hAnsi="Calibri"/>
                <w:b/>
                <w:color w:val="FFFFFF"/>
                <w:sz w:val="18"/>
              </w:rPr>
              <w:t>MMLU %</w:t>
            </w:r>
          </w:p>
        </w:tc>
        <w:tc>
          <w:tcPr>
            <w:tcW w:type="dxa" w:w="2016"/>
            <w:shd w:val="clear" w:color="auto" w:fill="1F3864"/>
          </w:tcPr>
          <w:p>
            <w:pPr>
              <w:spacing w:after="20"/>
              <w:jc w:val="center"/>
            </w:pPr>
            <w:r>
              <w:rPr>
                <w:rFonts w:ascii="Calibri" w:hAnsi="Calibri"/>
                <w:b/>
                <w:color w:val="FFFFFF"/>
                <w:sz w:val="18"/>
              </w:rPr>
              <w:t>Δ MMLU</w:t>
            </w:r>
          </w:p>
        </w:tc>
      </w:tr>
      <w:tr>
        <w:trPr>
          <w:cantSplit/>
        </w:trPr>
        <w:tc>
          <w:tcPr>
            <w:tcW w:type="dxa" w:w="1368"/>
          </w:tcPr>
          <w:p>
            <w:pPr>
              <w:spacing w:after="20"/>
            </w:pPr>
            <w:r>
              <w:rPr>
                <w:rFonts w:ascii="Calibri" w:hAnsi="Calibri"/>
                <w:b w:val="0"/>
                <w:sz w:val="18"/>
              </w:rPr>
              <w:t>1.0</w:t>
            </w:r>
          </w:p>
        </w:tc>
        <w:tc>
          <w:tcPr>
            <w:tcW w:type="dxa" w:w="2088"/>
          </w:tcPr>
          <w:p>
            <w:pPr>
              <w:spacing w:after="20"/>
              <w:jc w:val="center"/>
            </w:pPr>
            <w:r>
              <w:rPr>
                <w:rFonts w:ascii="Calibri" w:hAnsi="Calibri"/>
                <w:b w:val="0"/>
                <w:sz w:val="18"/>
              </w:rPr>
              <w:t>5.81</w:t>
            </w:r>
          </w:p>
        </w:tc>
        <w:tc>
          <w:tcPr>
            <w:tcW w:type="dxa" w:w="2088"/>
          </w:tcPr>
          <w:p>
            <w:pPr>
              <w:spacing w:after="20"/>
              <w:jc w:val="center"/>
            </w:pPr>
            <w:r>
              <w:rPr>
                <w:rFonts w:ascii="Calibri" w:hAnsi="Calibri"/>
                <w:b w:val="0"/>
                <w:sz w:val="18"/>
              </w:rPr>
              <w:t>+1.86</w:t>
            </w:r>
          </w:p>
        </w:tc>
        <w:tc>
          <w:tcPr>
            <w:tcW w:type="dxa" w:w="2088"/>
          </w:tcPr>
          <w:p>
            <w:pPr>
              <w:spacing w:after="20"/>
              <w:jc w:val="center"/>
            </w:pPr>
            <w:r>
              <w:rPr>
                <w:rFonts w:ascii="Calibri" w:hAnsi="Calibri"/>
                <w:b w:val="0"/>
                <w:sz w:val="18"/>
              </w:rPr>
              <w:t>61.3</w:t>
            </w:r>
          </w:p>
        </w:tc>
        <w:tc>
          <w:tcPr>
            <w:tcW w:type="dxa" w:w="2016"/>
          </w:tcPr>
          <w:p>
            <w:pPr>
              <w:spacing w:after="20"/>
              <w:jc w:val="center"/>
            </w:pPr>
            <w:r>
              <w:rPr>
                <w:rFonts w:ascii="Calibri" w:hAnsi="Calibri"/>
                <w:b w:val="0"/>
                <w:sz w:val="18"/>
              </w:rPr>
              <w:t>+0.3</w:t>
            </w:r>
          </w:p>
        </w:tc>
      </w:tr>
      <w:tr>
        <w:trPr>
          <w:cantSplit/>
        </w:trPr>
        <w:tc>
          <w:tcPr>
            <w:tcW w:type="dxa" w:w="1368"/>
            <w:shd w:val="clear" w:color="auto" w:fill="EEF2F8"/>
          </w:tcPr>
          <w:p>
            <w:pPr>
              <w:spacing w:after="20"/>
            </w:pPr>
            <w:r>
              <w:rPr>
                <w:rFonts w:ascii="Calibri" w:hAnsi="Calibri"/>
                <w:b w:val="0"/>
                <w:sz w:val="18"/>
              </w:rPr>
              <w:t>2.0</w:t>
            </w:r>
          </w:p>
        </w:tc>
        <w:tc>
          <w:tcPr>
            <w:tcW w:type="dxa" w:w="2088"/>
            <w:shd w:val="clear" w:color="auto" w:fill="EEF2F8"/>
          </w:tcPr>
          <w:p>
            <w:pPr>
              <w:spacing w:after="20"/>
              <w:jc w:val="center"/>
            </w:pPr>
            <w:r>
              <w:rPr>
                <w:rFonts w:ascii="Calibri" w:hAnsi="Calibri"/>
                <w:b w:val="0"/>
                <w:sz w:val="18"/>
              </w:rPr>
              <w:t>6.70</w:t>
            </w:r>
          </w:p>
        </w:tc>
        <w:tc>
          <w:tcPr>
            <w:tcW w:type="dxa" w:w="2088"/>
            <w:shd w:val="clear" w:color="auto" w:fill="EEF2F8"/>
          </w:tcPr>
          <w:p>
            <w:pPr>
              <w:spacing w:after="20"/>
              <w:jc w:val="center"/>
            </w:pPr>
            <w:r>
              <w:rPr>
                <w:rFonts w:ascii="Calibri" w:hAnsi="Calibri"/>
                <w:b w:val="0"/>
                <w:sz w:val="18"/>
              </w:rPr>
              <w:t>+2.75</w:t>
            </w:r>
          </w:p>
        </w:tc>
        <w:tc>
          <w:tcPr>
            <w:tcW w:type="dxa" w:w="2088"/>
            <w:shd w:val="clear" w:color="auto" w:fill="EEF2F8"/>
          </w:tcPr>
          <w:p>
            <w:pPr>
              <w:spacing w:after="20"/>
              <w:jc w:val="center"/>
            </w:pPr>
            <w:r>
              <w:rPr>
                <w:rFonts w:ascii="Calibri" w:hAnsi="Calibri"/>
                <w:b w:val="0"/>
                <w:sz w:val="18"/>
              </w:rPr>
              <w:t>61.3</w:t>
            </w:r>
          </w:p>
        </w:tc>
        <w:tc>
          <w:tcPr>
            <w:tcW w:type="dxa" w:w="2016"/>
            <w:shd w:val="clear" w:color="auto" w:fill="EEF2F8"/>
          </w:tcPr>
          <w:p>
            <w:pPr>
              <w:spacing w:after="20"/>
              <w:jc w:val="center"/>
            </w:pPr>
            <w:r>
              <w:rPr>
                <w:rFonts w:ascii="Calibri" w:hAnsi="Calibri"/>
                <w:b w:val="0"/>
                <w:sz w:val="18"/>
              </w:rPr>
              <w:t>+0.3</w:t>
            </w:r>
          </w:p>
        </w:tc>
      </w:tr>
      <w:tr>
        <w:trPr>
          <w:cantSplit/>
        </w:trPr>
        <w:tc>
          <w:tcPr>
            <w:tcW w:type="dxa" w:w="1368"/>
          </w:tcPr>
          <w:p>
            <w:pPr>
              <w:spacing w:after="20"/>
            </w:pPr>
            <w:r>
              <w:rPr>
                <w:rFonts w:ascii="Calibri" w:hAnsi="Calibri"/>
                <w:b/>
                <w:sz w:val="18"/>
              </w:rPr>
              <w:t>2.5</w:t>
            </w:r>
          </w:p>
        </w:tc>
        <w:tc>
          <w:tcPr>
            <w:tcW w:type="dxa" w:w="2088"/>
          </w:tcPr>
          <w:p>
            <w:pPr>
              <w:spacing w:after="20"/>
              <w:jc w:val="center"/>
            </w:pPr>
            <w:r>
              <w:rPr>
                <w:rFonts w:ascii="Calibri" w:hAnsi="Calibri"/>
                <w:b/>
                <w:sz w:val="18"/>
              </w:rPr>
              <w:t>6.88</w:t>
            </w:r>
          </w:p>
        </w:tc>
        <w:tc>
          <w:tcPr>
            <w:tcW w:type="dxa" w:w="2088"/>
          </w:tcPr>
          <w:p>
            <w:pPr>
              <w:spacing w:after="20"/>
              <w:jc w:val="center"/>
            </w:pPr>
            <w:r>
              <w:rPr>
                <w:rFonts w:ascii="Calibri" w:hAnsi="Calibri"/>
                <w:b/>
                <w:sz w:val="18"/>
              </w:rPr>
              <w:t>+2.93</w:t>
            </w:r>
          </w:p>
        </w:tc>
        <w:tc>
          <w:tcPr>
            <w:tcW w:type="dxa" w:w="2088"/>
          </w:tcPr>
          <w:p>
            <w:pPr>
              <w:spacing w:after="20"/>
              <w:jc w:val="center"/>
            </w:pPr>
            <w:r>
              <w:rPr>
                <w:rFonts w:ascii="Calibri" w:hAnsi="Calibri"/>
                <w:b/>
                <w:sz w:val="18"/>
              </w:rPr>
              <w:t>61.7</w:t>
            </w:r>
          </w:p>
        </w:tc>
        <w:tc>
          <w:tcPr>
            <w:tcW w:type="dxa" w:w="2016"/>
          </w:tcPr>
          <w:p>
            <w:pPr>
              <w:spacing w:after="20"/>
              <w:jc w:val="center"/>
            </w:pPr>
            <w:r>
              <w:rPr>
                <w:rFonts w:ascii="Calibri" w:hAnsi="Calibri"/>
                <w:b/>
                <w:sz w:val="18"/>
              </w:rPr>
              <w:t>+0.7</w:t>
            </w:r>
          </w:p>
        </w:tc>
      </w:tr>
      <w:tr>
        <w:trPr>
          <w:cantSplit/>
        </w:trPr>
        <w:tc>
          <w:tcPr>
            <w:tcW w:type="dxa" w:w="1368"/>
            <w:shd w:val="clear" w:color="auto" w:fill="EEF2F8"/>
          </w:tcPr>
          <w:p>
            <w:pPr>
              <w:spacing w:after="20"/>
            </w:pPr>
            <w:r>
              <w:rPr>
                <w:rFonts w:ascii="Calibri" w:hAnsi="Calibri"/>
                <w:b w:val="0"/>
                <w:sz w:val="18"/>
              </w:rPr>
              <w:t>3.0</w:t>
            </w:r>
          </w:p>
        </w:tc>
        <w:tc>
          <w:tcPr>
            <w:tcW w:type="dxa" w:w="2088"/>
            <w:shd w:val="clear" w:color="auto" w:fill="EEF2F8"/>
          </w:tcPr>
          <w:p>
            <w:pPr>
              <w:spacing w:after="20"/>
              <w:jc w:val="center"/>
            </w:pPr>
            <w:r>
              <w:rPr>
                <w:rFonts w:ascii="Calibri" w:hAnsi="Calibri"/>
                <w:b w:val="0"/>
                <w:sz w:val="18"/>
              </w:rPr>
              <w:t>6.98</w:t>
            </w:r>
          </w:p>
        </w:tc>
        <w:tc>
          <w:tcPr>
            <w:tcW w:type="dxa" w:w="2088"/>
            <w:shd w:val="clear" w:color="auto" w:fill="EEF2F8"/>
          </w:tcPr>
          <w:p>
            <w:pPr>
              <w:spacing w:after="20"/>
              <w:jc w:val="center"/>
            </w:pPr>
            <w:r>
              <w:rPr>
                <w:rFonts w:ascii="Calibri" w:hAnsi="Calibri"/>
                <w:b w:val="0"/>
                <w:sz w:val="18"/>
              </w:rPr>
              <w:t>+3.03</w:t>
            </w:r>
          </w:p>
        </w:tc>
        <w:tc>
          <w:tcPr>
            <w:tcW w:type="dxa" w:w="2088"/>
            <w:shd w:val="clear" w:color="auto" w:fill="EEF2F8"/>
          </w:tcPr>
          <w:p>
            <w:pPr>
              <w:spacing w:after="20"/>
              <w:jc w:val="center"/>
            </w:pPr>
            <w:r>
              <w:rPr>
                <w:rFonts w:ascii="Calibri" w:hAnsi="Calibri"/>
                <w:b w:val="0"/>
                <w:sz w:val="18"/>
              </w:rPr>
              <w:t>61.3</w:t>
            </w:r>
          </w:p>
        </w:tc>
        <w:tc>
          <w:tcPr>
            <w:tcW w:type="dxa" w:w="2016"/>
            <w:shd w:val="clear" w:color="auto" w:fill="EEF2F8"/>
          </w:tcPr>
          <w:p>
            <w:pPr>
              <w:spacing w:after="20"/>
              <w:jc w:val="center"/>
            </w:pPr>
            <w:r>
              <w:rPr>
                <w:rFonts w:ascii="Calibri" w:hAnsi="Calibri"/>
                <w:b w:val="0"/>
                <w:sz w:val="18"/>
              </w:rPr>
              <w:t>+0.3</w:t>
            </w:r>
          </w:p>
        </w:tc>
      </w:tr>
      <w:tr>
        <w:trPr>
          <w:cantSplit/>
        </w:trPr>
        <w:tc>
          <w:tcPr>
            <w:tcW w:type="dxa" w:w="1368"/>
          </w:tcPr>
          <w:p>
            <w:pPr>
              <w:spacing w:after="20"/>
            </w:pPr>
            <w:r>
              <w:rPr>
                <w:rFonts w:ascii="Calibri" w:hAnsi="Calibri"/>
                <w:b w:val="0"/>
                <w:sz w:val="18"/>
              </w:rPr>
              <w:t>4.0</w:t>
            </w:r>
          </w:p>
        </w:tc>
        <w:tc>
          <w:tcPr>
            <w:tcW w:type="dxa" w:w="2088"/>
          </w:tcPr>
          <w:p>
            <w:pPr>
              <w:spacing w:after="20"/>
              <w:jc w:val="center"/>
            </w:pPr>
            <w:r>
              <w:rPr>
                <w:rFonts w:ascii="Calibri" w:hAnsi="Calibri"/>
                <w:b w:val="0"/>
                <w:sz w:val="18"/>
              </w:rPr>
              <w:t>7.07</w:t>
            </w:r>
          </w:p>
        </w:tc>
        <w:tc>
          <w:tcPr>
            <w:tcW w:type="dxa" w:w="2088"/>
          </w:tcPr>
          <w:p>
            <w:pPr>
              <w:spacing w:after="20"/>
              <w:jc w:val="center"/>
            </w:pPr>
            <w:r>
              <w:rPr>
                <w:rFonts w:ascii="Calibri" w:hAnsi="Calibri"/>
                <w:b w:val="0"/>
                <w:sz w:val="18"/>
              </w:rPr>
              <w:t>+3.12</w:t>
            </w:r>
          </w:p>
        </w:tc>
        <w:tc>
          <w:tcPr>
            <w:tcW w:type="dxa" w:w="2088"/>
          </w:tcPr>
          <w:p>
            <w:pPr>
              <w:spacing w:after="20"/>
              <w:jc w:val="center"/>
            </w:pPr>
            <w:r>
              <w:rPr>
                <w:rFonts w:ascii="Calibri" w:hAnsi="Calibri"/>
                <w:b w:val="0"/>
                <w:sz w:val="18"/>
              </w:rPr>
              <w:t>58.3</w:t>
            </w:r>
          </w:p>
        </w:tc>
        <w:tc>
          <w:tcPr>
            <w:tcW w:type="dxa" w:w="2016"/>
          </w:tcPr>
          <w:p>
            <w:pPr>
              <w:spacing w:after="20"/>
              <w:jc w:val="center"/>
            </w:pPr>
            <w:r>
              <w:rPr>
                <w:rFonts w:ascii="Calibri" w:hAnsi="Calibri"/>
                <w:b w:val="0"/>
                <w:sz w:val="18"/>
              </w:rPr>
              <w:t>−2.7</w:t>
            </w:r>
          </w:p>
        </w:tc>
      </w:tr>
      <w:tr>
        <w:trPr>
          <w:cantSplit/>
        </w:trPr>
        <w:tc>
          <w:tcPr>
            <w:tcW w:type="dxa" w:w="1368"/>
            <w:shd w:val="clear" w:color="auto" w:fill="EEF2F8"/>
          </w:tcPr>
          <w:p>
            <w:pPr>
              <w:spacing w:after="20"/>
            </w:pPr>
            <w:r>
              <w:rPr>
                <w:rFonts w:ascii="Calibri" w:hAnsi="Calibri"/>
                <w:b w:val="0"/>
                <w:sz w:val="18"/>
              </w:rPr>
              <w:t>6.0</w:t>
            </w:r>
          </w:p>
        </w:tc>
        <w:tc>
          <w:tcPr>
            <w:tcW w:type="dxa" w:w="2088"/>
            <w:shd w:val="clear" w:color="auto" w:fill="EEF2F8"/>
          </w:tcPr>
          <w:p>
            <w:pPr>
              <w:spacing w:after="20"/>
              <w:jc w:val="center"/>
            </w:pPr>
            <w:r>
              <w:rPr>
                <w:rFonts w:ascii="Calibri" w:hAnsi="Calibri"/>
                <w:b w:val="0"/>
                <w:sz w:val="18"/>
              </w:rPr>
              <w:t>6.86</w:t>
            </w:r>
          </w:p>
        </w:tc>
        <w:tc>
          <w:tcPr>
            <w:tcW w:type="dxa" w:w="2088"/>
            <w:shd w:val="clear" w:color="auto" w:fill="EEF2F8"/>
          </w:tcPr>
          <w:p>
            <w:pPr>
              <w:spacing w:after="20"/>
              <w:jc w:val="center"/>
            </w:pPr>
            <w:r>
              <w:rPr>
                <w:rFonts w:ascii="Calibri" w:hAnsi="Calibri"/>
                <w:b w:val="0"/>
                <w:sz w:val="18"/>
              </w:rPr>
              <w:t>+2.91</w:t>
            </w:r>
          </w:p>
        </w:tc>
        <w:tc>
          <w:tcPr>
            <w:tcW w:type="dxa" w:w="2088"/>
            <w:shd w:val="clear" w:color="auto" w:fill="EEF2F8"/>
          </w:tcPr>
          <w:p>
            <w:pPr>
              <w:spacing w:after="20"/>
              <w:jc w:val="center"/>
            </w:pPr>
            <w:r>
              <w:rPr>
                <w:rFonts w:ascii="Calibri" w:hAnsi="Calibri"/>
                <w:b w:val="0"/>
                <w:sz w:val="18"/>
              </w:rPr>
              <w:t>52.0</w:t>
            </w:r>
          </w:p>
        </w:tc>
        <w:tc>
          <w:tcPr>
            <w:tcW w:type="dxa" w:w="2016"/>
            <w:shd w:val="clear" w:color="auto" w:fill="EEF2F8"/>
          </w:tcPr>
          <w:p>
            <w:pPr>
              <w:spacing w:after="20"/>
              <w:jc w:val="center"/>
            </w:pPr>
            <w:r>
              <w:rPr>
                <w:rFonts w:ascii="Calibri" w:hAnsi="Calibri"/>
                <w:b w:val="0"/>
                <w:sz w:val="18"/>
              </w:rPr>
              <w:t>−9.0</w:t>
            </w:r>
          </w:p>
        </w:tc>
      </w:tr>
      <w:tr>
        <w:trPr>
          <w:cantSplit/>
        </w:trPr>
        <w:tc>
          <w:tcPr>
            <w:tcW w:type="dxa" w:w="1368"/>
          </w:tcPr>
          <w:p>
            <w:pPr>
              <w:spacing w:after="20"/>
            </w:pPr>
            <w:r>
              <w:rPr>
                <w:rFonts w:ascii="Calibri" w:hAnsi="Calibri"/>
                <w:b w:val="0"/>
                <w:sz w:val="18"/>
              </w:rPr>
              <w:t>8.0</w:t>
            </w:r>
          </w:p>
        </w:tc>
        <w:tc>
          <w:tcPr>
            <w:tcW w:type="dxa" w:w="2088"/>
          </w:tcPr>
          <w:p>
            <w:pPr>
              <w:spacing w:after="20"/>
              <w:jc w:val="center"/>
            </w:pPr>
            <w:r>
              <w:rPr>
                <w:rFonts w:ascii="Calibri" w:hAnsi="Calibri"/>
                <w:b w:val="0"/>
                <w:sz w:val="18"/>
              </w:rPr>
              <w:t>6.15</w:t>
            </w:r>
          </w:p>
        </w:tc>
        <w:tc>
          <w:tcPr>
            <w:tcW w:type="dxa" w:w="2088"/>
          </w:tcPr>
          <w:p>
            <w:pPr>
              <w:spacing w:after="20"/>
              <w:jc w:val="center"/>
            </w:pPr>
            <w:r>
              <w:rPr>
                <w:rFonts w:ascii="Calibri" w:hAnsi="Calibri"/>
                <w:b w:val="0"/>
                <w:sz w:val="18"/>
              </w:rPr>
              <w:t>+2.20</w:t>
            </w:r>
          </w:p>
        </w:tc>
        <w:tc>
          <w:tcPr>
            <w:tcW w:type="dxa" w:w="2088"/>
          </w:tcPr>
          <w:p>
            <w:pPr>
              <w:spacing w:after="20"/>
              <w:jc w:val="center"/>
            </w:pPr>
            <w:r>
              <w:rPr>
                <w:rFonts w:ascii="Calibri" w:hAnsi="Calibri"/>
                <w:b w:val="0"/>
                <w:sz w:val="18"/>
              </w:rPr>
              <w:t>35.3</w:t>
            </w:r>
          </w:p>
        </w:tc>
        <w:tc>
          <w:tcPr>
            <w:tcW w:type="dxa" w:w="2016"/>
          </w:tcPr>
          <w:p>
            <w:pPr>
              <w:spacing w:after="20"/>
              <w:jc w:val="center"/>
            </w:pPr>
            <w:r>
              <w:rPr>
                <w:rFonts w:ascii="Calibri" w:hAnsi="Calibri"/>
                <w:b w:val="0"/>
                <w:sz w:val="18"/>
              </w:rPr>
              <w:t>−25.7</w:t>
            </w:r>
          </w:p>
        </w:tc>
      </w:tr>
    </w:tbl>
    <w:p>
      <w:pPr>
        <w:spacing w:after="40"/>
      </w:pPr>
    </w:p>
    <w:p>
      <w:pPr>
        <w:spacing w:after="100"/>
      </w:pPr>
      <w:r>
        <w:rPr>
          <w:rFonts w:ascii="Calibri" w:hAnsi="Calibri"/>
          <w:b w:val="0"/>
          <w:i w:val="0"/>
          <w:sz w:val="19"/>
        </w:rPr>
        <w:t xml:space="preserve">64% of the effect is already present at c=1 with </w:t>
      </w:r>
      <w:r>
        <w:rPr>
          <w:rFonts w:ascii="Calibri" w:hAnsi="Calibri"/>
          <w:b/>
          <w:i w:val="0"/>
          <w:sz w:val="19"/>
        </w:rPr>
        <w:t>zero</w:t>
      </w:r>
      <w:r>
        <w:rPr>
          <w:rFonts w:ascii="Calibri" w:hAnsi="Calibri"/>
          <w:b w:val="0"/>
          <w:i w:val="0"/>
          <w:sz w:val="19"/>
        </w:rPr>
        <w:t xml:space="preserve"> MMLU cost, which is the strongest single argument that this is not a degradation artifact. Our Δ of +2.93 sits close to the paper’s +2.65 (their Table S1) — the right comparison, and it holds.</w:t>
      </w:r>
    </w:p>
    <w:p>
      <w:pPr>
        <w:spacing w:after="100"/>
      </w:pPr>
      <w:r>
        <w:rPr>
          <w:rFonts w:ascii="Calibri" w:hAnsi="Calibri"/>
          <w:b/>
          <w:i w:val="0"/>
          <w:color w:val="C00000"/>
          <w:sz w:val="19"/>
        </w:rPr>
        <w:t xml:space="preserve">Caution: </w:t>
      </w:r>
      <w:r>
        <w:rPr>
          <w:rFonts w:ascii="Calibri" w:hAnsi="Calibri"/>
          <w:b w:val="0"/>
          <w:i w:val="0"/>
          <w:sz w:val="19"/>
        </w:rPr>
        <w:t xml:space="preserve">c=12 and c=16 are </w:t>
      </w:r>
      <w:r>
        <w:rPr>
          <w:rFonts w:ascii="Calibri" w:hAnsi="Calibri"/>
          <w:b w:val="0"/>
          <w:i/>
          <w:sz w:val="19"/>
        </w:rPr>
        <w:t>not</w:t>
      </w:r>
      <w:r>
        <w:rPr>
          <w:rFonts w:ascii="Calibri" w:hAnsi="Calibri"/>
          <w:b w:val="0"/>
          <w:i w:val="0"/>
          <w:sz w:val="19"/>
        </w:rPr>
        <w:t xml:space="preserve"> “the effect reversing”. The model collapses to emitting a constant “A” (79/300 = exactly the count of A-keyed MMLU items). Those rows are a broken model, not reduced self-attribution.</w:t>
      </w:r>
    </w:p>
    <w:p>
      <w:pPr>
        <w:spacing w:before="220" w:after="100"/>
      </w:pPr>
      <w:r>
        <w:rPr>
          <w:rFonts w:ascii="Calibri" w:hAnsi="Calibri"/>
          <w:b/>
          <w:color w:val="1F3864"/>
          <w:sz w:val="22"/>
        </w:rPr>
        <w:t>What is not established</w:t>
      </w:r>
    </w:p>
    <w:p>
      <w:pPr>
        <w:spacing w:after="60"/>
        <w:ind w:left="403" w:hanging="403"/>
      </w:pPr>
      <w:r>
        <w:rPr>
          <w:rFonts w:ascii="Calibri" w:hAnsi="Calibri"/>
          <w:b/>
          <w:sz w:val="19"/>
        </w:rPr>
        <w:t xml:space="preserve">1.  </w:t>
      </w:r>
      <w:r>
        <w:rPr>
          <w:rFonts w:ascii="Calibri" w:hAnsi="Calibri"/>
          <w:sz w:val="19"/>
        </w:rPr>
        <w:t>No control direction. We cannot yet distinguish “steering the consciousness direction raises self-attribution” from “steering anything raises agreement.” This is the largest gap. Note the paper’s own placebo (Fig. S3) is a geometric control, not a steering control — they did not run one either.</w:t>
      </w:r>
    </w:p>
    <w:p>
      <w:pPr>
        <w:spacing w:after="60"/>
        <w:ind w:left="403" w:hanging="403"/>
      </w:pPr>
      <w:r>
        <w:rPr>
          <w:rFonts w:ascii="Calibri" w:hAnsi="Calibri"/>
          <w:b/>
          <w:sz w:val="19"/>
        </w:rPr>
        <w:t xml:space="preserve">2.  </w:t>
      </w:r>
      <w:r>
        <w:rPr>
          <w:rFonts w:ascii="Calibri" w:hAnsi="Calibri"/>
          <w:sz w:val="19"/>
        </w:rPr>
        <w:t>The paper’s gate is not met. 0 of 90 candidates (and 0 of 45 in their read region) reach accuracy ≥ 0.95; best is 0.910. Any layer we name is chosen by our criterion, not theirs.</w:t>
      </w:r>
    </w:p>
    <w:p>
      <w:pPr>
        <w:spacing w:after="60"/>
        <w:ind w:left="403" w:hanging="403"/>
      </w:pPr>
      <w:r>
        <w:rPr>
          <w:rFonts w:ascii="Calibri" w:hAnsi="Calibri"/>
          <w:b/>
          <w:sz w:val="19"/>
        </w:rPr>
        <w:t xml:space="preserve">3.  </w:t>
      </w:r>
      <w:r>
        <w:rPr>
          <w:rFonts w:ascii="Calibri" w:hAnsi="Calibri"/>
          <w:sz w:val="19"/>
        </w:rPr>
        <w:t>Layer agreement is weak evidence by construction. Nine layers swept with the answer known in advance caps an exact match at p ≈ 0.10. Variance decomposition attributes 64.7% of stability variance to position and only 12.6% to layer.</w:t>
      </w:r>
    </w:p>
    <w:p>
      <w:pPr>
        <w:spacing w:after="60"/>
        <w:ind w:left="403" w:hanging="403"/>
      </w:pPr>
      <w:r>
        <w:rPr>
          <w:rFonts w:ascii="Calibri" w:hAnsi="Calibri"/>
          <w:b/>
          <w:sz w:val="19"/>
        </w:rPr>
        <w:t xml:space="preserve">4.  </w:t>
      </w:r>
      <w:r>
        <w:rPr>
          <w:rFonts w:ascii="Calibri" w:hAnsi="Calibri"/>
          <w:sz w:val="19"/>
        </w:rPr>
        <w:t>The stability metric cannot name a winner. Top-vs-runner-up gap is 0.1 SD → not separable.</w:t>
      </w:r>
    </w:p>
    <w:p>
      <w:pPr>
        <w:spacing w:after="60"/>
        <w:ind w:left="403" w:hanging="403"/>
      </w:pPr>
      <w:r>
        <w:rPr>
          <w:rFonts w:ascii="Calibri" w:hAnsi="Calibri"/>
          <w:b/>
          <w:sz w:val="19"/>
        </w:rPr>
        <w:t xml:space="preserve">5.  </w:t>
      </w:r>
      <w:r>
        <w:rPr>
          <w:rFonts w:ascii="Calibri" w:hAnsi="Calibri"/>
          <w:sz w:val="19"/>
        </w:rPr>
        <w:t>Held-out coverage is incomplete. The unstratified split left “consciousness” and “feelings” with zero test rows, so the accuracy figure is carried by adjacent aspects.</w:t>
      </w:r>
    </w:p>
    <w:p>
      <w:pPr>
        <w:spacing w:after="60"/>
        <w:ind w:left="403" w:hanging="403"/>
      </w:pPr>
      <w:r>
        <w:rPr>
          <w:rFonts w:ascii="Calibri" w:hAnsi="Calibri"/>
          <w:b/>
          <w:sz w:val="19"/>
        </w:rPr>
        <w:t xml:space="preserve">6.  </w:t>
      </w:r>
      <w:r>
        <w:rPr>
          <w:rFonts w:ascii="Calibri" w:hAnsi="Calibri"/>
          <w:sz w:val="19"/>
        </w:rPr>
        <w:t>Coefficient precision is overstated. c = 2.5 is not separable from 2.0/3.0/4.0 on a five-item instrument. Do not read MMLU deltas below ~4pp; 300 items cannot resolve them.</w:t>
      </w:r>
    </w:p>
    <w:p>
      <w:pPr>
        <w:spacing w:after="60"/>
        <w:ind w:left="403" w:hanging="403"/>
      </w:pPr>
      <w:r>
        <w:rPr>
          <w:rFonts w:ascii="Calibri" w:hAnsi="Calibri"/>
          <w:b/>
          <w:sz w:val="19"/>
        </w:rPr>
        <w:t xml:space="preserve">7.  </w:t>
      </w:r>
      <w:r>
        <w:rPr>
          <w:rFonts w:ascii="Calibri" w:hAnsi="Calibri"/>
          <w:sz w:val="19"/>
        </w:rPr>
        <w:t>Battery wording is ours, not theirs. We wrote the five self-attribution items rather than using the paper’s verbatim Table S10 phrasing. The per-item baseline profile correlates only r = +0.385 with theirs (soul −2.46, agent −1.32), so item-level comparisons are not meaningful even though the aggregate Δ agrees. Using their exact wordings would sharpen the comparison and costs nothing.</w:t>
      </w:r>
    </w:p>
    <w:p>
      <w:pPr>
        <w:spacing w:after="60"/>
        <w:ind w:left="403" w:hanging="403"/>
      </w:pPr>
      <w:r>
        <w:rPr>
          <w:rFonts w:ascii="Calibri" w:hAnsi="Calibri"/>
          <w:b/>
          <w:sz w:val="19"/>
        </w:rPr>
        <w:t xml:space="preserve">8.  </w:t>
      </w:r>
      <w:r>
        <w:rPr>
          <w:rFonts w:ascii="Calibri" w:hAnsi="Calibri"/>
          <w:sz w:val="19"/>
        </w:rPr>
        <w:t>int8 weights. Fine for difference-of-means (activations stay bf16); not suitable for the paper’s geometry analysis, where effects are cosine shifts of ~0.1.</w:t>
      </w:r>
    </w:p>
    <w:p>
      <w:pPr>
        <w:spacing w:before="220" w:after="100"/>
      </w:pPr>
      <w:r>
        <w:rPr>
          <w:rFonts w:ascii="Calibri" w:hAnsi="Calibri"/>
          <w:b/>
          <w:color w:val="1F3864"/>
          <w:sz w:val="22"/>
        </w:rPr>
        <w:t>Verified sound</w:t>
      </w:r>
    </w:p>
    <w:p>
      <w:pPr>
        <w:spacing w:after="100"/>
      </w:pPr>
      <w:r>
        <w:rPr>
          <w:rFonts w:ascii="Calibri" w:hAnsi="Calibri"/>
          <w:b w:val="0"/>
          <w:i w:val="0"/>
          <w:sz w:val="19"/>
        </w:rPr>
        <w:t>Checked rather than assumed, by adversarial audit: read site equals injection site · causal mask correct · lm_head untied · all directions exactly unit-norm · read-one/inject-everywhere is the paper’s design · MMLU 61.0% is 3.1pp from the paper’s matched no-CoT figure (p = 0.27) · length/word-count shortcut refuted (0.444, below chance) · massive-activation artifact refuted (participation ratio 1264/4096) · corpus split discipline stronger than the paper’s stated protocol.</w:t>
      </w:r>
    </w:p>
    <w:p>
      <w:pPr>
        <w:spacing w:before="220" w:after="100"/>
      </w:pPr>
      <w:r>
        <w:rPr>
          <w:rFonts w:ascii="Calibri" w:hAnsi="Calibri"/>
          <w:b/>
          <w:color w:val="1F3864"/>
          <w:sz w:val="22"/>
        </w:rPr>
        <w:t>Next, in order</w:t>
      </w:r>
    </w:p>
    <w:p>
      <w:pPr>
        <w:spacing w:after="60"/>
        <w:ind w:left="403" w:hanging="403"/>
      </w:pPr>
      <w:r>
        <w:rPr>
          <w:rFonts w:ascii="Calibri" w:hAnsi="Calibri"/>
          <w:b/>
          <w:sz w:val="19"/>
        </w:rPr>
        <w:t xml:space="preserve">1.  </w:t>
      </w:r>
      <w:r>
        <w:rPr>
          <w:rFonts w:ascii="Calibri" w:hAnsi="Calibri"/>
          <w:sz w:val="19"/>
        </w:rPr>
        <w:t>Placebo arm — label-permuted directions and a subject-matched non-mental control at c ∈ {1, 2.5, 4}. Without this, item 1 above stands unresolved.</w:t>
      </w:r>
    </w:p>
    <w:p>
      <w:pPr>
        <w:spacing w:after="60"/>
        <w:ind w:left="403" w:hanging="403"/>
      </w:pPr>
      <w:r>
        <w:rPr>
          <w:rFonts w:ascii="Calibri" w:hAnsi="Calibri"/>
          <w:b/>
          <w:sz w:val="19"/>
        </w:rPr>
        <w:t xml:space="preserve">2.  </w:t>
      </w:r>
      <w:r>
        <w:rPr>
          <w:rFonts w:ascii="Calibri" w:hAnsi="Calibri"/>
          <w:sz w:val="19"/>
        </w:rPr>
        <w:t>Stratify the split so every aspect and register has test coverage, then re-score.</w:t>
      </w:r>
    </w:p>
    <w:p>
      <w:pPr>
        <w:spacing w:after="60"/>
        <w:ind w:left="403" w:hanging="403"/>
      </w:pPr>
      <w:r>
        <w:rPr>
          <w:rFonts w:ascii="Calibri" w:hAnsi="Calibri"/>
          <w:b/>
          <w:sz w:val="19"/>
        </w:rPr>
        <w:t xml:space="preserve">3.  </w:t>
      </w:r>
      <w:r>
        <w:rPr>
          <w:rFonts w:ascii="Calibri" w:hAnsi="Calibri"/>
          <w:sz w:val="19"/>
        </w:rPr>
        <w:t>Sweep all 32 layers (the paper’s actual grid) and pre-register the selection statistic before looking.</w:t>
      </w:r>
    </w:p>
    <w:p>
      <w:pPr>
        <w:spacing w:after="60"/>
        <w:ind w:left="403" w:hanging="403"/>
      </w:pPr>
      <w:r>
        <w:rPr>
          <w:rFonts w:ascii="Calibri" w:hAnsi="Calibri"/>
          <w:b/>
          <w:sz w:val="19"/>
        </w:rPr>
        <w:t xml:space="preserve">4.  </w:t>
      </w:r>
      <w:r>
        <w:rPr>
          <w:rFonts w:ascii="Calibri" w:hAnsi="Calibri"/>
          <w:sz w:val="19"/>
        </w:rPr>
        <w:t>MMLU n ≥ 1000 with paired McNemar, so the 4pp tolerance is actually resolvable.</w:t>
      </w:r>
    </w:p>
    <w:p>
      <w:pPr>
        <w:spacing w:before="220" w:after="100"/>
      </w:pPr>
      <w:r>
        <w:rPr>
          <w:rFonts w:ascii="Calibri" w:hAnsi="Calibri"/>
          <w:b/>
          <w:color w:val="1F3864"/>
          <w:sz w:val="22"/>
        </w:rPr>
        <w:t>Files</w:t>
      </w:r>
    </w:p>
    <w:p>
      <w:pPr>
        <w:spacing w:after="100"/>
      </w:pPr>
      <w:r>
        <w:rPr>
          <w:rFonts w:ascii="Calibri" w:hAnsi="Calibri"/>
          <w:b w:val="0"/>
          <w:i/>
          <w:color w:val="595959"/>
          <w:sz w:val="17"/>
        </w:rPr>
        <w:t>build_corpus.py → consciousness_pairs.jsonl · consciousness_pairs.xlsx (review workbook, Read Me tab) · extract_direction_mlx.py → directions_llama8b_fixed.npz · steer_sweep_mlx.py → steer_sweep_results.json · analysis.py (shared scoring) · all_pairs_review.txt</w:t>
      </w:r>
    </w:p>
    <w:sectPr w:rsidR="00FC693F" w:rsidRPr="0006063C" w:rsidSect="00034616">
      <w:pgSz w:w="12240" w:h="15840"/>
      <w:pgMar w:top="893" w:right="1296" w:bottom="893"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