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两版产品迭代与</w:t>
        <w:br/>
        <w:t>店主持续使用设计</w:t>
      </w:r>
    </w:p>
    <w:p>
      <w:pPr>
        <w:pStyle w:val="Subtitle"/>
      </w:pPr>
      <w:r>
        <w:t>持仓健康管理优化版 × 店主财务助手新增版</w:t>
      </w:r>
    </w:p>
    <w:p>
      <w:r>
        <w:t>版本 v0.4.0  ·  评审日期 2026 年 10 月 4 日</w:t>
      </w:r>
    </w:p>
    <w:p>
      <w:pPr>
        <w:pStyle w:val="Heading2"/>
      </w:pPr>
      <w:r>
        <w:t>这次交付的核心结果</w:t>
      </w:r>
    </w:p>
    <w:p>
      <w:r>
        <w:t>保留“让每一个人，都拥有自己的基金经理”的产品方向，在同一本地服务中提供两个独立入口。投资版加强数字可信度与运行证据；店主版围绕“先把账看明白，再决定下一步”建立账单、现金日期和提醒之间的联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1656"/>
        <w:gridCol w:w="3384"/>
        <w:gridCol w:w="432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服务的问题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本次可运行结果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01 持仓健康管理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组合是否集中？几个调整方案有什么差别？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风险偏好收集、持仓校验、结构诊断、A/B/C 同口径模拟、证据导出。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02 店主财务助手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钱何时到账？支出为何变化？接下来哪天付款？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多渠道账本、净到账拆解、14 天余额情景、采购解释、核对后提醒与关注。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怎样判断功能值得做</w:t>
      </w:r>
    </w:p>
    <w:p>
      <w:r>
        <w:t>投资版继续追问：“一个真正属于我的基金经理，会不会做这件事？”店主版对应的问题是：“一个了解我的店、尊重我的判断的财务助手，会不会先解释这笔账，再提醒我行动？”</w:t>
      </w:r>
    </w:p>
    <w:p>
      <w:r>
        <w:t>因此，本次优先完成可追溯计算、明确的日期口径、人工确认和可继续查看的记录；暂不引入真实支付、自动交易或没有凭证支持的强结论。</w:t>
      </w:r>
    </w:p>
    <w:p>
      <w:pPr>
        <w:pStyle w:val="Heading2"/>
      </w:pPr>
      <w:r>
        <w:t>阅读方式</w:t>
      </w:r>
    </w:p>
    <w:p>
      <w:r>
        <w:t>第 2 页看投资版改动；第 3—4 页看店主账单与使用流程；第 5 页看持续使用设计；第 6 页看修改过程与职责边界；第 7 页看验证与限制；第 8 页看运行和资料来源。</w:t>
      </w:r>
    </w:p>
    <w:p>
      <w:r>
        <w:t>所有金额与证券均为虚构演示。下文的用户留存目标是待验证假设，不是已经获得的用户研究结果。</w:t>
      </w:r>
    </w:p>
    <w:p>
      <w:pPr>
        <w:pStyle w:val="Heading1"/>
        <w:pageBreakBefore/>
      </w:pPr>
      <w:r>
        <w:t>01  投资版：让比较结果可以复算</w:t>
      </w:r>
    </w:p>
    <w:p>
      <w:r>
        <w:t>新入口由后台真实计算生成诊断与方案表，原始静态素材保留用于对照。分析流程仍停在团队风控交接点，不冒充已完成审批或真实成交。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1440"/>
        <w:gridCol w:w="4104"/>
        <w:gridCol w:w="381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改动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用户得到什么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输入更严格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数值、份额、固定日期与价格逐项核对；带 snapshot_id 的输入也复核金额和权重。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不把字符串、伪造权重或错期价格当成有效持仓。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同向风险识别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只将相关系数 ≥0.8 的资产对列为同向集中；现金占比独立展示。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负相关不再被误列成同向聚集。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统一费用口径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净值曲线与收益指标用同一费用后路径；A 保持方案换手为零。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表格收益与曲线终点一致。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情景可比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联合资产收益连续区块重采样；四组使用相同 seed 与抽样索引。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减少方案差异来自随机抽样的干扰。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新资产参与计算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价格路径遍历目标资产集，而非仅遍历原有持仓。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方案加入债券 ETF 时不会漏算它。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运行证据与恢复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保留 ToolResult 原文；输入改变清除旧 checkpoint；同输入复用；未知任务报错。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能追溯来源，避免拿旧结果解释新输入。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固定演示可以核对的结果</w:t>
      </w:r>
    </w:p>
    <w:p>
      <w:r>
        <w:t>组合总额 31,080 元，现金 10,000 元（32.18%），最大证券仓位为 ETF_GROWTH（24.29%）。短历史窗口回撤约 −2.79%。Current 与 A 的收益、换手和情景分位数一致；B 换手约 4.29%，C 约 12.79%。</w:t>
      </w:r>
    </w:p>
    <w:p>
      <w:pPr>
        <w:pStyle w:val="Heading2"/>
      </w:pPr>
      <w:r>
        <w:t>研究启发与适用边界</w:t>
      </w:r>
    </w:p>
    <w:p>
      <w:r>
        <w:t>参考 scikit-learn 对数据泄漏的说明 [3]，明确把当前模拟标为“事后配置比较”。只有 7 个虚构价格观测，不能验证策略在未知市场中的效果。年化波动、2,000 条路径与分位数仅用于展示计算方法；增加路径数不能补足原始样本。</w:t>
      </w:r>
    </w:p>
    <w:p>
      <w:r>
        <w:t>风险偏好进入任务状态并随交接传递；A/B/C 仍按固定规则生成，尚不构成个性化适配。超出仓位或换手约束的输入会中止，不能悄悄放宽规则。</w:t>
      </w:r>
    </w:p>
    <w:p>
      <w:pPr>
        <w:pStyle w:val="Heading1"/>
        <w:pageBreakBefore/>
      </w:pPr>
      <w:r>
        <w:t>02  店主版：先统一钱的口径</w:t>
      </w:r>
    </w:p>
    <w:p>
      <w:r>
        <w:t>示例为“巷口咖啡”，基准日 2026-10-04，共 15 笔虚构账单。平台名称只用来展示分散渠道，不代表已对接这些平台，也不代表真实费率或结算周期。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2016"/>
        <w:gridCol w:w="1728"/>
        <w:gridCol w:w="561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账户视图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金额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已核对余额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6,200.00 元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由店主手动核对；已结算收支已经包含在内。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还在路上的钱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7,176.80 元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包含 855 元逾期待收款；尚不是可用余额。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已知待付款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16,150.00 元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来自已录入的供应商、房租、工资和水电账单。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外卖结算批次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2,744.00 元净收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原额 3,200 − 平台费 256 − 退款 200。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14 天现金表：日期比一个总数更有用</w:t>
      </w:r>
    </w:p>
    <w:p>
      <w:r>
        <w:t>预计余额 = 前日余额 + 当日预计净到账 − 当日应付款。逾期收入不默认到账；逾期应付款预留在次日。另一条保守线只扣已知付款，假设待到账款暂时全部未收到。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2160"/>
        <w:gridCol w:w="2160"/>
        <w:gridCol w:w="2160"/>
        <w:gridCol w:w="28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预计到账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到期付款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预计期末余额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10 月 5 日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3,577.80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2,200.00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7,577.80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10 月 6 日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2,744.00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7,000.00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3,321.80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10 月 7 日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1,100.00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2,221.80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10 月 8 日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400.00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1,821.80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10 月 9 日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650.00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1,171.80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10 月 10 日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4,800.00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−3,628.20</w:t>
            </w:r>
          </w:p>
        </w:tc>
      </w:tr>
    </w:tbl>
    <w:p>
      <w:pPr>
        <w:spacing w:line="20" w:lineRule="exact" w:after="40"/>
      </w:pPr>
    </w:p>
    <w:p>
      <w:r>
        <w:t>表内单位：元。按预计日期收款，首次缺口在 10 月 10 日；收款整体延迟 3 天，首次缺口提前到 10 月 6 日，当日余额为 −3,000 元。付款日期不会跟着收款延迟而自动后移。</w:t>
      </w:r>
    </w:p>
    <w:p>
      <w:r>
        <w:t>参考 Stripe 对结算批次与交易明细的对应关系 [1]，保留原额、扣费、退款和净额；参考 Xero 的已知账单现金预测思路 [2]，只测算已知收支。两者都是产品机制参考，不是中国支付平台规则的依据。</w:t>
      </w:r>
    </w:p>
    <w:p>
      <w:pPr>
        <w:pStyle w:val="Heading1"/>
        <w:pageBreakBefore/>
      </w:pPr>
      <w:r>
        <w:t>03  店主版：先解释，再提醒</w:t>
      </w:r>
    </w:p>
    <w:p>
      <w:pPr>
        <w:pStyle w:val="Heading2"/>
      </w:pPr>
      <w:r>
        <w:t>一条可以亲自体验的路径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1584"/>
        <w:gridCol w:w="3456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页面行为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系统约束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1 看总览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区分当前余额、待到账与待付款。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已结算款不会再被加到当前余额。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2 看原始账单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按渠道、状态和关键字筛选，点击“看账单”。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明细显示来源引用与原额、扣费、退款、净额。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3 确认口径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明确勾选理解余额和预计日期的区别。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服务端要求已查看至少一笔来源、confirmed=true、当前 revision。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4 看提醒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生成现金缺口、逾期待收和采购变化提醒。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每条提醒可回到相关账单；没有证据不解释涨价原因。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5 下次继续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标记关注；导出账单或核对摘要。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刷新可恢复会话；导入新账单清除旧确认与关注。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采购量变多，不等于东西涨价</w:t>
      </w:r>
    </w:p>
    <w:p>
      <w:r>
        <w:t>按记账日比较两个等长 7 天窗口：本期 9 月 28 日至 10 月 4 日，上期 9 月 21 日至 27 日。同一种咖啡豆从 20 kg、1,600 元，变为 25 kg、2,200 元；采购支出增加 600 元（37.5%）。</w:t>
      </w:r>
    </w:p>
    <w:p>
      <w:r>
        <w:t>数量变化影响 = (25 − 20) × 80 = 400 元。单价变化影响 = (88 − 80) × 25 = 200 元。两项合计恰为实际支出增量。单价、品名和单位都能回到账单核对。</w:t>
      </w:r>
    </w:p>
    <w:p>
      <w:r>
        <w:t>如果品名不同、单位不同或缺少上期记录，只展示支出变化，不断言“供应商涨价”。采购支出也不等于当期实际耗用成本，不能直接推出毛利下降。</w:t>
      </w:r>
    </w:p>
    <w:p>
      <w:pPr>
        <w:pStyle w:val="Heading2"/>
      </w:pPr>
      <w:r>
        <w:t>导入时保护已核对的账</w:t>
      </w:r>
    </w:p>
    <w:p>
      <w:r>
        <w:t>只支持规范 JSON、人民币与整数分。以“渠道 + 账单号”识别重复；完全相同的账单去重，金额或状态冲突则整批拒绝，不局部覆盖。导入前先验证，失败时原有账本和确认状态保持不变。成功替换后必须重新查看与确认。</w:t>
      </w:r>
    </w:p>
    <w:p>
      <w:r>
        <w:t>本轮“账单来源”是来源字符串，不是上传的凭证图片或自动验证的银行流水；看过一笔来源也不意味着所有凭证已经审计。</w:t>
      </w:r>
    </w:p>
    <w:p>
      <w:pPr>
        <w:pStyle w:val="Heading1"/>
        <w:pageBreakBefore/>
      </w:pPr>
      <w:r>
        <w:t>04  怎样成为店主愿意持续使用的工具</w:t>
      </w:r>
    </w:p>
    <w:p>
      <w:r>
        <w:t>店主回来的理由应是一件经营事务有了变化：一笔款到了、一张单该付了、一个价格变了。持续使用的价值来自少一次遗漏、少一次翻找和更快理解账目。以下为产品假设，尚未经过真实店主验证。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1800"/>
        <w:gridCol w:w="3816"/>
        <w:gridCol w:w="374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使用机制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本轮状态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为什么可能值得回来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从未核对的账开始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已实现：记录已查看来源与计数；可查看核对摘要。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让用户知道已看到哪里，减少重复翻找；尚无自动“新增账单”检测。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关注一件具体的事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已实现：提醒可标记“下次关注”，关注项排前。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把一次发现留在会话中，便于再次核对；尚无处理结果闭环。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自己改变到账假设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已实现：0 / 3 / 7 天情景。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店主可判断某笔款慢到时哪个付款日更紧张。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带走一份核对摘要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已实现：手动导出账本、测算与提醒 JSON。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用户能留底、复查；尚无 PDF 日结单或一键发送。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闭店三分钟核对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设计提案：新增与变化账单摘要、处理完成和下次复查日。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把使用嵌入日常经营节奏，须先解决持久化与新增检测。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温和且可控的提醒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设计提案：用户选时间、频率与阈值；同一事项去重。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在付款前提供可用信息，避免重复催促与焦虑。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建议先做的小规模验证</w:t>
      </w:r>
    </w:p>
    <w:p>
      <w:r>
        <w:t>邀请 5—8 位自愿参与的店主，先用虚构或脱敏账单做两轮可用性测试，再考虑两周试用。请店主解释“余额为什么不是销售额”“支出增加来自数量还是单价”“下一笔大额付款前需要核实什么”，记录理解错误与完成时间。</w:t>
      </w:r>
    </w:p>
    <w:p>
      <w:r>
        <w:t>观察首次打开来源并确认的比例、同一周主动返回核对的比例、关注事项被处理的比例、提醒被忽略的原因。目标可以先定为：大多数参与者独立完成首轮核对、能复述净到账公式；这些是验收提议，不是本次成绩。</w:t>
      </w:r>
    </w:p>
    <w:p>
      <w:r>
        <w:t>如果用户只浏览总额、不愿打开来源，就优先缩短核对流程；如果经常抱怨账不全，先改进导入覆盖率；如果提醒无人处理，先调整提醒的时机与可操作性。不要用增加通知数量替代验证。</w:t>
      </w:r>
    </w:p>
    <w:p>
      <w:pPr>
        <w:pStyle w:val="Heading1"/>
        <w:pageBreakBefore/>
      </w:pPr>
      <w:r>
        <w:t>05  修改过程与工程边界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1512"/>
        <w:gridCol w:w="4248"/>
        <w:gridCol w:w="360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发现与决定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产物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梳理原版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原有核心已有 checkpoint 与 mock 工具；页面展示和实际计算需要接通。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增加版本首页与两个独立界面，复用本地 Node 服务。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查资料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结算明细应可追溯；已知账单适合做现金日期表；历史模拟要防止误称预测。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把资料转化为金额口径与产品说明，列出引用 [1]—[3]。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修正投资计算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负相关被纳入集中度、费用表与曲线口径不统一、新资产可能漏算。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调整金融工具，增加回归测试；保存完整工具输出。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新增店主核心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提醒不能先于账单理解；账本要能去重、解释、重算。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MerchantSession、整数分账本、版本确认、现金表与采购拆解。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完善使用路径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一次性报告不足以支持继续核对。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关注排序、已查看标记、筛选、导入、手动导出。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验证与交付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既要数字正确，也要能打开与操作。</w:t>
            </w:r>
          </w:p>
        </w:tc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自动化测试、浏览器实测、启动脚本、README、Word 评审文档。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负责的部分与交接点</w:t>
      </w:r>
    </w:p>
    <w:p>
      <w:r>
        <w:t>沿用 Agent Core / Memory 与 Tools / Financial Data 两个责任域：维护任务状态、运行循环、checkpoint、会话记忆、金融与账单计算。新增页面用于展示和验证这些能力，未修改团队仓库其他成员的目录。</w:t>
      </w:r>
    </w:p>
    <w:p>
      <w:r>
        <w:t>投资流程：澄清 → 校验 → 诊断 → 候选方案 → 模拟 → RISK_CHECK 交接。风控决策、审批网关、真实交易仍由对应团队负责。执行 API 固定返回 GATEWAY_NOT_CONNECTED；内部 Paper Trading mock 不当作可信审批。</w:t>
      </w:r>
    </w:p>
    <w:p>
      <w:pPr>
        <w:pStyle w:val="Heading2"/>
      </w:pPr>
      <w:r>
        <w:t>数据放在哪里</w:t>
      </w:r>
    </w:p>
    <w:p>
      <w:r>
        <w:t>本次仅进程内保存状态。店主按浏览器会话隔离；投资版是本地单用户演示。当前服务仅监听 127.0.0.1，拒绝跨来源 API 请求，不作为公网多用户服务。重启服务会清空账本、审计、记忆与关注状态。</w:t>
      </w:r>
    </w:p>
    <w:p>
      <w:r>
        <w:t>团队仓库保持私有，个人仓库按用户本次确认保持公开。两个仓库均只交付 chenchen/ 的演示代码和说明；不上传原始 PRD、教材、真实账单或登录凭证。</w:t>
      </w:r>
    </w:p>
    <w:p>
      <w:pPr>
        <w:pStyle w:val="Heading1"/>
        <w:pageBreakBefore/>
      </w:pPr>
      <w:r>
        <w:t>06  验证结果与已知限制</w:t>
      </w:r>
    </w:p>
    <w:p>
      <w:r>
        <w:t>本轮在 Node 环境运行 JavaScript 语法检查与 node --test：31 项自动化测试通过，0 失败。测试用于覆盖关键计算与状态流转，不能推导“没有任何 bug”。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1872"/>
        <w:gridCol w:w="6264"/>
        <w:gridCol w:w="122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验证范围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覆盖的关键情形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原有核心：10 项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组合校验、A/B/C、固定 seed、澄清、失败恢复、记忆同意、内部 mock 幂等。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投资回归：8 项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错期与伪造字段、负相关、新资产路径、净值费用、旧报告、输入失效、清空偏好、熔断。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店主账本：12 项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净额与余额、去重、冲突原子性、日期金额校验、确认门槛、采购拆解、延迟、隔离与空账本。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HTTP 集成：1 项</w:t>
            </w:r>
          </w:p>
        </w:tc>
        <w:tc>
          <w:tcPr>
            <w:tcW w:type="dxa" w:w="62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两版页面、Cookie 隔离、确认门槛、失败导入、执行阻断、来源限制、投资主路径与审计。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通过</w:t>
            </w:r>
          </w:p>
        </w:tc>
      </w:tr>
    </w:tbl>
    <w:p>
      <w:pPr>
        <w:spacing w:line="20" w:lineRule="exact" w:after="40"/>
      </w:pPr>
    </w:p>
    <w:p>
      <w:pPr>
        <w:pStyle w:val="Heading2"/>
      </w:pPr>
      <w:r>
        <w:t>浏览器已经实测的操作</w:t>
      </w:r>
    </w:p>
    <w:p>
      <w:r>
        <w:t>投资版：填写演示偏好并运行，页面展示 31,080 元组合、四组对比和 RISK_CHECK 交接状态；控制台未发现应用错误。店主版：初始确认按钮禁用；筛选外卖账单后打开 2,744 元净额明细；确认后生成提醒；关注状态刷新后仍保留。</w:t>
      </w:r>
    </w:p>
    <w:p>
      <w:pPr>
        <w:pStyle w:val="Heading2"/>
      </w:pPr>
      <w:r>
        <w:t>上线前还需要补齐</w:t>
      </w:r>
    </w:p>
    <w:p>
      <w:r>
        <w:t>数据：当前投资只有 7 个虚构价格点，店主只有固定示例与手动 JSON。尚未完成真实行情、新闻、银行/支付平台、OCR 或增量流水接入。独立退款、内部转账、混合币种、部分结算和应收坏账等复杂账务仍未支持。</w:t>
      </w:r>
    </w:p>
    <w:p>
      <w:r>
        <w:t>运行：工具调用为同步本地实现，没有远程超时取消、后台调度、持久化重启恢复或多设备同步。商户会话最多保留 500 份，满额后淘汰最早创建的会话。投资的身份鉴别与多租户隔离未实现。</w:t>
      </w:r>
    </w:p>
    <w:p>
      <w:r>
        <w:t>产品：本次是确定性规则原型，未接大模型对话；偏好不驱动个性化风控；提醒需用户打开页面并确认，不自动发送。未上线税务判断、自动付款、账户操作或正式财务报表。</w:t>
      </w:r>
    </w:p>
    <w:p>
      <w:pPr>
        <w:pStyle w:val="Heading2"/>
      </w:pPr>
      <w:r>
        <w:t>建议的下一轮顺序</w:t>
      </w:r>
    </w:p>
    <w:p>
      <w:r>
        <w:t>先做店主可用性测试与真实账单格式适配；再做数据持久化、可撤销更正和处理闭环；最后在团队明确授权与认证方式后接数据平台、受控通知和风控网关。每步以可回溯账单和可复算结果为验收条件。</w:t>
      </w:r>
    </w:p>
    <w:p>
      <w:pPr>
        <w:pStyle w:val="Heading1"/>
        <w:pageBreakBefore/>
      </w:pPr>
      <w:r>
        <w:t>07  打开方式、交付位置与参考资料</w:t>
      </w:r>
    </w:p>
    <w:p>
      <w:pPr>
        <w:pStyle w:val="Heading2"/>
      </w:pPr>
      <w:r>
        <w:t>本地启动</w:t>
      </w:r>
    </w:p>
    <w:p>
      <w:r>
        <w:t>安装 Node.js 22 或更新版本。下载仓库，进入 chenchen，双击“启动两版.cmd”；或在终端运行 npm start。无需 API Key 或第三方运行依赖。保持终端开启，在浏览器访问以下地址：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2C9"/>
          <w:left w:val="single" w:sz="4" w:color="CDD2C9"/>
          <w:bottom w:val="single" w:sz="4" w:color="CDD2C9"/>
          <w:right w:val="single" w:sz="4" w:color="CDD2C9"/>
          <w:insideH w:val="single" w:sz="4" w:color="CDD2C9"/>
          <w:insideV w:val="single" w:sz="4" w:color="CDD2C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EA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地址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版本选择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http://127.0.0.1:4175/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持仓健康管理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http://127.0.0.1:4175/investment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店主财务助手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http://127.0.0.1:4175/merchant</w:t>
            </w:r>
          </w:p>
        </w:tc>
      </w:tr>
    </w:tbl>
    <w:p>
      <w:pPr>
        <w:spacing w:line="20" w:lineRule="exact" w:after="40"/>
      </w:pPr>
    </w:p>
    <w:p>
      <w:r>
        <w:t>GitHub 用于阅读代码、下载文档与取得可运行项目；文件预览不会运行 Node 后端。其他成员需在自己的电脑启动。若端口占用，可先确认已有服务，或设置 PORT=4180 后启动并访问新端口。</w:t>
      </w:r>
    </w:p>
    <w:p>
      <w:pPr>
        <w:pStyle w:val="Heading2"/>
      </w:pPr>
      <w:r>
        <w:t>交付位置</w:t>
      </w:r>
    </w:p>
    <w:p>
      <w:hyperlink r:id="rId11">
        <w:r>
          <w:rPr>
            <w:color w:val="245B49"/>
            <w:sz w:val="20"/>
          </w:rPr>
          <w:t>团队仓库 · Fintechathon-agent / chenchen（私有）</w:t>
        </w:r>
      </w:hyperlink>
    </w:p>
    <w:p>
      <w:hyperlink r:id="rId12">
        <w:r>
          <w:rPr>
            <w:color w:val="245B49"/>
            <w:sz w:val="20"/>
          </w:rPr>
          <w:t>个人仓库 · realchenchenluo / agent / chenchen（公开）</w:t>
        </w:r>
      </w:hyperlink>
    </w:p>
    <w:p>
      <w:r>
        <w:t>入口与说明：chenchen/README.md。新页面：versions/。店主计算：merchant/ledger.js。投资工具：tools/financial-tools.js。任务核心：core/harness.js。测试：tests/。本文生成源：scripts/build_report.py。</w:t>
      </w:r>
    </w:p>
    <w:p>
      <w:pPr>
        <w:pStyle w:val="Heading2"/>
      </w:pPr>
      <w:r>
        <w:t>参考资料：事实与设计推断分开</w:t>
      </w:r>
    </w:p>
    <w:p>
      <w:hyperlink r:id="rId13">
        <w:r>
          <w:rPr>
            <w:color w:val="245B49"/>
            <w:sz w:val="20"/>
          </w:rPr>
          <w:t>[1] Stripe · Payout reconciliation report</w:t>
        </w:r>
      </w:hyperlink>
    </w:p>
    <w:p>
      <w:r>
        <w:t>支持“把银行结算款追溯到交易批次、费用和退款”的产品机制。本文据此设计净额拆解，不据此推断国内平台结算规则。</w:t>
      </w:r>
    </w:p>
    <w:p>
      <w:hyperlink r:id="rId14">
        <w:r>
          <w:rPr>
            <w:color w:val="245B49"/>
            <w:sz w:val="20"/>
          </w:rPr>
          <w:t>[2] Xero · Small business analytics</w:t>
        </w:r>
      </w:hyperlink>
    </w:p>
    <w:p>
      <w:r>
        <w:t>介绍基于已有发票与账单观察未来现金。本文将其简化为 14 天已知账单测算；并未实现其完整分析或自动同步能力。</w:t>
      </w:r>
    </w:p>
    <w:p>
      <w:hyperlink r:id="rId15">
        <w:r>
          <w:rPr>
            <w:color w:val="245B49"/>
            <w:sz w:val="20"/>
          </w:rPr>
          <w:t>[3] scikit-learn · Common pitfalls / Data leakage</w:t>
        </w:r>
      </w:hyperlink>
    </w:p>
    <w:p>
      <w:r>
        <w:t>说明使用预测时不可获得的信息会使评估过于乐观。本文借此区分事后演示比较与样本外验证；并未声称使用了机器学习模型。</w:t>
      </w:r>
    </w:p>
    <w:p>
      <w:r>
        <w:t>资料查阅日期：2026-10-04。持续使用机制、实验建议与功能取舍为本次产品设计推断；来源页面不提供本项目留存效果证据。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两版迭代评审 · 演示版本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CHENCHEN  /  PRODUCT REVIEW  /  2026.10.04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0" w:lineRule="exact"/>
      <w:widowControl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  <w:widowControl/>
      <w:snapToGrid w:val="0"/>
    </w:pPr>
    <w:rPr>
      <w:rFonts w:ascii="Microsoft YaHei" w:hAnsi="Microsoft YaHei" w:eastAsia="Microsoft YaHei" w:cs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  <w:widowControl/>
      <w:snapToGrid w:val="0"/>
    </w:pPr>
    <w:rPr>
      <w:rFonts w:ascii="Microsoft YaHei" w:hAnsi="Microsoft YaHei" w:eastAsia="Microsoft YaHei" w:cs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64" w:lineRule="auto"/>
      <w:contextualSpacing/>
      <w:snapToGrid w:val="0"/>
    </w:pPr>
    <w:rPr>
      <w:rFonts w:ascii="Microsoft YaHei" w:hAnsi="Microsoft YaHei" w:eastAsia="Microsoft YaHei" w:cs="Microsoft YaHei"/>
      <w:b w:val="0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64" w:lineRule="auto"/>
      <w:snapToGrid w:val="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intechathon-agent/Fintechathon-agent/tree/main/chenchen" TargetMode="External"/><Relationship Id="rId12" Type="http://schemas.openxmlformats.org/officeDocument/2006/relationships/hyperlink" Target="https://github.com/realchenchenluo/agent/tree/main/chenchen" TargetMode="External"/><Relationship Id="rId13" Type="http://schemas.openxmlformats.org/officeDocument/2006/relationships/hyperlink" Target="https://docs.stripe.com/reports/payout-reconciliation" TargetMode="External"/><Relationship Id="rId14" Type="http://schemas.openxmlformats.org/officeDocument/2006/relationships/hyperlink" Target="https://www.xero.com/us/accounting-software/analytics/" TargetMode="External"/><Relationship Id="rId15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两版产品迭代与店主持续使用设计</dc:title>
  <dc:subject>Portfolio Sentinel v0.4.0 与店主财务助手</dc:subject>
  <dc:creator>chenchen</dc:creator>
  <cp:keywords>产品评审,账单,现金流,Agent,演示版本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