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两款财务助手本轮改动与功能候选</w:t>
      </w:r>
    </w:p>
    <w:p>
      <w:r>
        <w:t>2026 年 10 月 5 日  |  v0.5.0  |  本地演示版</w:t>
      </w:r>
    </w:p>
    <w:p>
      <w:r>
        <w:t>这轮我们重点解决“打开后先看什么”和“结果能不能信”的问题。投资顾问与店主助手保留独立入口、页面和操作流程，共用本地演示服务。改动只放在 chenchen 文件夹，不改仓库其他成员的内容。</w:t>
      </w:r>
    </w:p>
    <w:p>
      <w:pPr>
        <w:pStyle w:val="Heading1"/>
      </w:pPr>
      <w:r>
        <w:t>打开页面后有什么不同</w:t>
      </w:r>
    </w:p>
    <w:p>
      <w:pPr>
        <w:pStyle w:val="Heading2"/>
      </w:pPr>
      <w:r>
        <w:t>两个产品各自展示重点</w:t>
      </w:r>
    </w:p>
    <w:p>
      <w:r>
        <w:t>产品目录改成两张独立卡片。投资顾问使用蓝色，店主助手使用绿色；进入后只保留本产品操作和返回目录的入口。目录上的数字是固定样例，不读取导入账本。手机上卡片纵向排列。</w:t>
      </w:r>
    </w:p>
    <w:p>
      <w:pPr>
        <w:pStyle w:val="Heading2"/>
      </w:pPr>
      <w:r>
        <w:t>投资页先看收益和风险</w:t>
      </w:r>
    </w:p>
    <w:p>
      <w:r>
        <w:t>运行后先展示演示区间收益、历史最大回撤和现金占比，再看 A、B、C 三条路径。点开方案才能看到资产比例与情景区间；曲线和运行记录收进详情。页面标出样本内回撤较小的路径，但明确说明这不是个性化推荐。</w:t>
      </w:r>
    </w:p>
    <w:p>
      <w:r>
        <w:t>例如固定样例中，当前组合的历史最大回撤约为 2.79%，C 路径约为 2.01%，差约 0.78 个百分点。这只比较 7 个虚构价格观测，不是实际账户盈亏，也不能据此预测未来收益。</w:t>
      </w:r>
    </w:p>
    <w:p>
      <w:pPr>
        <w:pStyle w:val="Heading2"/>
      </w:pPr>
      <w:r>
        <w:t>店主页先看钱和日期</w:t>
      </w:r>
    </w:p>
    <w:p>
      <w:r>
        <w:t>首屏突出当前余额、首个资金缺口、最近一笔付款。待核对账单排在前面，查看后立即更新进度。采购支出先展示两项主要涨幅，其余点开看；提醒的理由和相关账单也能展开。切换到账延迟后，首屏日期和提醒同步变化。</w:t>
      </w:r>
    </w:p>
    <w:p>
      <w:pPr>
        <w:pStyle w:val="Heading1"/>
      </w:pPr>
      <w:r>
        <w:t>减少看错结果的情况</w:t>
      </w:r>
    </w:p>
    <w:p>
      <w:r>
        <w:t>修改投资输入后隐藏旧结果，避免把上次分析当成新结论。两个页面都标明数据日期及非实时状态。当前余额已为负数时，系统直接指出已有缺口，不把它说成未来风险。完整运行记录读取失败也不会抹掉已经算出的有效结果。</w:t>
      </w:r>
    </w:p>
    <w:p>
      <w:r>
        <w:t>检查还发现旧服务没有加载新增样式。我们修正资源加载配置，增加样式缺失提示和运行中服务检查命令，帮助区分“代码已更新”与“网页实际用上新代码”。</w:t>
      </w:r>
    </w:p>
    <w:p>
      <w:pPr>
        <w:pStyle w:val="Heading1"/>
        <w:pageBreakBefore/>
      </w:pPr>
      <w:r>
        <w:t>还可以加什么</w:t>
      </w:r>
    </w:p>
    <w:p>
      <w:r>
        <w:t>下面都是未实现的候选功能，先供选择。它们对应已约定的 Agent 运行与记忆、工具与金融数据职责，不代表比赛新增硬性要求。建议下一轮优先选“与上次相比”和“提醒处理记录”。</w:t>
      </w:r>
    </w:p>
    <w:p>
      <w:pPr>
        <w:pStyle w:val="Heading2"/>
      </w:pPr>
      <w:r>
        <w:t>与上次相比</w:t>
      </w:r>
    </w:p>
    <w:p>
      <w:r>
        <w:t>记录每次诊断或账本快照，直接告诉用户哪些数字发生变化，并可点回旧数据核对。归属记忆与状态管理；保存前需要用户同意，并提供清除入口。</w:t>
      </w:r>
    </w:p>
    <w:p>
      <w:pPr>
        <w:pStyle w:val="Heading2"/>
      </w:pPr>
      <w:r>
        <w:t>提醒处理记录</w:t>
      </w:r>
    </w:p>
    <w:p>
      <w:r>
        <w:t>让店主把一条提醒标为待办、已核实或已处理，附一小段备注。下次打开先看尚未处理的事情。归属 Agent 状态与记忆；不代替银行确认，也不自动付款。</w:t>
      </w:r>
    </w:p>
    <w:p>
      <w:pPr>
        <w:pStyle w:val="Heading2"/>
      </w:pPr>
      <w:r>
        <w:t>单笔到账试算</w:t>
      </w:r>
    </w:p>
    <w:p>
      <w:r>
        <w:t>在现有统一延迟之外，选择一笔收入，试算晚到账几天会影响哪次付款。归属金融数据工具；只生成情景，不修改原账单或承诺平台到账。</w:t>
      </w:r>
    </w:p>
    <w:p>
      <w:pPr>
        <w:pStyle w:val="Heading2"/>
      </w:pPr>
      <w:r>
        <w:t>新账单追加与关账核对</w:t>
      </w:r>
    </w:p>
    <w:p>
      <w:r>
        <w:t>导入新账单时先显示新增、重复和冲突项，确认后再合并；日终对照手工余额，指出未核对差异。归属账单工具；不能把差异自动认定为利润或亏损。</w:t>
      </w:r>
    </w:p>
    <w:p>
      <w:pPr>
        <w:pStyle w:val="Heading2"/>
      </w:pPr>
      <w:r>
        <w:t>工具失败后的恢复演示</w:t>
      </w:r>
    </w:p>
    <w:p>
      <w:r>
        <w:t>增加可控的超时与失败场景，演示重试、停止和从上一步恢复。归属 Agent 运行机制；先保留模拟环境，不接真实交易或支付。</w:t>
      </w:r>
    </w:p>
    <w:p>
      <w:pPr>
        <w:pStyle w:val="Heading1"/>
      </w:pPr>
      <w:r>
        <w:t>本轮怎么验证</w:t>
      </w:r>
    </w:p>
    <w:p>
      <w:r>
        <w:t>语法检查通过，40 项自动测试通过。新增检查覆盖数据日期、方案比较、账单排序、当前负余额和页面资源加载。浏览器已检查桌面及 390 像素窄屏，并实际操作诊断、改输入、展开账单、确认、延迟切换与导出。通过测试不等于没有任何缺陷。</w:t>
      </w:r>
    </w:p>
    <w:p>
      <w:r>
        <w:t>仍使用固定虚构数据，不接真实行情、银行、支付平台或大模型。投资流程停在团队风控交接点；店主数据只存于当前服务进程，重启会清空。上传 GitHub 供查看和下载代码，不等于网页已经公网部署。</w:t>
      </w:r>
    </w:p>
    <w:p>
      <w:pPr>
        <w:pStyle w:val="Heading1"/>
      </w:pPr>
      <w:r>
        <w:t>设计参考与原创处理</w:t>
      </w:r>
    </w:p>
    <w:p>
      <w:r>
        <w:t>参考 Shopify 的卡片分组与主操作原则，以及 Stripe 的到账金额核对机制。我们自行设计两产品目录、数字优先布局和账单确认流程，未复制品牌视觉或页面；是否能提高持续使用意愿，仍需店主试用验证。</w:t>
      </w:r>
    </w:p>
    <w:p>
      <w:r>
        <w:rPr>
          <w:sz w:val="18"/>
        </w:rPr>
        <w:t>Shopify Layout  https://shopify.dev/docs/apps/design/layout</w:t>
      </w:r>
    </w:p>
    <w:p>
      <w:r>
        <w:rPr>
          <w:sz w:val="18"/>
        </w:rPr>
        <w:t>Stripe Payout reconciliation  https://docs.stripe.com/reports/payout-reconciliation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9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312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98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两款财务助手本轮改动与功能候选</dc:title>
  <dc:subject>v0.5.0 产品迭代说明</dc:subject>
  <dc:creator>Chenchen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