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</w:t>
      </w:r>
    </w:p>
    <w:p>
      <w:r>
        <w:t>2026年10月10日   Personal AI Fund Manager</w:t>
      </w:r>
    </w:p>
    <w:p>
      <w:r>
        <w:t>今日新增 Word 主链路联调手册与日报交付。已有本地链路可核验，正式 Risk 审核闭环尚未完成。以下测试结果来自今天 22:00 自动化核验，不把格式转换记为新增业务实现。</w:t>
      </w:r>
    </w:p>
    <w:p>
      <w:pPr>
        <w:pStyle w:val="Heading2"/>
      </w:pPr>
      <w:r>
        <w:t>今日产出与接口进度</w:t>
      </w:r>
    </w:p>
    <w:p>
      <w:r>
        <w:t>今日真实产出：按运行实现修订完整架构图和模块时序图，补齐统一 Contract 字段必填/生产方/消费方/不可修改责任表，新增可复现主链路核验报告。修正“自动提交 Risk”和审计事件写入顺序的误导。证据：core-agent-architecture.md、core-agent-sequence.md、../contracts/README.md、core-agent-verification-2026-10-10.md。</w:t>
      </w:r>
    </w:p>
    <w:p>
      <w:r>
        <w:t>代码变化口径：今天已有业务代码变更：统一 trace/audit、10 月 9 日市场回放、只读工作台适配与静态夹具服务（团队 2c72f2b/99a8371/2990446/781bcf0，个人 1fa41ff/1d05738/5880607/836fb6f）。本次自动化只改文档，没有业务代码变更；不把此前提交记为本轮新增实现。</w:t>
      </w:r>
    </w:p>
    <w:p>
      <w:pPr>
        <w:pStyle w:val="Heading2"/>
      </w:pPr>
      <w:r>
        <w:t>A. 已完成的核心接口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835"/>
        <w:gridCol w:w="4535"/>
      </w:tblGrid>
      <w:tr>
        <w:trPr>
          <w:cantSplit/>
          <w:tblHeader/>
        </w:trPr>
        <w:tc>
          <w:tcPr>
            <w:tcW w:type="dxa" w:w="2721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名称 / 版本</w:t>
            </w:r>
          </w:p>
        </w:tc>
        <w:tc>
          <w:tcPr>
            <w:tcW w:type="dxa" w:w="2835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生产方 → 消费方</w:t>
            </w:r>
          </w:p>
        </w:tc>
        <w:tc>
          <w:tcPr>
            <w:tcW w:type="dxa" w:w="4535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当前字段状态 / 证据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HealthCheckRequest / investment-agent.v1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Caller → Backend/Core Agent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version/request_id/operation/context/input 必填；请求 Schema、示例与 contracts/README.md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HealthCheckResponse / investment-agent.v1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Core Agent → Backend/UI/Risk</w:t>
            </w:r>
          </w:p>
        </w:tc>
        <w:tc>
          <w:tcPr>
            <w:tcW w:type="dxa" w:w="45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trace/task_state/artifacts/tool_results/audit_evidence/risk_handoff 必填；四个追踪键成功路径一致；contracts Schema、core/harness.js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TaskState / Checkpoint（嵌入 v1）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Harness → Backend/UI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7 状态；4 个 checkpoint 引用有效；版本/request 在 TaskState 内仍是 Schema 可选；报告及 tests/regressions.test.js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RiskHandoff（嵌入 v1）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Core Agent → Risk/UI</w:t>
            </w:r>
          </w:p>
        </w:tc>
        <w:tc>
          <w:tcPr>
            <w:tcW w:type="dxa" w:w="45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PENDING_REVIEW/REQUIRED，execution_allowed=false；Handoff 无独立 request_id，需父 trace；audit_id/market_context_id 条件完整；contracts/investment-contract.js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Error envelope / investment-agent.v1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Backend → Caller/UI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code/message/retryable/stage/recovery 必填；尚缺 task/session/audit；server.js、tests/contracts.test.js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risk-workbench.bridge@0.1.0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Adapter → UI/人工复核</w:t>
            </w:r>
          </w:p>
        </w:tc>
        <w:tc>
          <w:tcPr>
            <w:tcW w:type="dxa" w:w="45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source 含 version/request/task/session/audit；READ_ONLY_HANDOFF_PREVIEW；独立 Schema、远程 Consumer 未完成；integrations/risk-workbench-adapter.js</w:t>
            </w:r>
          </w:p>
        </w:tc>
      </w:tr>
    </w:tbl>
    <w:p/>
    <w:p>
      <w:pPr>
        <w:pStyle w:val="Heading2"/>
      </w:pPr>
      <w:r>
        <w:t>B. 可验证的集成进度</w:t>
      </w:r>
    </w:p>
    <w:p>
      <w:r>
        <w:t>两仓库各在 chenchen 执行 npm run check 和 npm test：语法通过，各 52/52 测试通过、0 失败、0 跳过。</w:t>
      </w:r>
    </w:p>
    <w:p>
      <w:r>
        <w:t>运行当前仓库服务并调用 scripts/smoke.js：19 个页面/静态资源及内容一致性通过。完整 PowerShell 复现命令在 core-agent-verification-2026-10-10.md。</w:t>
      </w:r>
    </w:p>
    <w:p>
      <w:r>
        <w:t>额外 HTTP 字段追踪：health-check、audit 读取、同 task 续跑、只读 bridge 均 HTTP 200；非法 Contract HTTP 422；伪造客户端 approval HTTP 503。</w:t>
      </w:r>
    </w:p>
    <w:p>
      <w:r>
        <w:t>成功响应 request_id/task_id/session_id/contract_version 与 trace、TaskState、AuditEvidence 相等；4 个 checkpoint 引用解析成功，带市场上下文共 5 个 ToolResult，Handoff.audit_id 可追踪。</w:t>
      </w:r>
    </w:p>
    <w:p>
      <w:r>
        <w:t>同 task 续跑 audit_id 不变，但审计信封只标记最新 request_id；历史编号位于 contract.accepted payload，未达到所有阶段事件逐请求归因。失败信封追踪缺口仍在。</w:t>
      </w:r>
    </w:p>
    <w:p>
      <w:r>
        <w:t>金融数据测试：2026-10-08/09 固定夹具回放通过，metrics、target_weights、comparisons 无漂移；10 月 9 日 rates-view-data-conflict 保持 REVIEW_REQUIRED。不代表当天实时行情验证，不产生自动交易。</w:t>
      </w:r>
    </w:p>
    <w:p>
      <w:pPr>
        <w:pStyle w:val="Heading2"/>
      </w:pPr>
      <w:r>
        <w:t>C. 需要其他 Owner 配合的阻塞项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835"/>
        <w:gridCol w:w="4535"/>
      </w:tblGrid>
      <w:tr>
        <w:trPr>
          <w:cantSplit/>
          <w:tblHeader/>
        </w:trPr>
        <w:tc>
          <w:tcPr>
            <w:tcW w:type="dxa" w:w="2721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2835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待确认字段 / 行为</w:t>
            </w:r>
          </w:p>
        </w:tc>
        <w:tc>
          <w:tcPr>
            <w:tcW w:type="dxa" w:w="4535"/>
            <w:vAlign w:val="center"/>
            <w:shd w:fill="DCE9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阻塞原因 → 期望产出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接收路径、request/task/session/audit、review_status/rejection_reason/decision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当前只有人工只读包，无正式消费回写 → 版本化接收/回写 Contract 和真实消费测试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失败 task/session/audit 关联、后置 contract.accepted、续跑事件归因、条件 evidence 校验</w:t>
            </w:r>
          </w:p>
        </w:tc>
        <w:tc>
          <w:tcPr>
            <w:tcW w:type="dxa" w:w="45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成功路径可追踪不等于失败/跨请求可追踪 → 错误升版和语义校验方案；持久化恢复验收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Memory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session 读取边界、audit 与长期 Memory 归属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主链路尚无自动 Memory 读取适配 → 保留既有 consent/生命周期的接口确认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Quant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既有 ToolResult.version/data_as_of 与剩余独立接口版本</w:t>
            </w:r>
          </w:p>
        </w:tc>
        <w:tc>
          <w:tcPr>
            <w:tcW w:type="dxa" w:w="45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主健康检查已冻结，独立 import/diagnose/strategy/simulation 尚未统一 → 输出兼容与版本确认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trace/task_state/error recovery 展示和只读包状态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Risk 回写字段未冻结 → 字段消费清单与人工复核/等待状态验收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28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as_of、来源可信度、刷新和冲突协议</w:t>
            </w:r>
          </w:p>
        </w:tc>
        <w:tc>
          <w:tcPr>
            <w:tcW w:type="dxa" w:w="4535"/>
            <w:vAlign w:val="center"/>
            <w:shd w:fill="F4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仅固定 SYNTHETIC_REPLAY → 真实数据接入 Contract 与验收夹具</w:t>
            </w:r>
          </w:p>
        </w:tc>
      </w:tr>
    </w:tbl>
    <w:p/>
    <w:p>
      <w:r>
        <w:t>主链路阶段 / 今日结论：本地请求→Session/Context→Harness→现有 Tools/Quant→统一响应→Risk Handoff 可核验；停在 HANDOFF_REQUIRED，未证明独立 Risk 审核闭环。Core Agent 调用 validatePortfolio、diagnosePortfolio、generateCandidates、runSimulation 的现有结果，未重复计算或修改 Quant。未修改 Memory consent、范围、生命周期、清理；主链路未自动读取 Memory。已经过 Risk 停止边界，execution_allowed=false，前端 approval 不构成授权。</w:t>
      </w:r>
    </w:p>
    <w:p>
      <w:r>
        <w:t>下一步：优先由 Risk 提供正式接收/回写协议，Backend 明确失败与续跑追踪、语义校验规则；之后按字段责任表与 Memory/Quant/UI/Data 联调。日报不修改任何 Owner 实现来使测试通过。</w:t>
      </w:r>
    </w:p>
    <w:p>
      <w:r>
        <w:t>同步说明：本节与核验报告、两张图、Contract 说明分别提交并推送两个 origin/main；最终提交编号和远程核对结果见本次自动化运行回执，不用本地检查代替远程同步确认。</w:t>
      </w:r>
    </w:p>
    <w:p>
      <w:pPr>
        <w:pStyle w:val="Heading1"/>
      </w:pPr>
      <w:r>
        <w:t>本次 Word 交付说明</w:t>
      </w:r>
    </w:p>
    <w:p>
      <w:r>
        <w:t>交付两份 DOCX：主链路架构与联调接口手册，以及当天日报。手册嵌入架构图和时序图，包含字段责任 任务状态 异常处理 Risk Handoff 与 Audit Evidence。后续自动化以 DOCX 面向团队交付，Markdown 历史与运行时 Schema 继续作为审阅依据。</w:t>
      </w:r>
    </w:p>
    <w:p>
      <w:r>
        <w:t>此前核验提交：团队 96bcde613e094ac537e31fa79926a428b4062228；个人 989392308e30d61c159eed713ba9b6d663abae5d。Word 文档单独提交，最终同步状态以本次运行回执为准。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Agent Daily Update</dc:title>
  <dc:subject/>
  <dc:creator>Core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