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E6278D" w14:textId="77777777" w:rsidR="0095278F" w:rsidRPr="0095278F" w:rsidRDefault="0095278F" w:rsidP="0095278F">
      <w:pPr>
        <w:spacing w:line="276" w:lineRule="auto"/>
        <w:rPr>
          <w:rFonts w:ascii="Proxima Nova" w:eastAsia="Proxima Nova" w:hAnsi="Proxima Nova" w:cs="Proxima Nova"/>
          <w:sz w:val="20"/>
          <w:szCs w:val="20"/>
        </w:rPr>
      </w:pPr>
    </w:p>
    <w:tbl>
      <w:tblPr>
        <w:tblStyle w:val="GridTable4-Accent1"/>
        <w:tblpPr w:leftFromText="180" w:rightFromText="180" w:vertAnchor="page" w:horzAnchor="margin" w:tblpY="2441"/>
        <w:tblW w:w="10139" w:type="dxa"/>
        <w:tblLook w:val="04A0" w:firstRow="1" w:lastRow="0" w:firstColumn="1" w:lastColumn="0" w:noHBand="0" w:noVBand="1"/>
      </w:tblPr>
      <w:tblGrid>
        <w:gridCol w:w="5069"/>
        <w:gridCol w:w="5070"/>
      </w:tblGrid>
      <w:tr w:rsidR="0095278F" w14:paraId="5126BB7C" w14:textId="77777777" w:rsidTr="00E07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</w:tcPr>
          <w:p w14:paraId="0FC3447A" w14:textId="6701B194" w:rsidR="0095278F" w:rsidRPr="0095278F" w:rsidRDefault="0095278F" w:rsidP="00E076E2">
            <w:pPr>
              <w:spacing w:line="276" w:lineRule="auto"/>
              <w:jc w:val="center"/>
              <w:rPr>
                <w:bCs w:val="0"/>
                <w:sz w:val="28"/>
                <w:szCs w:val="28"/>
                <w:u w:val="single"/>
              </w:rPr>
            </w:pPr>
            <w:r w:rsidRPr="00E076E2">
              <w:rPr>
                <w:rFonts w:ascii="Proxima Nova" w:eastAsia="Proxima Nova" w:hAnsi="Proxima Nova" w:cs="Proxima Nova"/>
                <w:bCs w:val="0"/>
                <w:sz w:val="20"/>
                <w:szCs w:val="20"/>
              </w:rPr>
              <w:t>C</w:t>
            </w:r>
            <w:r w:rsidRPr="00E076E2">
              <w:rPr>
                <w:rFonts w:ascii="Proxima Nova" w:eastAsia="Proxima Nova" w:hAnsi="Proxima Nova" w:cs="Proxima Nova"/>
                <w:bCs w:val="0"/>
                <w:sz w:val="20"/>
                <w:szCs w:val="20"/>
              </w:rPr>
              <w:t>ONDO’S</w:t>
            </w:r>
            <w:r w:rsidRPr="00E076E2">
              <w:rPr>
                <w:rFonts w:ascii="Proxima Nova" w:eastAsia="Proxima Nova" w:hAnsi="Proxima Nova" w:cs="Proxima Nova"/>
                <w:bCs w:val="0"/>
                <w:sz w:val="20"/>
                <w:szCs w:val="20"/>
              </w:rPr>
              <w:t xml:space="preserve"> V</w:t>
            </w:r>
            <w:r w:rsidRPr="00E076E2">
              <w:rPr>
                <w:rFonts w:ascii="Proxima Nova" w:eastAsia="Proxima Nova" w:hAnsi="Proxima Nova" w:cs="Proxima Nova"/>
                <w:bCs w:val="0"/>
                <w:sz w:val="20"/>
                <w:szCs w:val="20"/>
              </w:rPr>
              <w:t>S</w:t>
            </w:r>
            <w:r w:rsidRPr="00E076E2">
              <w:rPr>
                <w:rFonts w:ascii="Proxima Nova" w:eastAsia="Proxima Nova" w:hAnsi="Proxima Nova" w:cs="Proxima Nova"/>
                <w:bCs w:val="0"/>
                <w:sz w:val="20"/>
                <w:szCs w:val="20"/>
              </w:rPr>
              <w:t xml:space="preserve">. </w:t>
            </w:r>
            <w:r w:rsidRPr="00E076E2">
              <w:rPr>
                <w:rFonts w:ascii="Proxima Nova" w:eastAsia="Proxima Nova" w:hAnsi="Proxima Nova" w:cs="Proxima Nova"/>
                <w:bCs w:val="0"/>
                <w:sz w:val="20"/>
                <w:szCs w:val="20"/>
              </w:rPr>
              <w:t>CO-OP’S</w:t>
            </w:r>
            <w:r w:rsidRPr="00E076E2">
              <w:rPr>
                <w:rFonts w:ascii="Proxima Nova" w:eastAsia="Proxima Nova" w:hAnsi="Proxima Nova" w:cs="Proxima Nova"/>
                <w:bCs w:val="0"/>
                <w:sz w:val="20"/>
                <w:szCs w:val="20"/>
              </w:rPr>
              <w:t>: Q</w:t>
            </w:r>
            <w:r w:rsidRPr="00E076E2">
              <w:rPr>
                <w:rFonts w:ascii="Proxima Nova" w:eastAsia="Proxima Nova" w:hAnsi="Proxima Nova" w:cs="Proxima Nova"/>
                <w:bCs w:val="0"/>
                <w:sz w:val="20"/>
                <w:szCs w:val="20"/>
              </w:rPr>
              <w:t>UICK SUMMARY</w:t>
            </w:r>
          </w:p>
        </w:tc>
      </w:tr>
      <w:tr w:rsidR="0095278F" w14:paraId="1CEAEA38" w14:textId="77777777" w:rsidTr="00E07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tcBorders>
              <w:bottom w:val="single" w:sz="4" w:space="0" w:color="auto"/>
            </w:tcBorders>
          </w:tcPr>
          <w:p w14:paraId="55F3629B" w14:textId="79FEF820" w:rsidR="0095278F" w:rsidRPr="0095278F" w:rsidRDefault="0095278F" w:rsidP="00E076E2">
            <w:pPr>
              <w:spacing w:line="276" w:lineRule="auto"/>
              <w:jc w:val="center"/>
              <w:rPr>
                <w:bCs w:val="0"/>
              </w:rPr>
            </w:pPr>
            <w:r w:rsidRPr="0095278F">
              <w:rPr>
                <w:rFonts w:ascii="Proxima Nova" w:eastAsia="Proxima Nova" w:hAnsi="Proxima Nova" w:cs="Proxima Nova"/>
                <w:bCs w:val="0"/>
                <w:sz w:val="20"/>
                <w:szCs w:val="20"/>
              </w:rPr>
              <w:t>C</w:t>
            </w:r>
            <w:r>
              <w:rPr>
                <w:rFonts w:ascii="Proxima Nova" w:eastAsia="Proxima Nova" w:hAnsi="Proxima Nova" w:cs="Proxima Nova"/>
                <w:bCs w:val="0"/>
                <w:sz w:val="20"/>
                <w:szCs w:val="20"/>
              </w:rPr>
              <w:t>ONDO’S</w:t>
            </w:r>
          </w:p>
        </w:tc>
        <w:tc>
          <w:tcPr>
            <w:tcW w:w="5070" w:type="dxa"/>
            <w:tcBorders>
              <w:bottom w:val="single" w:sz="4" w:space="0" w:color="auto"/>
            </w:tcBorders>
          </w:tcPr>
          <w:p w14:paraId="751AB6FC" w14:textId="74447F83" w:rsidR="0095278F" w:rsidRPr="00CC5837" w:rsidRDefault="0095278F" w:rsidP="00E076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5278F">
              <w:rPr>
                <w:rFonts w:ascii="Proxima Nova" w:eastAsia="Proxima Nova" w:hAnsi="Proxima Nova" w:cs="Proxima Nova"/>
                <w:b/>
                <w:bCs/>
                <w:sz w:val="20"/>
                <w:szCs w:val="20"/>
              </w:rPr>
              <w:t>C</w:t>
            </w:r>
            <w:r>
              <w:rPr>
                <w:rFonts w:ascii="Proxima Nova" w:eastAsia="Proxima Nova" w:hAnsi="Proxima Nova" w:cs="Proxima Nova"/>
                <w:b/>
                <w:bCs/>
                <w:sz w:val="20"/>
                <w:szCs w:val="20"/>
              </w:rPr>
              <w:t>O-OP’S</w:t>
            </w:r>
          </w:p>
        </w:tc>
      </w:tr>
      <w:tr w:rsidR="0095278F" w14:paraId="6D110B69" w14:textId="77777777" w:rsidTr="00E076E2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25CE" w14:textId="77777777" w:rsidR="0095278F" w:rsidRPr="0095278F" w:rsidRDefault="0095278F" w:rsidP="00E076E2">
            <w:pPr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  <w:t>Purchasing real property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4A45" w14:textId="77777777" w:rsidR="0095278F" w:rsidRPr="0095278F" w:rsidRDefault="0095278F" w:rsidP="00E0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sz w:val="20"/>
                <w:szCs w:val="20"/>
              </w:rPr>
              <w:t>Purchasing shares in a corporation</w:t>
            </w:r>
          </w:p>
        </w:tc>
      </w:tr>
      <w:tr w:rsidR="0095278F" w14:paraId="79B64598" w14:textId="77777777" w:rsidTr="00E07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ACE3" w14:textId="77777777" w:rsidR="0095278F" w:rsidRPr="0095278F" w:rsidRDefault="0095278F" w:rsidP="00E076E2">
            <w:pPr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  <w:t>Some will have a board package and application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501E" w14:textId="77777777" w:rsidR="0095278F" w:rsidRPr="0095278F" w:rsidRDefault="0095278F" w:rsidP="00E07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sz w:val="20"/>
                <w:szCs w:val="20"/>
              </w:rPr>
              <w:t>Most will have a board package and application</w:t>
            </w:r>
          </w:p>
        </w:tc>
      </w:tr>
      <w:tr w:rsidR="0095278F" w14:paraId="5D8BE010" w14:textId="77777777" w:rsidTr="00E076E2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C8FC" w14:textId="77777777" w:rsidR="0095278F" w:rsidRPr="0095278F" w:rsidRDefault="0095278F" w:rsidP="00E076E2">
            <w:pPr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  <w:t>No board interview required in most buildings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539F" w14:textId="77777777" w:rsidR="0095278F" w:rsidRPr="0095278F" w:rsidRDefault="0095278F" w:rsidP="00E0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sz w:val="20"/>
                <w:szCs w:val="20"/>
              </w:rPr>
              <w:t>Typically requires a board interview</w:t>
            </w:r>
          </w:p>
        </w:tc>
      </w:tr>
      <w:tr w:rsidR="0095278F" w14:paraId="538AA1A1" w14:textId="77777777" w:rsidTr="00E07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B5D4" w14:textId="77777777" w:rsidR="0095278F" w:rsidRPr="0095278F" w:rsidRDefault="0095278F" w:rsidP="00E076E2">
            <w:pPr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  <w:t>Can’t reject a buyer – instead the board has the right of first refusal to purchase the apartment (very rarely used)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7510" w14:textId="77777777" w:rsidR="0095278F" w:rsidRPr="0095278F" w:rsidRDefault="0095278F" w:rsidP="00E07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sz w:val="20"/>
                <w:szCs w:val="20"/>
              </w:rPr>
              <w:t>Can reject buyers for any reason and are not required to disclose why a buyer has been rejected</w:t>
            </w:r>
          </w:p>
        </w:tc>
      </w:tr>
      <w:tr w:rsidR="0095278F" w14:paraId="26A0C2EB" w14:textId="77777777" w:rsidTr="00E076E2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8DE2" w14:textId="77777777" w:rsidR="0095278F" w:rsidRPr="0095278F" w:rsidRDefault="0095278F" w:rsidP="00E076E2">
            <w:pPr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  <w:t xml:space="preserve">10% minimum down payment in most cases  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DC44" w14:textId="77777777" w:rsidR="0095278F" w:rsidRPr="0095278F" w:rsidRDefault="0095278F" w:rsidP="00E0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sz w:val="20"/>
                <w:szCs w:val="20"/>
              </w:rPr>
              <w:t>20% minimum down payment is typical, though many buildings require much more</w:t>
            </w:r>
          </w:p>
        </w:tc>
      </w:tr>
      <w:tr w:rsidR="0095278F" w14:paraId="301BC89D" w14:textId="77777777" w:rsidTr="00E07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7D47" w14:textId="77777777" w:rsidR="0095278F" w:rsidRPr="0095278F" w:rsidRDefault="0095278F" w:rsidP="00E076E2">
            <w:pPr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  <w:t>Financial Requirements – If you have the cash to purchase outright or can get a bank to a approve a loan- the building will not be able to reject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058" w14:textId="77777777" w:rsidR="0095278F" w:rsidRPr="0095278F" w:rsidRDefault="0095278F" w:rsidP="00E07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sz w:val="20"/>
                <w:szCs w:val="20"/>
              </w:rPr>
              <w:t>Financial Requirements – Most co-op boards will look for a 25-28% maximum debt to income ratio (which includes the maintenance and mortgage on the apartment under consideration). Additionally, most co-op boards will seek the buyer to have 2 years’ worth of post-closing liquidity (cash or cash equivalents after the down payment and closing costs). Some buildings will be far more liberal and others will be far more conservative with these requirements</w:t>
            </w:r>
          </w:p>
        </w:tc>
      </w:tr>
      <w:tr w:rsidR="0095278F" w14:paraId="06094C69" w14:textId="77777777" w:rsidTr="00E076E2">
        <w:trPr>
          <w:trHeight w:val="1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EC54" w14:textId="77777777" w:rsidR="0095278F" w:rsidRPr="0095278F" w:rsidRDefault="0095278F" w:rsidP="00E076E2">
            <w:pPr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  <w:t xml:space="preserve">Monthlies – Common Charges (which is for building maintenance) and a separate charge for property taxes. 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1C52" w14:textId="77777777" w:rsidR="0095278F" w:rsidRPr="0095278F" w:rsidRDefault="0095278F" w:rsidP="00E0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sz w:val="20"/>
                <w:szCs w:val="20"/>
              </w:rPr>
              <w:t>Monthlies – Maintenance (which includes both the cost to maintain common areas of the building as well as property taxes); a portion of the maintenance can be tax deductible for the property taxes and building mortgage (if one exists)</w:t>
            </w:r>
          </w:p>
        </w:tc>
      </w:tr>
      <w:tr w:rsidR="0095278F" w14:paraId="5A731906" w14:textId="77777777" w:rsidTr="00E07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0AB9" w14:textId="77777777" w:rsidR="0095278F" w:rsidRPr="0095278F" w:rsidRDefault="0095278F" w:rsidP="00E076E2">
            <w:pPr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  <w:t>Subletting – In most cases an owner can sublet without term restrictions; Fees may apply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25FB" w14:textId="77777777" w:rsidR="0095278F" w:rsidRPr="0095278F" w:rsidRDefault="0095278F" w:rsidP="00E07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sz w:val="20"/>
                <w:szCs w:val="20"/>
              </w:rPr>
              <w:t>Subletting – In most cases the building will restrict subletting; the most common policy is sublets are permitted 2 or 3 years out of every 5 years. Some buildings will be far more liberal and others will be far more conservative; Fees may apply</w:t>
            </w:r>
          </w:p>
        </w:tc>
      </w:tr>
      <w:tr w:rsidR="0095278F" w14:paraId="3FDDC238" w14:textId="77777777" w:rsidTr="00E076E2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EB5A" w14:textId="77777777" w:rsidR="0095278F" w:rsidRPr="0095278F" w:rsidRDefault="0095278F" w:rsidP="00E076E2">
            <w:pPr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  <w:t>Pied-a-terre – In most cases an owner can use the apartment as a Pied a Terre without restriction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8BF4" w14:textId="77777777" w:rsidR="0095278F" w:rsidRPr="0095278F" w:rsidRDefault="0095278F" w:rsidP="00E0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sz w:val="20"/>
                <w:szCs w:val="20"/>
              </w:rPr>
              <w:t>Pied-a-terre – board policies will vary though many will lean toward using the apartment as a primary residence</w:t>
            </w:r>
          </w:p>
        </w:tc>
      </w:tr>
      <w:tr w:rsidR="0095278F" w14:paraId="6817B8C0" w14:textId="77777777" w:rsidTr="00E07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A91F" w14:textId="77777777" w:rsidR="0095278F" w:rsidRPr="0095278F" w:rsidRDefault="0095278F" w:rsidP="00E076E2">
            <w:pPr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  <w:t>Non U.S. Citizens or Assets not primarily in the U.S. – Easier purchase since the board can’t deny an application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EEBE" w14:textId="77777777" w:rsidR="0095278F" w:rsidRPr="0095278F" w:rsidRDefault="0095278F" w:rsidP="00E07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sz w:val="20"/>
                <w:szCs w:val="20"/>
              </w:rPr>
              <w:t>Non U.S. Citizens or Assets not primarily in the U.S. – Some buildings will permit non U.S. Citizens to purchase though many will not</w:t>
            </w:r>
          </w:p>
        </w:tc>
      </w:tr>
      <w:tr w:rsidR="0095278F" w14:paraId="18A07479" w14:textId="77777777" w:rsidTr="00E076E2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793C2" w14:textId="77777777" w:rsidR="0095278F" w:rsidRPr="0095278F" w:rsidRDefault="0095278F" w:rsidP="00E076E2">
            <w:pPr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  <w:t>Owner Occupancy- Since condos rarely have restrictions on subletting, the level of owner tends to be a lower percentage than co-op’s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7CE7" w14:textId="77777777" w:rsidR="0095278F" w:rsidRPr="0095278F" w:rsidRDefault="0095278F" w:rsidP="00E0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sz w:val="20"/>
                <w:szCs w:val="20"/>
              </w:rPr>
              <w:t>Owner Occupancy- Since co-op’s tend to be more restrictions on subletting, the residents tend to mostly be other owners.</w:t>
            </w:r>
          </w:p>
        </w:tc>
      </w:tr>
      <w:tr w:rsidR="0095278F" w14:paraId="48557506" w14:textId="77777777" w:rsidTr="00E07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1588" w14:textId="77777777" w:rsidR="0095278F" w:rsidRPr="0095278F" w:rsidRDefault="0095278F" w:rsidP="00E076E2">
            <w:pPr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b w:val="0"/>
                <w:bCs w:val="0"/>
                <w:sz w:val="20"/>
                <w:szCs w:val="20"/>
              </w:rPr>
              <w:t>Sales Price: Since there is greater flexibility in most condo’s – Prices tend to be significantly higher – typically ranging from 15-30% higher than a comparable co-op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D87F" w14:textId="77777777" w:rsidR="0095278F" w:rsidRPr="0095278F" w:rsidRDefault="0095278F" w:rsidP="00E07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95278F">
              <w:rPr>
                <w:rFonts w:ascii="Proxima Nova" w:eastAsia="Proxima Nova" w:hAnsi="Proxima Nova" w:cs="Proxima Nova"/>
                <w:sz w:val="20"/>
                <w:szCs w:val="20"/>
              </w:rPr>
              <w:t>Sales Price: Since many co-op’s have greater restrictions – Prices tend to be significantly lower than co-op’s. If a co-op has very liberal policies, this will impact pricing moving toward condo level prices</w:t>
            </w:r>
          </w:p>
        </w:tc>
      </w:tr>
    </w:tbl>
    <w:p w14:paraId="35A633C1" w14:textId="77777777" w:rsidR="002E2758" w:rsidRDefault="002E2758">
      <w:pPr>
        <w:spacing w:line="276" w:lineRule="auto"/>
        <w:jc w:val="both"/>
        <w:rPr>
          <w:rFonts w:ascii="Proxima Nova" w:eastAsia="Proxima Nova" w:hAnsi="Proxima Nova" w:cs="Proxima Nova"/>
          <w:color w:val="434343"/>
          <w:sz w:val="20"/>
          <w:szCs w:val="20"/>
        </w:rPr>
      </w:pPr>
    </w:p>
    <w:sectPr w:rsidR="002E275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9E121" w14:textId="77777777" w:rsidR="0075438B" w:rsidRDefault="0075438B">
      <w:r>
        <w:separator/>
      </w:r>
    </w:p>
  </w:endnote>
  <w:endnote w:type="continuationSeparator" w:id="0">
    <w:p w14:paraId="7F54BB61" w14:textId="77777777" w:rsidR="0075438B" w:rsidRDefault="0075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altName w:val="Tahoma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9086A" w14:textId="77777777" w:rsidR="00892F9E" w:rsidRDefault="00892F9E">
    <w:pPr>
      <w:pStyle w:val="Subtitle"/>
      <w:keepNext w:val="0"/>
      <w:keepLines w:val="0"/>
      <w:pBdr>
        <w:top w:val="nil"/>
        <w:left w:val="nil"/>
        <w:bottom w:val="nil"/>
        <w:right w:val="nil"/>
        <w:between w:val="nil"/>
      </w:pBdr>
      <w:spacing w:before="0" w:after="0"/>
      <w:rPr>
        <w:rFonts w:ascii="Proxima Nova" w:eastAsia="Proxima Nova" w:hAnsi="Proxima Nova" w:cs="Proxima Nova"/>
        <w:i w:val="0"/>
        <w:color w:val="000000"/>
        <w:sz w:val="16"/>
        <w:szCs w:val="16"/>
      </w:rPr>
    </w:pPr>
    <w:bookmarkStart w:id="0" w:name="_4onflj9gh3o2" w:colFirst="0" w:colLast="0"/>
    <w:bookmarkEnd w:id="0"/>
  </w:p>
  <w:tbl>
    <w:tblPr>
      <w:tblStyle w:val="a0"/>
      <w:tblW w:w="10200" w:type="dxa"/>
      <w:tblLayout w:type="fixed"/>
      <w:tblLook w:val="0600" w:firstRow="0" w:lastRow="0" w:firstColumn="0" w:lastColumn="0" w:noHBand="1" w:noVBand="1"/>
    </w:tblPr>
    <w:tblGrid>
      <w:gridCol w:w="7800"/>
      <w:gridCol w:w="2400"/>
    </w:tblGrid>
    <w:tr w:rsidR="00892F9E" w14:paraId="31373046" w14:textId="77777777">
      <w:tc>
        <w:tcPr>
          <w:tcW w:w="780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C5C32AA" w14:textId="77777777" w:rsidR="00892F9E" w:rsidRDefault="00F77E1B">
          <w:pPr>
            <w:pStyle w:val="Subtitle"/>
            <w:keepNext w:val="0"/>
            <w:keepLines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Proxima Nova" w:eastAsia="Proxima Nova" w:hAnsi="Proxima Nova" w:cs="Proxima Nova"/>
              <w:i w:val="0"/>
              <w:color w:val="000000"/>
              <w:sz w:val="16"/>
              <w:szCs w:val="16"/>
            </w:rPr>
          </w:pPr>
          <w:bookmarkStart w:id="1" w:name="_j73lw2wlti4p" w:colFirst="0" w:colLast="0"/>
          <w:bookmarkEnd w:id="1"/>
          <w:proofErr w:type="spellStart"/>
          <w:r>
            <w:rPr>
              <w:rFonts w:ascii="Proxima Nova" w:eastAsia="Proxima Nova" w:hAnsi="Proxima Nova" w:cs="Proxima Nova"/>
              <w:b/>
              <w:i w:val="0"/>
              <w:color w:val="000000"/>
              <w:sz w:val="16"/>
              <w:szCs w:val="16"/>
            </w:rPr>
            <w:t>Elegran</w:t>
          </w:r>
          <w:proofErr w:type="spellEnd"/>
          <w:r>
            <w:rPr>
              <w:rFonts w:ascii="Proxima Nova" w:eastAsia="Proxima Nova" w:hAnsi="Proxima Nova" w:cs="Proxima Nova"/>
              <w:b/>
              <w:i w:val="0"/>
              <w:color w:val="000000"/>
              <w:sz w:val="16"/>
              <w:szCs w:val="16"/>
            </w:rPr>
            <w:t xml:space="preserve"> Real Estate  </w:t>
          </w:r>
          <w:r>
            <w:rPr>
              <w:rFonts w:ascii="Proxima Nova" w:eastAsia="Proxima Nova" w:hAnsi="Proxima Nova" w:cs="Proxima Nova"/>
              <w:i w:val="0"/>
              <w:color w:val="000000"/>
              <w:sz w:val="16"/>
              <w:szCs w:val="16"/>
            </w:rPr>
            <w:t>5 Bryant Park, 17th Fl, New York, NY 10018  | 212-729-5712 | elegran.com</w:t>
          </w:r>
        </w:p>
        <w:p w14:paraId="7EE4BC9F" w14:textId="628B07AF" w:rsidR="002E2758" w:rsidRPr="002E2758" w:rsidRDefault="002E2758" w:rsidP="002E275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Proxima Nova" w:eastAsia="Proxima Nova" w:hAnsi="Proxima Nova" w:cs="Proxima Nova"/>
              <w:color w:val="000000"/>
              <w:sz w:val="16"/>
              <w:szCs w:val="16"/>
            </w:rPr>
          </w:pPr>
          <w:bookmarkStart w:id="2" w:name="_Hlk59228449"/>
          <w:r w:rsidRPr="00C13264">
            <w:rPr>
              <w:rFonts w:ascii="Proxima Nova" w:eastAsia="Proxima Nova" w:hAnsi="Proxima Nova" w:cs="Proxima Nova"/>
              <w:color w:val="000000"/>
              <w:sz w:val="16"/>
              <w:szCs w:val="16"/>
            </w:rPr>
            <w:t>Adam Feinberg  |  914-261-9594  | afeinberg@elegran.com</w:t>
          </w:r>
          <w:bookmarkEnd w:id="2"/>
        </w:p>
      </w:tc>
      <w:tc>
        <w:tcPr>
          <w:tcW w:w="240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825122E" w14:textId="28BBD09B" w:rsidR="00892F9E" w:rsidRDefault="00F77E1B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Proxima Nova" w:eastAsia="Proxima Nova" w:hAnsi="Proxima Nova" w:cs="Proxima Nova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sz w:val="16"/>
              <w:szCs w:val="16"/>
            </w:rPr>
            <w:fldChar w:fldCharType="begin"/>
          </w:r>
          <w:r>
            <w:rPr>
              <w:rFonts w:ascii="Proxima Nova" w:eastAsia="Proxima Nova" w:hAnsi="Proxima Nova" w:cs="Proxima Nova"/>
              <w:sz w:val="16"/>
              <w:szCs w:val="16"/>
            </w:rPr>
            <w:instrText>PAGE</w:instrText>
          </w:r>
          <w:r>
            <w:rPr>
              <w:rFonts w:ascii="Proxima Nova" w:eastAsia="Proxima Nova" w:hAnsi="Proxima Nova" w:cs="Proxima Nova"/>
              <w:sz w:val="16"/>
              <w:szCs w:val="16"/>
            </w:rPr>
            <w:fldChar w:fldCharType="separate"/>
          </w:r>
          <w:r w:rsidR="005F6E36">
            <w:rPr>
              <w:rFonts w:ascii="Proxima Nova" w:eastAsia="Proxima Nova" w:hAnsi="Proxima Nova" w:cs="Proxima Nova"/>
              <w:noProof/>
              <w:sz w:val="16"/>
              <w:szCs w:val="16"/>
            </w:rPr>
            <w:t>2</w:t>
          </w:r>
          <w:r>
            <w:rPr>
              <w:rFonts w:ascii="Proxima Nova" w:eastAsia="Proxima Nova" w:hAnsi="Proxima Nova" w:cs="Proxima Nova"/>
              <w:sz w:val="16"/>
              <w:szCs w:val="16"/>
            </w:rPr>
            <w:fldChar w:fldCharType="end"/>
          </w:r>
        </w:p>
      </w:tc>
    </w:tr>
  </w:tbl>
  <w:p w14:paraId="2D43C4CC" w14:textId="77777777" w:rsidR="00892F9E" w:rsidRDefault="00892F9E">
    <w:pPr>
      <w:pBdr>
        <w:top w:val="nil"/>
        <w:left w:val="nil"/>
        <w:bottom w:val="nil"/>
        <w:right w:val="nil"/>
        <w:between w:val="nil"/>
      </w:pBdr>
      <w:jc w:val="center"/>
      <w:rPr>
        <w:rFonts w:ascii="Roboto" w:eastAsia="Roboto" w:hAnsi="Roboto" w:cs="Roboto"/>
        <w:sz w:val="20"/>
        <w:szCs w:val="20"/>
      </w:rPr>
    </w:pPr>
  </w:p>
  <w:p w14:paraId="1BE19802" w14:textId="77777777" w:rsidR="00892F9E" w:rsidRDefault="00892F9E">
    <w:pPr>
      <w:pBdr>
        <w:top w:val="nil"/>
        <w:left w:val="nil"/>
        <w:bottom w:val="nil"/>
        <w:right w:val="nil"/>
        <w:between w:val="nil"/>
      </w:pBdr>
      <w:jc w:val="center"/>
      <w:rPr>
        <w:rFonts w:ascii="Roboto" w:eastAsia="Roboto" w:hAnsi="Roboto" w:cs="Roboto"/>
        <w:color w:val="434343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6F6C2" w14:textId="6064EC5C" w:rsidR="00892F9E" w:rsidRDefault="005F6E36" w:rsidP="002E2758">
    <w:pPr>
      <w:spacing w:line="276" w:lineRule="auto"/>
      <w:rPr>
        <w:rFonts w:ascii="Proxima Nova" w:eastAsia="Proxima Nova" w:hAnsi="Proxima Nova" w:cs="Proxima Nova"/>
        <w:color w:val="000000"/>
        <w:sz w:val="16"/>
        <w:szCs w:val="16"/>
      </w:rPr>
    </w:pPr>
    <w:r w:rsidRPr="00F91176">
      <w:rPr>
        <w:rFonts w:ascii="Arial" w:hAnsi="Arial"/>
        <w:noProof/>
        <w:color w:val="948A54" w:themeColor="background2" w:themeShade="80"/>
        <w:sz w:val="20"/>
      </w:rPr>
      <w:drawing>
        <wp:anchor distT="0" distB="0" distL="114300" distR="114300" simplePos="0" relativeHeight="251662336" behindDoc="1" locked="0" layoutInCell="1" allowOverlap="1" wp14:anchorId="0A276C8A" wp14:editId="22D447D8">
          <wp:simplePos x="0" y="0"/>
          <wp:positionH relativeFrom="column">
            <wp:posOffset>6203950</wp:posOffset>
          </wp:positionH>
          <wp:positionV relativeFrom="paragraph">
            <wp:posOffset>7620</wp:posOffset>
          </wp:positionV>
          <wp:extent cx="495300" cy="528320"/>
          <wp:effectExtent l="0" t="0" r="0" b="5080"/>
          <wp:wrapTight wrapText="bothSides">
            <wp:wrapPolygon edited="0">
              <wp:start x="0" y="0"/>
              <wp:lineTo x="0" y="21029"/>
              <wp:lineTo x="20769" y="21029"/>
              <wp:lineTo x="20769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ir housing logo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528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1176">
      <w:rPr>
        <w:rFonts w:ascii="Arial" w:hAnsi="Arial"/>
        <w:noProof/>
        <w:color w:val="948A54" w:themeColor="background2" w:themeShade="80"/>
        <w:sz w:val="20"/>
      </w:rPr>
      <w:drawing>
        <wp:anchor distT="0" distB="0" distL="114300" distR="114300" simplePos="0" relativeHeight="251660288" behindDoc="1" locked="0" layoutInCell="1" allowOverlap="1" wp14:anchorId="56C391D3" wp14:editId="1592A330">
          <wp:simplePos x="0" y="0"/>
          <wp:positionH relativeFrom="column">
            <wp:posOffset>4953000</wp:posOffset>
          </wp:positionH>
          <wp:positionV relativeFrom="paragraph">
            <wp:posOffset>8890</wp:posOffset>
          </wp:positionV>
          <wp:extent cx="1101725" cy="525780"/>
          <wp:effectExtent l="0" t="0" r="3175" b="7620"/>
          <wp:wrapTight wrapText="bothSides">
            <wp:wrapPolygon edited="0">
              <wp:start x="0" y="0"/>
              <wp:lineTo x="0" y="21130"/>
              <wp:lineTo x="21289" y="21130"/>
              <wp:lineTo x="21289" y="0"/>
              <wp:lineTo x="0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ud Rebny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725" cy="525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3" w:name="_pd2nkhk7itfp" w:colFirst="0" w:colLast="0"/>
    <w:bookmarkEnd w:id="3"/>
    <w:r w:rsidR="002E2758" w:rsidRPr="00C13264">
      <w:rPr>
        <w:rFonts w:ascii="Proxima Nova" w:eastAsia="Proxima Nova" w:hAnsi="Proxima Nova" w:cs="Proxima Nova"/>
        <w:color w:val="000000"/>
        <w:sz w:val="16"/>
        <w:szCs w:val="16"/>
      </w:rPr>
      <w:t xml:space="preserve">Adam Feinberg  |  914-261-9594  | </w:t>
    </w:r>
    <w:hyperlink r:id="rId3" w:history="1">
      <w:r w:rsidR="002E2758" w:rsidRPr="00966D22">
        <w:rPr>
          <w:rStyle w:val="Hyperlink"/>
          <w:rFonts w:ascii="Proxima Nova" w:eastAsia="Proxima Nova" w:hAnsi="Proxima Nova" w:cs="Proxima Nova"/>
          <w:sz w:val="16"/>
          <w:szCs w:val="16"/>
        </w:rPr>
        <w:t>afeinberg@elegran.com</w:t>
      </w:r>
    </w:hyperlink>
  </w:p>
  <w:p w14:paraId="68515E2B" w14:textId="1ACC7811" w:rsidR="002E2758" w:rsidRDefault="002E2758" w:rsidP="002E2758">
    <w:pPr>
      <w:spacing w:line="276" w:lineRule="auto"/>
      <w:rPr>
        <w:rFonts w:ascii="Proxima Nova" w:eastAsia="Proxima Nova" w:hAnsi="Proxima Nova" w:cs="Proxima Nova"/>
        <w:b/>
        <w:sz w:val="20"/>
        <w:szCs w:val="20"/>
      </w:rPr>
    </w:pPr>
  </w:p>
  <w:p w14:paraId="3126D435" w14:textId="77777777" w:rsidR="002E2758" w:rsidRPr="002E2758" w:rsidRDefault="002E2758" w:rsidP="002E2758">
    <w:pPr>
      <w:spacing w:line="276" w:lineRule="auto"/>
      <w:rPr>
        <w:rFonts w:ascii="Proxima Nova" w:eastAsia="Proxima Nova" w:hAnsi="Proxima Nova" w:cs="Proxima Nov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DDBBF" w14:textId="77777777" w:rsidR="0075438B" w:rsidRDefault="0075438B">
      <w:r>
        <w:separator/>
      </w:r>
    </w:p>
  </w:footnote>
  <w:footnote w:type="continuationSeparator" w:id="0">
    <w:p w14:paraId="5C8B4066" w14:textId="77777777" w:rsidR="0075438B" w:rsidRDefault="00754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7BEFE" w14:textId="77777777" w:rsidR="00892F9E" w:rsidRDefault="00892F9E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  <w:color w:val="434343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6B142" w14:textId="77777777" w:rsidR="00892F9E" w:rsidRDefault="00892F9E">
    <w:pPr>
      <w:rPr>
        <w:rFonts w:ascii="Proxima Nova" w:eastAsia="Proxima Nova" w:hAnsi="Proxima Nova" w:cs="Proxima Nova"/>
        <w:b/>
        <w:color w:val="434343"/>
        <w:sz w:val="12"/>
        <w:szCs w:val="12"/>
      </w:rPr>
    </w:pPr>
  </w:p>
  <w:p w14:paraId="023AFDDB" w14:textId="77777777" w:rsidR="00892F9E" w:rsidRDefault="00892F9E">
    <w:pPr>
      <w:spacing w:line="276" w:lineRule="auto"/>
      <w:ind w:right="-75"/>
      <w:rPr>
        <w:rFonts w:ascii="Helvetica Neue" w:eastAsia="Helvetica Neue" w:hAnsi="Helvetica Neue" w:cs="Helvetica Neue"/>
        <w:b/>
        <w:sz w:val="16"/>
        <w:szCs w:val="16"/>
      </w:rPr>
    </w:pPr>
  </w:p>
  <w:p w14:paraId="2C297BF9" w14:textId="77777777" w:rsidR="00892F9E" w:rsidRDefault="00892F9E">
    <w:pPr>
      <w:spacing w:line="276" w:lineRule="auto"/>
      <w:ind w:right="-75"/>
      <w:rPr>
        <w:rFonts w:ascii="Helvetica Neue" w:eastAsia="Helvetica Neue" w:hAnsi="Helvetica Neue" w:cs="Helvetica Neue"/>
        <w:b/>
        <w:sz w:val="16"/>
        <w:szCs w:val="16"/>
      </w:rPr>
    </w:pPr>
  </w:p>
  <w:p w14:paraId="4E85C8E3" w14:textId="77777777" w:rsidR="00892F9E" w:rsidRDefault="00F77E1B">
    <w:pPr>
      <w:spacing w:line="276" w:lineRule="auto"/>
      <w:ind w:right="-75"/>
      <w:jc w:val="right"/>
      <w:rPr>
        <w:rFonts w:ascii="Proxima Nova" w:eastAsia="Proxima Nova" w:hAnsi="Proxima Nova" w:cs="Proxima Nova"/>
        <w:b/>
        <w:sz w:val="16"/>
        <w:szCs w:val="16"/>
      </w:rPr>
    </w:pPr>
    <w:proofErr w:type="spellStart"/>
    <w:r>
      <w:rPr>
        <w:rFonts w:ascii="Proxima Nova" w:eastAsia="Proxima Nova" w:hAnsi="Proxima Nova" w:cs="Proxima Nova"/>
        <w:b/>
        <w:sz w:val="16"/>
        <w:szCs w:val="16"/>
      </w:rPr>
      <w:t>Elegran</w:t>
    </w:r>
    <w:proofErr w:type="spellEnd"/>
    <w:r>
      <w:rPr>
        <w:rFonts w:ascii="Proxima Nova" w:eastAsia="Proxima Nova" w:hAnsi="Proxima Nova" w:cs="Proxima Nova"/>
        <w:b/>
        <w:sz w:val="16"/>
        <w:szCs w:val="16"/>
      </w:rPr>
      <w:t xml:space="preserve"> Real Estate           </w:t>
    </w:r>
  </w:p>
  <w:p w14:paraId="7D789D9A" w14:textId="77777777" w:rsidR="00892F9E" w:rsidRDefault="00F77E1B">
    <w:pPr>
      <w:spacing w:line="276" w:lineRule="auto"/>
      <w:ind w:right="-75" w:firstLine="90"/>
      <w:jc w:val="right"/>
      <w:rPr>
        <w:rFonts w:ascii="Proxima Nova" w:eastAsia="Proxima Nova" w:hAnsi="Proxima Nova" w:cs="Proxima Nova"/>
        <w:sz w:val="16"/>
        <w:szCs w:val="16"/>
      </w:rPr>
    </w:pPr>
    <w:r>
      <w:rPr>
        <w:rFonts w:ascii="Proxima Nova" w:eastAsia="Proxima Nova" w:hAnsi="Proxima Nova" w:cs="Proxima Nova"/>
        <w:sz w:val="16"/>
        <w:szCs w:val="16"/>
      </w:rPr>
      <w:t>5 Bryant Park, 17th Fl, New York, NY 10018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502E6A9" wp14:editId="3B57C02E">
          <wp:simplePos x="0" y="0"/>
          <wp:positionH relativeFrom="column">
            <wp:posOffset>-85724</wp:posOffset>
          </wp:positionH>
          <wp:positionV relativeFrom="paragraph">
            <wp:posOffset>85725</wp:posOffset>
          </wp:positionV>
          <wp:extent cx="1400175" cy="19050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8378" b="28378"/>
                  <a:stretch>
                    <a:fillRect/>
                  </a:stretch>
                </pic:blipFill>
                <pic:spPr>
                  <a:xfrm>
                    <a:off x="0" y="0"/>
                    <a:ext cx="140017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4327CA" w14:textId="77777777" w:rsidR="00892F9E" w:rsidRDefault="00F77E1B">
    <w:pPr>
      <w:spacing w:line="276" w:lineRule="auto"/>
      <w:ind w:right="-75" w:firstLine="90"/>
      <w:jc w:val="right"/>
      <w:rPr>
        <w:rFonts w:ascii="Proxima Nova" w:eastAsia="Proxima Nova" w:hAnsi="Proxima Nova" w:cs="Proxima Nova"/>
        <w:sz w:val="16"/>
        <w:szCs w:val="16"/>
      </w:rPr>
    </w:pPr>
    <w:r>
      <w:rPr>
        <w:rFonts w:ascii="Proxima Nova" w:eastAsia="Proxima Nova" w:hAnsi="Proxima Nova" w:cs="Proxima Nova"/>
        <w:sz w:val="16"/>
        <w:szCs w:val="16"/>
      </w:rPr>
      <w:t>212-729-5712 | elegran.com</w:t>
    </w:r>
  </w:p>
  <w:p w14:paraId="065A3A31" w14:textId="77777777" w:rsidR="00892F9E" w:rsidRDefault="00892F9E">
    <w:pPr>
      <w:rPr>
        <w:rFonts w:ascii="Helvetica Neue" w:eastAsia="Helvetica Neue" w:hAnsi="Helvetica Neue" w:cs="Helvetica Neue"/>
      </w:rPr>
    </w:pPr>
  </w:p>
  <w:tbl>
    <w:tblPr>
      <w:tblStyle w:val="a"/>
      <w:tblW w:w="1890" w:type="dxa"/>
      <w:tblInd w:w="836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90"/>
    </w:tblGrid>
    <w:tr w:rsidR="00892F9E" w14:paraId="4A2F6407" w14:textId="77777777">
      <w:trPr>
        <w:trHeight w:val="160"/>
      </w:trPr>
      <w:tc>
        <w:tcPr>
          <w:tcW w:w="1890" w:type="dxa"/>
          <w:tcBorders>
            <w:top w:val="single" w:sz="36" w:space="0" w:color="000000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771A0E" w14:textId="77777777" w:rsidR="00892F9E" w:rsidRDefault="00892F9E">
          <w:pPr>
            <w:rPr>
              <w:rFonts w:ascii="Helvetica Neue" w:eastAsia="Helvetica Neue" w:hAnsi="Helvetica Neue" w:cs="Helvetica Neue"/>
              <w:sz w:val="16"/>
              <w:szCs w:val="16"/>
            </w:rPr>
          </w:pPr>
        </w:p>
      </w:tc>
    </w:tr>
  </w:tbl>
  <w:p w14:paraId="171D2B53" w14:textId="77777777" w:rsidR="00892F9E" w:rsidRDefault="00892F9E">
    <w:pPr>
      <w:rPr>
        <w:rFonts w:ascii="Helvetica Neue" w:eastAsia="Helvetica Neue" w:hAnsi="Helvetica Neue" w:cs="Helvetica Neue"/>
        <w:b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F9E"/>
    <w:rsid w:val="0014681E"/>
    <w:rsid w:val="002E2758"/>
    <w:rsid w:val="003813FC"/>
    <w:rsid w:val="004E2FE4"/>
    <w:rsid w:val="005F6E36"/>
    <w:rsid w:val="0075438B"/>
    <w:rsid w:val="00892F9E"/>
    <w:rsid w:val="0095278F"/>
    <w:rsid w:val="00A00938"/>
    <w:rsid w:val="00D7646A"/>
    <w:rsid w:val="00E076E2"/>
    <w:rsid w:val="00F00A92"/>
    <w:rsid w:val="00F7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D27C3"/>
  <w15:docId w15:val="{D8F607B5-E8C4-4B9D-B92C-4733A5D6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 Black" w:eastAsia="Arial Black" w:hAnsi="Arial Black" w:cs="Arial Black"/>
      <w:color w:val="000000"/>
      <w:sz w:val="32"/>
      <w:szCs w:val="32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1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3FC"/>
  </w:style>
  <w:style w:type="paragraph" w:styleId="Footer">
    <w:name w:val="footer"/>
    <w:basedOn w:val="Normal"/>
    <w:link w:val="FooterChar"/>
    <w:uiPriority w:val="99"/>
    <w:unhideWhenUsed/>
    <w:rsid w:val="00381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3FC"/>
  </w:style>
  <w:style w:type="character" w:styleId="Hyperlink">
    <w:name w:val="Hyperlink"/>
    <w:basedOn w:val="DefaultParagraphFont"/>
    <w:uiPriority w:val="99"/>
    <w:unhideWhenUsed/>
    <w:rsid w:val="005F6E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E36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95278F"/>
    <w:pPr>
      <w:widowControl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076E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afeinberg@elegran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766CE-F361-4C48-8FD8-3E50C38D8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Feinberg</cp:lastModifiedBy>
  <cp:revision>3</cp:revision>
  <dcterms:created xsi:type="dcterms:W3CDTF">2020-12-19T18:37:00Z</dcterms:created>
  <dcterms:modified xsi:type="dcterms:W3CDTF">2020-12-19T18:57:00Z</dcterms:modified>
</cp:coreProperties>
</file>