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1B3E69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  <w:bookmarkStart w:id="0" w:name="_GoBack"/>
      <w:bookmarkEnd w:id="0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229F6" wp14:editId="6410BE12">
                <wp:simplePos x="0" y="0"/>
                <wp:positionH relativeFrom="column">
                  <wp:posOffset>2457450</wp:posOffset>
                </wp:positionH>
                <wp:positionV relativeFrom="paragraph">
                  <wp:posOffset>197571</wp:posOffset>
                </wp:positionV>
                <wp:extent cx="3610030" cy="708263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30" cy="708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3E69" w:rsidRPr="001B3E69" w:rsidRDefault="001B3E69" w:rsidP="001B3E69">
                            <w:pPr>
                              <w:pStyle w:val="Kommentartext"/>
                              <w:tabs>
                                <w:tab w:val="center" w:pos="4819"/>
                                <w:tab w:val="right" w:pos="9071"/>
                              </w:tabs>
                              <w:spacing w:before="240"/>
                              <w:jc w:val="center"/>
                              <w:outlineLvl w:val="0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8"/>
                                <w:szCs w:val="72"/>
                                <w:lang w:val="de-DE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B3E69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48"/>
                                <w:szCs w:val="72"/>
                                <w:lang w:val="de-DE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Entwurf-20.05.19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229F6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93.5pt;margin-top:15.55pt;width:284.25pt;height:5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" filled="f" stroked="f">
                <v:textbox>
                  <w:txbxContent>
                    <w:p w:rsidR="001B3E69" w:rsidRPr="001B3E69" w:rsidRDefault="001B3E69" w:rsidP="001B3E69">
                      <w:pPr>
                        <w:pStyle w:val="Kommentartext"/>
                        <w:tabs>
                          <w:tab w:val="center" w:pos="4819"/>
                          <w:tab w:val="right" w:pos="9071"/>
                        </w:tabs>
                        <w:spacing w:before="240"/>
                        <w:jc w:val="center"/>
                        <w:outlineLvl w:val="0"/>
                        <w:rPr>
                          <w:b/>
                          <w:outline/>
                          <w:noProof/>
                          <w:color w:val="C0504D" w:themeColor="accent2"/>
                          <w:sz w:val="48"/>
                          <w:szCs w:val="72"/>
                          <w:lang w:val="de-DE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1B3E69">
                        <w:rPr>
                          <w:b/>
                          <w:outline/>
                          <w:noProof/>
                          <w:color w:val="C0504D" w:themeColor="accent2"/>
                          <w:sz w:val="48"/>
                          <w:szCs w:val="72"/>
                          <w:lang w:val="de-DE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Entwurf-20.05.19</w:t>
                      </w:r>
                    </w:p>
                  </w:txbxContent>
                </v:textbox>
              </v:shape>
            </w:pict>
          </mc:Fallback>
        </mc:AlternateContent>
      </w:r>
    </w:p>
    <w:p w:rsidR="00DE433A" w:rsidRDefault="00DE433A" w:rsidP="001E7EE0">
      <w:pPr>
        <w:tabs>
          <w:tab w:val="center" w:pos="4819"/>
          <w:tab w:val="right" w:pos="9071"/>
        </w:tabs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p w:rsidR="00E30873" w:rsidRDefault="00E30873" w:rsidP="00E30873">
      <w:pPr>
        <w:tabs>
          <w:tab w:val="center" w:pos="4819"/>
          <w:tab w:val="right" w:pos="9071"/>
        </w:tabs>
        <w:spacing w:before="1100"/>
        <w:jc w:val="left"/>
        <w:sectPr w:rsidR="00E3087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E30873" w:rsidRPr="0001398F" w:rsidTr="00690E1C">
        <w:trPr>
          <w:trHeight w:hRule="exact" w:val="1926"/>
        </w:trPr>
        <w:tc>
          <w:tcPr>
            <w:tcW w:w="4820" w:type="dxa"/>
          </w:tcPr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lastRenderedPageBreak/>
              <w:t>Bundesamt für Strassen (ASTRA)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Filiale Zofingen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Herr Hanspeter Hofmann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Brühlstrasse 3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</w:pPr>
            <w:r w:rsidRPr="0001398F">
              <w:rPr>
                <w:szCs w:val="22"/>
              </w:rPr>
              <w:t>4800 Zofingen</w:t>
            </w:r>
          </w:p>
        </w:tc>
      </w:tr>
    </w:tbl>
    <w:p w:rsidR="00E30873" w:rsidRPr="0001398F" w:rsidRDefault="00E30873" w:rsidP="00E30873">
      <w:pPr>
        <w:tabs>
          <w:tab w:val="center" w:pos="4819"/>
          <w:tab w:val="right" w:pos="9071"/>
        </w:tabs>
        <w:jc w:val="left"/>
        <w:sectPr w:rsidR="00E30873" w:rsidRPr="0001398F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E30873" w:rsidRPr="0001398F" w:rsidRDefault="00E30873" w:rsidP="00E30873">
      <w:pPr>
        <w:tabs>
          <w:tab w:val="center" w:pos="4819"/>
          <w:tab w:val="right" w:pos="9071"/>
        </w:tabs>
        <w:jc w:val="left"/>
      </w:pPr>
    </w:p>
    <w:p w:rsidR="00E30873" w:rsidRPr="007456F4" w:rsidRDefault="00E30873" w:rsidP="00E30873">
      <w:pPr>
        <w:tabs>
          <w:tab w:val="center" w:pos="4819"/>
        </w:tabs>
        <w:spacing w:before="720"/>
        <w:jc w:val="left"/>
      </w:pPr>
      <w:r w:rsidRPr="007456F4">
        <w:t xml:space="preserve">Muttenz, </w:t>
      </w:r>
      <w:r w:rsidR="001276A0">
        <w:t>14.06</w:t>
      </w:r>
      <w:r w:rsidR="003C3899">
        <w:t>.201</w:t>
      </w:r>
      <w:r w:rsidR="001276A0">
        <w:t>9</w:t>
      </w:r>
      <w:r w:rsidR="0075176F">
        <w:t xml:space="preserve"> </w:t>
      </w:r>
      <w:r w:rsidR="00905AAB" w:rsidRPr="007456F4">
        <w:t>/</w:t>
      </w:r>
      <w:r w:rsidRPr="007456F4">
        <w:t xml:space="preserve"> </w:t>
      </w:r>
      <w:r w:rsidRPr="00F23453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SR"/>
            </w:textInput>
          </w:ffData>
        </w:fldChar>
      </w:r>
      <w:r w:rsidRPr="007456F4">
        <w:rPr>
          <w:szCs w:val="22"/>
        </w:rPr>
        <w:instrText xml:space="preserve"> FORMTEXT </w:instrText>
      </w:r>
      <w:r w:rsidRPr="00F23453">
        <w:rPr>
          <w:szCs w:val="22"/>
        </w:rPr>
      </w:r>
      <w:r w:rsidRPr="00F23453">
        <w:rPr>
          <w:szCs w:val="22"/>
        </w:rPr>
        <w:fldChar w:fldCharType="separate"/>
      </w:r>
      <w:r w:rsidR="005553CD">
        <w:rPr>
          <w:noProof/>
          <w:szCs w:val="22"/>
        </w:rPr>
        <w:t>SR</w:t>
      </w:r>
      <w:r w:rsidRPr="00F23453">
        <w:rPr>
          <w:szCs w:val="22"/>
        </w:rPr>
        <w:fldChar w:fldCharType="end"/>
      </w:r>
      <w:r w:rsidR="0075176F">
        <w:rPr>
          <w:szCs w:val="22"/>
        </w:rPr>
        <w:t>/cd</w:t>
      </w:r>
    </w:p>
    <w:p w:rsidR="00E30873" w:rsidRPr="007456F4" w:rsidRDefault="00E30873" w:rsidP="00E30873">
      <w:pPr>
        <w:spacing w:after="60"/>
        <w:rPr>
          <w:sz w:val="12"/>
          <w:szCs w:val="12"/>
        </w:rPr>
      </w:pPr>
      <w:r w:rsidRPr="00F23453">
        <w:rPr>
          <w:sz w:val="12"/>
          <w:szCs w:val="12"/>
        </w:rPr>
        <w:fldChar w:fldCharType="begin"/>
      </w:r>
      <w:r w:rsidRPr="007456F4">
        <w:rPr>
          <w:sz w:val="12"/>
          <w:szCs w:val="12"/>
        </w:rPr>
        <w:instrText xml:space="preserve"> FILENAME  \p  \* MERGEFORMAT </w:instrText>
      </w:r>
      <w:r w:rsidRPr="00F23453">
        <w:rPr>
          <w:sz w:val="12"/>
          <w:szCs w:val="12"/>
        </w:rPr>
        <w:fldChar w:fldCharType="separate"/>
      </w:r>
      <w:r w:rsidR="003B255F">
        <w:rPr>
          <w:noProof/>
          <w:sz w:val="12"/>
          <w:szCs w:val="12"/>
        </w:rPr>
        <w:t>P:\701323\02_VKJS\Offerten_NO\NO-11\20180517_NO11 V0.1.docx</w:t>
      </w:r>
      <w:r w:rsidRPr="00F23453">
        <w:rPr>
          <w:sz w:val="12"/>
          <w:szCs w:val="12"/>
        </w:rPr>
        <w:fldChar w:fldCharType="end"/>
      </w:r>
    </w:p>
    <w:p w:rsidR="00E30873" w:rsidRPr="007456F4" w:rsidRDefault="00E30873" w:rsidP="00E30873">
      <w:pPr>
        <w:spacing w:before="60" w:after="60"/>
      </w:pPr>
    </w:p>
    <w:p w:rsidR="00E30873" w:rsidRPr="00F23453" w:rsidRDefault="00E30873" w:rsidP="00EB55EB">
      <w:pPr>
        <w:spacing w:before="0" w:after="0"/>
        <w:jc w:val="left"/>
        <w:rPr>
          <w:b/>
        </w:rPr>
      </w:pPr>
      <w:r w:rsidRPr="00F23453">
        <w:rPr>
          <w:b/>
        </w:rPr>
        <w:t xml:space="preserve">N02, EP Sissach – Eptingen (SIEP), </w:t>
      </w:r>
    </w:p>
    <w:p w:rsidR="00E30873" w:rsidRPr="005A6343" w:rsidRDefault="0075176F" w:rsidP="00EB55EB">
      <w:pPr>
        <w:spacing w:before="0" w:after="0"/>
        <w:rPr>
          <w:b/>
        </w:rPr>
      </w:pPr>
      <w:r>
        <w:rPr>
          <w:b/>
        </w:rPr>
        <w:t>TP 1 Tunnel/Geotechnik und</w:t>
      </w:r>
      <w:r w:rsidR="00E30873" w:rsidRPr="00F23453">
        <w:rPr>
          <w:b/>
        </w:rPr>
        <w:t xml:space="preserve"> </w:t>
      </w:r>
      <w:r w:rsidR="00E30873" w:rsidRPr="005A6343">
        <w:rPr>
          <w:b/>
        </w:rPr>
        <w:t>TP2 Trasse/Umwelt, TP3 Kunstbauten</w:t>
      </w:r>
    </w:p>
    <w:p w:rsidR="00E30873" w:rsidRPr="00F23453" w:rsidRDefault="00BF5801" w:rsidP="00EB55EB">
      <w:pPr>
        <w:spacing w:before="0" w:after="0"/>
        <w:rPr>
          <w:b/>
        </w:rPr>
      </w:pPr>
      <w:r w:rsidRPr="005A6343">
        <w:rPr>
          <w:b/>
        </w:rPr>
        <w:t>NO</w:t>
      </w:r>
      <w:r w:rsidR="0075176F">
        <w:rPr>
          <w:b/>
        </w:rPr>
        <w:t>1</w:t>
      </w:r>
      <w:r w:rsidR="003B255F">
        <w:rPr>
          <w:b/>
        </w:rPr>
        <w:t>1</w:t>
      </w:r>
      <w:r w:rsidR="00E30873" w:rsidRPr="005A6343">
        <w:rPr>
          <w:b/>
        </w:rPr>
        <w:t xml:space="preserve">: </w:t>
      </w:r>
      <w:r w:rsidR="0075176F">
        <w:rPr>
          <w:b/>
        </w:rPr>
        <w:t>Phase Ausschreibung</w:t>
      </w:r>
      <w:r w:rsidR="003B255F">
        <w:rPr>
          <w:b/>
        </w:rPr>
        <w:t xml:space="preserve"> - Ergänzungen</w:t>
      </w:r>
    </w:p>
    <w:p w:rsidR="00E30873" w:rsidRPr="00F23453" w:rsidRDefault="00E30873" w:rsidP="00E30873">
      <w:pPr>
        <w:spacing w:before="60" w:after="60"/>
      </w:pPr>
    </w:p>
    <w:p w:rsidR="0075176F" w:rsidRDefault="0075176F" w:rsidP="0075176F">
      <w:pPr>
        <w:pStyle w:val="Kopfzeile"/>
        <w:spacing w:before="120"/>
        <w:outlineLvl w:val="0"/>
      </w:pPr>
      <w:r>
        <w:t>Sehr geehrter Herr Hofmann</w:t>
      </w:r>
      <w:r w:rsidR="001B3E69">
        <w:t>, lieber Hanspeter</w:t>
      </w:r>
    </w:p>
    <w:p w:rsidR="0075176F" w:rsidRDefault="0075176F" w:rsidP="0075176F">
      <w:pPr>
        <w:pStyle w:val="Kopfzeile"/>
        <w:spacing w:before="120"/>
        <w:outlineLvl w:val="0"/>
      </w:pPr>
      <w:r>
        <w:t>Anlässlich der Projektsitzung 4</w:t>
      </w:r>
      <w:r w:rsidR="003B255F">
        <w:t>8</w:t>
      </w:r>
      <w:r>
        <w:t>/201</w:t>
      </w:r>
      <w:r w:rsidR="003B255F">
        <w:t>9</w:t>
      </w:r>
      <w:r>
        <w:t xml:space="preserve"> vom </w:t>
      </w:r>
      <w:r w:rsidR="003B255F">
        <w:t>08.05.19</w:t>
      </w:r>
      <w:r>
        <w:t xml:space="preserve"> wurde festgelegt, dass aufgrund des erreichten Honorar- / Leistungsabrechnungsstand</w:t>
      </w:r>
      <w:r w:rsidR="00D73ADB">
        <w:t>es</w:t>
      </w:r>
      <w:r>
        <w:t xml:space="preserve"> ein Nachtrag für die Phase Ausschreibung einzureichen ist.</w:t>
      </w:r>
    </w:p>
    <w:p w:rsidR="0075176F" w:rsidRDefault="0075176F" w:rsidP="0075176F">
      <w:pPr>
        <w:pStyle w:val="Kopfzeile"/>
        <w:spacing w:before="120"/>
        <w:outlineLvl w:val="0"/>
      </w:pPr>
      <w:r>
        <w:t xml:space="preserve">Mit dem </w:t>
      </w:r>
      <w:r w:rsidR="00CE74BC">
        <w:t xml:space="preserve">Nachtrag geht es darum </w:t>
      </w:r>
      <w:r>
        <w:t xml:space="preserve">Mehraufwendungen, aber auch </w:t>
      </w:r>
      <w:r w:rsidR="007B4C2F">
        <w:t>Zusatz</w:t>
      </w:r>
      <w:r>
        <w:t>aufwendungen</w:t>
      </w:r>
      <w:r w:rsidR="00D73ADB">
        <w:t>,</w:t>
      </w:r>
      <w:r>
        <w:t xml:space="preserve"> bei einzelnen Ob</w:t>
      </w:r>
      <w:r w:rsidR="00CE74BC">
        <w:t>jekten / Fachthemen aufzuzeigen</w:t>
      </w:r>
      <w:r>
        <w:t>.</w:t>
      </w:r>
    </w:p>
    <w:p w:rsidR="0075176F" w:rsidRPr="00F23453" w:rsidRDefault="0075176F" w:rsidP="0075176F">
      <w:pPr>
        <w:pStyle w:val="Kopfzeile"/>
        <w:tabs>
          <w:tab w:val="clear" w:pos="9071"/>
        </w:tabs>
        <w:spacing w:before="120"/>
        <w:outlineLvl w:val="0"/>
      </w:pPr>
      <w:r>
        <w:t xml:space="preserve">Dieser Nachtrag </w:t>
      </w:r>
      <w:r w:rsidR="00CE74BC">
        <w:t>NO1</w:t>
      </w:r>
      <w:r w:rsidR="007B4C2F">
        <w:t>1</w:t>
      </w:r>
      <w:r w:rsidR="00CE74BC">
        <w:t xml:space="preserve"> </w:t>
      </w:r>
      <w:r>
        <w:t xml:space="preserve">beinhaltet alle drei TP's. Es werden grundsätzlich Leistungen beschrieben und diese dann am Schluss auf die TP's verteilt. Eine direkte TP-Zuteilung lässt sich bei der Phase Ausschreibung definitiv nicht erstellen, da die meisten Leistungen jeweils über die einzelnen TP's </w:t>
      </w:r>
      <w:r w:rsidR="001A1017">
        <w:t>hinaus</w:t>
      </w:r>
      <w:r>
        <w:t>gehen.</w:t>
      </w:r>
    </w:p>
    <w:p w:rsidR="008A2025" w:rsidRPr="00BE5E87" w:rsidRDefault="008A2025" w:rsidP="004B6A60">
      <w:pPr>
        <w:pStyle w:val="berschrift1"/>
      </w:pPr>
      <w:r w:rsidRPr="00BE5E87">
        <w:t>Grundlagen</w:t>
      </w:r>
    </w:p>
    <w:p w:rsidR="000E284F" w:rsidRDefault="00DB7DA5" w:rsidP="004B6A60">
      <w:pPr>
        <w:pStyle w:val="Listenabsatz"/>
        <w:numPr>
          <w:ilvl w:val="0"/>
          <w:numId w:val="4"/>
        </w:numPr>
        <w:ind w:left="567" w:hanging="567"/>
      </w:pPr>
      <w:r>
        <w:t>Protokoll PS 4</w:t>
      </w:r>
      <w:r w:rsidR="003B255F">
        <w:t>8</w:t>
      </w:r>
      <w:r w:rsidR="000E284F" w:rsidRPr="00BE5E87">
        <w:t>/201</w:t>
      </w:r>
      <w:r w:rsidR="003B255F">
        <w:t>9</w:t>
      </w:r>
      <w:r w:rsidR="007B4C2F">
        <w:t xml:space="preserve"> vom 08.05.2019</w:t>
      </w:r>
    </w:p>
    <w:p w:rsidR="001B3E69" w:rsidRPr="00BE5E87" w:rsidRDefault="001B3E69" w:rsidP="001B3E69">
      <w:pPr>
        <w:pStyle w:val="Listenabsatz"/>
        <w:numPr>
          <w:ilvl w:val="0"/>
          <w:numId w:val="4"/>
        </w:numPr>
        <w:ind w:left="567" w:hanging="567"/>
      </w:pPr>
      <w:r>
        <w:t>Protokoll PS 49</w:t>
      </w:r>
      <w:r w:rsidRPr="00BE5E87">
        <w:t>/201</w:t>
      </w:r>
      <w:r>
        <w:t>9 vom 05.06.2019</w:t>
      </w:r>
    </w:p>
    <w:p w:rsidR="00F23453" w:rsidRPr="00F23453" w:rsidRDefault="00F23453" w:rsidP="004B6A60">
      <w:pPr>
        <w:pStyle w:val="Listenabsatz"/>
        <w:numPr>
          <w:ilvl w:val="0"/>
          <w:numId w:val="4"/>
        </w:numPr>
        <w:ind w:left="567" w:hanging="567"/>
      </w:pPr>
      <w:r w:rsidRPr="00BE5E87">
        <w:t>Stand der Stundenaufwendung</w:t>
      </w:r>
      <w:r w:rsidRPr="00662300">
        <w:t>en</w:t>
      </w:r>
      <w:r w:rsidR="00DB7DA5" w:rsidRPr="00662300">
        <w:t xml:space="preserve"> per Ende </w:t>
      </w:r>
      <w:r w:rsidR="007B4C2F">
        <w:t>März 2019</w:t>
      </w:r>
    </w:p>
    <w:p w:rsidR="008A2025" w:rsidRPr="00F23453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>Diverse</w:t>
      </w:r>
      <w:r w:rsidR="008A2025" w:rsidRPr="00F23453">
        <w:t xml:space="preserve"> Projektsitzungen und Projektfachsitzungen</w:t>
      </w:r>
    </w:p>
    <w:p w:rsidR="008A2025" w:rsidRPr="00F23453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>Honorarofferte</w:t>
      </w:r>
      <w:r w:rsidR="008A2025" w:rsidRPr="00F23453">
        <w:t xml:space="preserve"> / Vertrag TP1</w:t>
      </w:r>
      <w:r w:rsidR="00A945DB" w:rsidRPr="00F23453">
        <w:t xml:space="preserve"> </w:t>
      </w:r>
      <w:r w:rsidR="008A2025" w:rsidRPr="00F23453">
        <w:t>- TP3, Nr. 070017/000025 vom 20. Juni 2013</w:t>
      </w:r>
    </w:p>
    <w:p w:rsidR="00CE74BC" w:rsidRDefault="00AB1639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 xml:space="preserve">Nachtrag </w:t>
      </w:r>
      <w:r w:rsidR="00BF5801" w:rsidRPr="00F23453">
        <w:t xml:space="preserve">1 – </w:t>
      </w:r>
      <w:r w:rsidR="007B4C2F">
        <w:t>10</w:t>
      </w:r>
      <w:r w:rsidR="00CE74BC">
        <w:t xml:space="preserve"> </w:t>
      </w:r>
    </w:p>
    <w:p w:rsidR="008A2025" w:rsidRPr="00F23453" w:rsidRDefault="002D47F1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>Fachhandbuch</w:t>
      </w:r>
      <w:r w:rsidR="00CE74BC">
        <w:t xml:space="preserve"> T, K und T/G</w:t>
      </w:r>
    </w:p>
    <w:p w:rsidR="00D256FF" w:rsidRPr="00F23453" w:rsidRDefault="008A2025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 xml:space="preserve">SIA </w:t>
      </w:r>
      <w:r w:rsidR="00BF5801" w:rsidRPr="00F23453">
        <w:t xml:space="preserve">Ordnung </w:t>
      </w:r>
      <w:r w:rsidRPr="00F23453">
        <w:t>103</w:t>
      </w:r>
    </w:p>
    <w:p w:rsidR="001A1017" w:rsidRDefault="001A1017">
      <w:pPr>
        <w:tabs>
          <w:tab w:val="clear" w:pos="567"/>
        </w:tabs>
        <w:overflowPunct/>
        <w:autoSpaceDE/>
        <w:autoSpaceDN/>
        <w:adjustRightInd/>
        <w:spacing w:before="0" w:after="0"/>
        <w:jc w:val="left"/>
        <w:textAlignment w:val="auto"/>
        <w:rPr>
          <w:b/>
          <w:bCs/>
          <w:sz w:val="28"/>
        </w:rPr>
      </w:pPr>
      <w:r>
        <w:br w:type="page"/>
      </w:r>
    </w:p>
    <w:p w:rsidR="003E2599" w:rsidRPr="00F23453" w:rsidRDefault="00DB7DA5" w:rsidP="004B6A60">
      <w:pPr>
        <w:pStyle w:val="berschrift1"/>
      </w:pPr>
      <w:r>
        <w:lastRenderedPageBreak/>
        <w:t>Nachtragsbasis</w:t>
      </w:r>
    </w:p>
    <w:p w:rsidR="00DB7DA5" w:rsidRDefault="00DB7DA5" w:rsidP="000E1079">
      <w:r>
        <w:t xml:space="preserve">Die drei TP’s werden nachfolgend jeweils mit den zu erwartenden Veränderungen beschrieben. </w:t>
      </w:r>
    </w:p>
    <w:p w:rsidR="00DB7DA5" w:rsidRDefault="00DB7DA5" w:rsidP="000E1079">
      <w:r>
        <w:t>Dabei wird nur eine Gesamtbetrachtung „Ausgangslage Grundauftrag“, „Neue Stundenprognose“ und „Effektiver Nachtrag“ ausgewiesen.</w:t>
      </w:r>
    </w:p>
    <w:p w:rsidR="00DB7DA5" w:rsidRDefault="00DB7DA5" w:rsidP="000E1079">
      <w:r>
        <w:t>Bei allen Überlegungen sind jeweils 10% als Anteil „Projektleitung“ ausgewiesen, dies ist in etwa ver</w:t>
      </w:r>
      <w:r w:rsidR="001A1017">
        <w:t>gleichbar</w:t>
      </w:r>
      <w:r>
        <w:t xml:space="preserve"> mit dem Grundauftrag.</w:t>
      </w:r>
    </w:p>
    <w:p w:rsidR="00DB7DA5" w:rsidRDefault="00DB7DA5" w:rsidP="000E1079">
      <w:r>
        <w:t>Die Stunden aus „Ausgangslage Grundauftrag“ bestehen aus den 2‘500 h (TP1) und 3‘200 h (TP2 und 3), dies führt zu den Total 5‘700 h.</w:t>
      </w:r>
    </w:p>
    <w:p w:rsidR="00DB7DA5" w:rsidRDefault="007B4C2F" w:rsidP="000E1079">
      <w:r>
        <w:t>Mit dem NO 10</w:t>
      </w:r>
      <w:r w:rsidR="00DB7DA5">
        <w:t xml:space="preserve"> wurden zusä</w:t>
      </w:r>
      <w:r w:rsidR="001B3E69">
        <w:t>tzlich</w:t>
      </w:r>
      <w:r w:rsidR="00DB7DA5">
        <w:t xml:space="preserve"> </w:t>
      </w:r>
      <w:r w:rsidR="001B3E69">
        <w:t xml:space="preserve">1‘199 </w:t>
      </w:r>
      <w:r w:rsidR="00DB7DA5">
        <w:t>Stunden</w:t>
      </w:r>
      <w:r w:rsidR="001B3E69">
        <w:t xml:space="preserve"> </w:t>
      </w:r>
      <w:r w:rsidR="00DB7DA5">
        <w:t>für die Phase Ausschreibung aufgenommen, resp. bewilligt.</w:t>
      </w:r>
    </w:p>
    <w:p w:rsidR="00DB7DA5" w:rsidRDefault="001A1017" w:rsidP="000E1079">
      <w:r>
        <w:t>D</w:t>
      </w:r>
      <w:r w:rsidR="00DB7DA5">
        <w:t xml:space="preserve">ie Stundenverteilung auf die einzelnen Honorarkategorien erfolgt </w:t>
      </w:r>
      <w:r w:rsidR="00CE74BC">
        <w:t xml:space="preserve">meistens </w:t>
      </w:r>
      <w:r w:rsidR="00DB7DA5">
        <w:t xml:space="preserve">über die prozentuale Verteilung, </w:t>
      </w:r>
      <w:r w:rsidR="00EB55EB">
        <w:t>analog unserer</w:t>
      </w:r>
      <w:r w:rsidR="00DB7DA5">
        <w:t xml:space="preserve"> Verteilung des Gr</w:t>
      </w:r>
      <w:r>
        <w:t>undauftrags</w:t>
      </w:r>
      <w:r w:rsidR="00DB7DA5">
        <w:t>.</w:t>
      </w:r>
      <w:r w:rsidR="00CE74BC">
        <w:t xml:space="preserve"> Wo dem nicht so ist, wird es explizit erwähnt (s. Kap. </w:t>
      </w:r>
      <w:r w:rsidR="00090CAE">
        <w:t xml:space="preserve">3 und </w:t>
      </w:r>
      <w:r w:rsidR="00CE74BC">
        <w:t>4).</w:t>
      </w:r>
    </w:p>
    <w:p w:rsidR="00DB7DA5" w:rsidRDefault="001A1017" w:rsidP="000E1079">
      <w:r>
        <w:t xml:space="preserve">Dabei wurde </w:t>
      </w:r>
      <w:r w:rsidR="00DB7DA5">
        <w:t xml:space="preserve">folgende Verteilung als Basis </w:t>
      </w:r>
      <w:r w:rsidR="001B3E69">
        <w:t xml:space="preserve">aus dem </w:t>
      </w:r>
      <w:r w:rsidR="00997242">
        <w:t>Grundauftrag</w:t>
      </w:r>
      <w:r w:rsidR="001B3E69">
        <w:t xml:space="preserve"> </w:t>
      </w:r>
      <w:r w:rsidR="00DB7DA5">
        <w:t>verwendet:</w:t>
      </w:r>
    </w:p>
    <w:bookmarkStart w:id="1" w:name="_MON_1571720149"/>
    <w:bookmarkEnd w:id="1"/>
    <w:p w:rsidR="00DB7DA5" w:rsidRDefault="007B4C2F" w:rsidP="000E1079">
      <w:r>
        <w:object w:dxaOrig="9495" w:dyaOrig="1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87.75pt" o:ole="">
            <v:imagedata r:id="rId16" o:title=""/>
          </v:shape>
          <o:OLEObject Type="Embed" ProgID="Excel.Sheet.12" ShapeID="_x0000_i1025" DrawAspect="Content" ObjectID="_1620544834" r:id="rId17"/>
        </w:object>
      </w:r>
    </w:p>
    <w:p w:rsidR="00DB7DA5" w:rsidRDefault="00721A48" w:rsidP="000E1079">
      <w:r>
        <w:t>Diese Verteilung ergibt einen Vergleichswert (theoretisch</w:t>
      </w:r>
      <w:r w:rsidR="001A1017">
        <w:t>er</w:t>
      </w:r>
      <w:r>
        <w:t xml:space="preserve"> ZMT) von 88.75 CHF/h.</w:t>
      </w:r>
    </w:p>
    <w:p w:rsidR="000B4AE6" w:rsidRDefault="00924AFF" w:rsidP="00721A48">
      <w:r w:rsidRPr="00F23453">
        <w:t xml:space="preserve">Auf Niveau Objektgattung ist der Vergleich schwierig, da die bauherrenseitige Stundenvorgabe nur auf die 3 Teilprojekte </w:t>
      </w:r>
      <w:r w:rsidR="00721A48">
        <w:t xml:space="preserve">in zwei Summen </w:t>
      </w:r>
      <w:r w:rsidR="00CA4456" w:rsidRPr="00F23453">
        <w:t xml:space="preserve">bezogen war und </w:t>
      </w:r>
      <w:r w:rsidR="00C10EFA" w:rsidRPr="00F23453">
        <w:t xml:space="preserve">wir zum damaligen Zeitpunkt </w:t>
      </w:r>
      <w:r w:rsidR="00CA4456" w:rsidRPr="00F23453">
        <w:t xml:space="preserve">zum Teil nur summarisch die Aufteilung auf die Objektgattungen vornehmen konnten. </w:t>
      </w:r>
    </w:p>
    <w:p w:rsidR="000B4AE6" w:rsidRDefault="00721A48" w:rsidP="000E1079">
      <w:r>
        <w:t>Zudem wurden Vorgaben des Grundauftrags mit der Zuweisung auf die Stunden-/Cashblätter prozentual durch BHU/Bauherr aufgeteilt.</w:t>
      </w:r>
    </w:p>
    <w:p w:rsidR="00721A48" w:rsidRDefault="00721A48" w:rsidP="000E1079"/>
    <w:bookmarkStart w:id="2" w:name="_MON_1619856781"/>
    <w:bookmarkEnd w:id="2"/>
    <w:p w:rsidR="002461F5" w:rsidRDefault="0032517F" w:rsidP="000E1079">
      <w:r>
        <w:object w:dxaOrig="9471" w:dyaOrig="2488">
          <v:shape id="_x0000_i1026" type="#_x0000_t75" style="width:473.25pt;height:124.5pt" o:ole="">
            <v:imagedata r:id="rId18" o:title=""/>
          </v:shape>
          <o:OLEObject Type="Embed" ProgID="Excel.Sheet.12" ShapeID="_x0000_i1026" DrawAspect="Content" ObjectID="_1620544835" r:id="rId19"/>
        </w:object>
      </w:r>
    </w:p>
    <w:p w:rsidR="001A1017" w:rsidRDefault="001A1017">
      <w:pPr>
        <w:tabs>
          <w:tab w:val="clear" w:pos="567"/>
        </w:tabs>
        <w:overflowPunct/>
        <w:autoSpaceDE/>
        <w:autoSpaceDN/>
        <w:adjustRightInd/>
        <w:spacing w:before="0" w:after="0"/>
        <w:jc w:val="left"/>
        <w:textAlignment w:val="auto"/>
        <w:rPr>
          <w:b/>
          <w:bCs/>
          <w:sz w:val="28"/>
        </w:rPr>
      </w:pPr>
      <w:r>
        <w:br w:type="page"/>
      </w:r>
    </w:p>
    <w:p w:rsidR="00655734" w:rsidRDefault="00655734" w:rsidP="00655734">
      <w:pPr>
        <w:pStyle w:val="berschrift1"/>
      </w:pPr>
      <w:r>
        <w:lastRenderedPageBreak/>
        <w:t>Nachtragspositionen</w:t>
      </w:r>
    </w:p>
    <w:p w:rsidR="00655734" w:rsidRDefault="00655734" w:rsidP="00655734">
      <w:r>
        <w:t>Nachfolgend sind diverse</w:t>
      </w:r>
      <w:r w:rsidR="00C4579E">
        <w:t>n</w:t>
      </w:r>
      <w:r>
        <w:t xml:space="preserve"> Nachtragspositionen </w:t>
      </w:r>
      <w:r w:rsidR="00090CAE">
        <w:t>aufgeführt und kurz beschrieben: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230"/>
        <w:gridCol w:w="880"/>
        <w:gridCol w:w="880"/>
      </w:tblGrid>
      <w:tr w:rsidR="00B37BC2" w:rsidRPr="003975B7" w:rsidTr="00C92D8B">
        <w:tc>
          <w:tcPr>
            <w:tcW w:w="675" w:type="dxa"/>
          </w:tcPr>
          <w:p w:rsidR="006F27AD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6F27AD" w:rsidRDefault="006F27AD" w:rsidP="006F27AD">
            <w:r w:rsidRPr="007C5B40">
              <w:rPr>
                <w:b/>
              </w:rPr>
              <w:t>Zusätzliche Projektsitzungen:</w:t>
            </w:r>
            <w:r>
              <w:br/>
              <w:t xml:space="preserve">Die ursprüngliche Phasendauer war für die Beschaffungserarbeitung </w:t>
            </w:r>
            <w:r w:rsidR="00997242">
              <w:t>anfangs</w:t>
            </w:r>
            <w:r>
              <w:t xml:space="preserve"> Februar </w:t>
            </w:r>
            <w:r w:rsidR="001B3E69">
              <w:t xml:space="preserve">2017 </w:t>
            </w:r>
            <w:r>
              <w:t xml:space="preserve">bis </w:t>
            </w:r>
            <w:r w:rsidR="009D381B">
              <w:t>Ende 2017</w:t>
            </w:r>
            <w:r w:rsidR="001B3E69">
              <w:t xml:space="preserve"> (Anpassung in NO 10)</w:t>
            </w:r>
            <w:r>
              <w:t xml:space="preserve"> angedacht. Diese Phase dauert nun bis </w:t>
            </w:r>
            <w:r w:rsidR="009D381B">
              <w:t>Mitte 2020</w:t>
            </w:r>
            <w:r>
              <w:t xml:space="preserve">. Somit </w:t>
            </w:r>
            <w:r w:rsidR="009D381B">
              <w:t>werden</w:t>
            </w:r>
            <w:r>
              <w:t xml:space="preserve"> für diesen Zeitraum </w:t>
            </w:r>
            <w:r w:rsidR="009D381B">
              <w:t>als Prognose 8 zusätzliche Sitzungen erfolgen</w:t>
            </w:r>
            <w:r w:rsidR="00C4579E">
              <w:t>.</w:t>
            </w:r>
            <w:r w:rsidR="00C4579E">
              <w:br/>
            </w:r>
            <w:r>
              <w:sym w:font="Symbol" w:char="F0AE"/>
            </w:r>
            <w:r>
              <w:t xml:space="preserve"> 3 Per</w:t>
            </w:r>
            <w:r w:rsidR="00C4579E">
              <w:t xml:space="preserve">sonen x </w:t>
            </w:r>
            <w:r w:rsidR="00C92D8B">
              <w:t>(</w:t>
            </w:r>
            <w:r>
              <w:t>1 h Vorbereitung + 3 h Sitzungsdauer + 1 h Sitzungsauswer</w:t>
            </w:r>
            <w:r w:rsidR="00C4579E">
              <w:t>tung</w:t>
            </w:r>
            <w:r w:rsidR="00C92D8B">
              <w:t xml:space="preserve">) </w:t>
            </w:r>
            <w:r>
              <w:t xml:space="preserve">+ 1 Person Protokoll zu </w:t>
            </w:r>
            <w:r w:rsidR="00C4579E">
              <w:t xml:space="preserve">6 h x </w:t>
            </w:r>
            <w:r w:rsidR="009D381B">
              <w:t>8</w:t>
            </w:r>
            <w:r w:rsidR="00C4579E">
              <w:t xml:space="preserve"> Sitzungen</w:t>
            </w:r>
          </w:p>
          <w:p w:rsidR="00C92D8B" w:rsidRDefault="00C92D8B" w:rsidP="00D73ADB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318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Stunden.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9D381B" w:rsidP="006F27AD">
            <w:pPr>
              <w:jc w:val="right"/>
            </w:pPr>
            <w:r>
              <w:t>168</w:t>
            </w:r>
            <w:r w:rsidR="006F27AD" w:rsidRPr="003975B7">
              <w:t xml:space="preserve"> h</w:t>
            </w:r>
          </w:p>
        </w:tc>
      </w:tr>
      <w:tr w:rsidR="00B37BC2" w:rsidRPr="003975B7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C92D8B" w:rsidRDefault="00C4579E" w:rsidP="00C92D8B">
            <w:r>
              <w:rPr>
                <w:b/>
              </w:rPr>
              <w:t>Zusätzliche INGE-</w:t>
            </w:r>
            <w:r w:rsidR="00EB55EB">
              <w:rPr>
                <w:b/>
              </w:rPr>
              <w:t>Arbeitssitzungen</w:t>
            </w:r>
            <w:r w:rsidR="006F27AD">
              <w:rPr>
                <w:b/>
              </w:rPr>
              <w:t>:</w:t>
            </w:r>
            <w:r w:rsidR="00C92D8B">
              <w:rPr>
                <w:b/>
              </w:rPr>
              <w:br/>
            </w:r>
            <w:r w:rsidR="006F27AD">
              <w:t>Die INGE-Arbeitssitzung</w:t>
            </w:r>
            <w:r w:rsidR="009D381B">
              <w:t xml:space="preserve">en erfolgen alternierend zur PS, jedoch nur noch </w:t>
            </w:r>
            <w:r w:rsidR="001B3E69">
              <w:t xml:space="preserve">nach </w:t>
            </w:r>
            <w:r w:rsidR="009D381B">
              <w:t xml:space="preserve">jeder zweiten PS, </w:t>
            </w:r>
            <w:r w:rsidR="006F27AD">
              <w:t>und sind für die Projektbearbeitung und Konsistenz absolut von Bedeutung</w:t>
            </w:r>
            <w:r>
              <w:t>.</w:t>
            </w:r>
            <w:r w:rsidR="006F27AD">
              <w:br/>
            </w:r>
            <w:r w:rsidR="006F27AD">
              <w:sym w:font="Symbol" w:char="F0AE"/>
            </w:r>
            <w:r w:rsidR="006F27AD">
              <w:t xml:space="preserve"> 5 Personen x </w:t>
            </w:r>
            <w:r w:rsidR="00662300">
              <w:t>4</w:t>
            </w:r>
            <w:r w:rsidR="009D381B">
              <w:t xml:space="preserve"> Stunden x 4</w:t>
            </w:r>
            <w:r w:rsidR="006F27AD">
              <w:t xml:space="preserve"> Sitzungen</w:t>
            </w:r>
            <w:r w:rsidR="00C92D8B">
              <w:t xml:space="preserve"> </w:t>
            </w:r>
          </w:p>
          <w:p w:rsidR="006F27AD" w:rsidRPr="00C92D8B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Stunden.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9D381B" w:rsidP="006F27AD">
            <w:pPr>
              <w:jc w:val="right"/>
            </w:pPr>
            <w:r>
              <w:t>80</w:t>
            </w:r>
            <w:r w:rsidR="006F27AD" w:rsidRPr="003975B7">
              <w:t xml:space="preserve"> h</w:t>
            </w:r>
          </w:p>
        </w:tc>
      </w:tr>
      <w:tr w:rsidR="006F27AD" w:rsidRPr="003975B7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C92D8B" w:rsidRDefault="006F27AD" w:rsidP="00C92D8B">
            <w:r>
              <w:rPr>
                <w:b/>
              </w:rPr>
              <w:t>Unterstützung durch die Projektleitung:</w:t>
            </w:r>
            <w:r>
              <w:br/>
              <w:t>In der laufenden Bearbeitung der Projektverlängerung</w:t>
            </w:r>
            <w:r w:rsidR="00E21F28">
              <w:t xml:space="preserve"> (Ende 2017 – Mitte 2020)</w:t>
            </w:r>
            <w:r>
              <w:t xml:space="preserve"> sind</w:t>
            </w:r>
            <w:r w:rsidR="00E21F28">
              <w:t>/ werden</w:t>
            </w:r>
            <w:r>
              <w:t xml:space="preserve"> diverse Unterstützungen durch B. Schädler und St. Roth an</w:t>
            </w:r>
            <w:r w:rsidR="00E21F28">
              <w:t>(ge)fallen</w:t>
            </w:r>
            <w:r>
              <w:t>. Während der Verlängerung haben w</w:t>
            </w:r>
            <w:r w:rsidR="002636C7">
              <w:t xml:space="preserve">ir </w:t>
            </w:r>
            <w:r>
              <w:t xml:space="preserve">die zusätzlichen Stunden für die Projektleitung </w:t>
            </w:r>
            <w:r w:rsidR="002636C7">
              <w:t>(Projektleitung, Schnittstellenmanagement, Koordination und Kommunikation)</w:t>
            </w:r>
            <w:r w:rsidR="009D381B">
              <w:t xml:space="preserve"> </w:t>
            </w:r>
            <w:r>
              <w:t>abge</w:t>
            </w:r>
            <w:r w:rsidR="00C4579E">
              <w:t>schätzt.</w:t>
            </w:r>
            <w:r w:rsidR="009D381B">
              <w:t xml:space="preserve"> </w:t>
            </w:r>
            <w:r w:rsidR="00E21F28">
              <w:t xml:space="preserve">Die </w:t>
            </w:r>
            <w:r w:rsidR="00997242">
              <w:t>Projektleitung</w:t>
            </w:r>
            <w:r w:rsidR="00E21F28">
              <w:t xml:space="preserve"> haben wir mittlerweile auf 5% reduziert </w:t>
            </w:r>
            <w:r>
              <w:sym w:font="Symbol" w:char="F0AE"/>
            </w:r>
            <w:r w:rsidR="003C3899">
              <w:t xml:space="preserve"> Verlängerung </w:t>
            </w:r>
            <w:r w:rsidR="009D381B">
              <w:t>28</w:t>
            </w:r>
            <w:r w:rsidR="003C3899">
              <w:t xml:space="preserve"> Monate x </w:t>
            </w:r>
            <w:r w:rsidR="009D381B">
              <w:t>5</w:t>
            </w:r>
            <w:r>
              <w:t>% x 170 h</w:t>
            </w:r>
            <w:r w:rsidR="00E21F28">
              <w:t>/Mt.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Stunden.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9D381B" w:rsidP="003C3899">
            <w:pPr>
              <w:jc w:val="right"/>
            </w:pPr>
            <w:r>
              <w:t>238</w:t>
            </w:r>
            <w:r w:rsidR="006F27AD" w:rsidRPr="003975B7">
              <w:t xml:space="preserve"> h</w:t>
            </w:r>
          </w:p>
        </w:tc>
      </w:tr>
      <w:tr w:rsidR="006F27AD" w:rsidRPr="003975B7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C92D8B" w:rsidRDefault="006F27AD" w:rsidP="006F27AD">
            <w:r>
              <w:rPr>
                <w:b/>
              </w:rPr>
              <w:t>Anpassung der Terminplanung:</w:t>
            </w:r>
            <w:r>
              <w:br/>
              <w:t xml:space="preserve">Sowohl der </w:t>
            </w:r>
            <w:r w:rsidR="00EB55EB">
              <w:t>Ausschreibungs-</w:t>
            </w:r>
            <w:r>
              <w:t xml:space="preserve"> wie auch der Terminplan für die Realisierung wurden</w:t>
            </w:r>
            <w:r w:rsidR="00E21F28">
              <w:t>/ werden</w:t>
            </w:r>
            <w:r>
              <w:t xml:space="preserve"> auf</w:t>
            </w:r>
            <w:r w:rsidR="00C92D8B">
              <w:t>ge</w:t>
            </w:r>
            <w:r>
              <w:t>- und überarbeitet</w:t>
            </w:r>
            <w:r w:rsidR="00C4579E">
              <w:t>.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Stunden.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9D381B" w:rsidP="006F27AD">
            <w:pPr>
              <w:jc w:val="right"/>
            </w:pPr>
            <w:r>
              <w:t>1</w:t>
            </w:r>
            <w:r w:rsidR="006F27AD" w:rsidRPr="003975B7">
              <w:t>0 h</w:t>
            </w:r>
          </w:p>
        </w:tc>
      </w:tr>
      <w:tr w:rsidR="006F27AD" w:rsidRPr="003975B7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6F27AD" w:rsidRDefault="006F27AD" w:rsidP="006F27AD">
            <w:r>
              <w:rPr>
                <w:b/>
              </w:rPr>
              <w:t>Erarbeitung Dokument Bonus-/Malus:</w:t>
            </w:r>
            <w:r>
              <w:rPr>
                <w:b/>
              </w:rPr>
              <w:br/>
            </w:r>
            <w:r>
              <w:t xml:space="preserve">Für den Entscheid bez. Beurteilung Bonus-/Malus, Abrechnung, etc. wurde ein separates Papier erstellt, welches </w:t>
            </w:r>
            <w:r w:rsidR="00E21F28">
              <w:t xml:space="preserve">2018 </w:t>
            </w:r>
            <w:r w:rsidR="009D381B">
              <w:t>weiter</w:t>
            </w:r>
            <w:r>
              <w:t xml:space="preserve"> überarbeitet wurde. </w:t>
            </w:r>
            <w:r>
              <w:br/>
              <w:t>Wir gehen bei dieser Erarbeitung, welch</w:t>
            </w:r>
            <w:r w:rsidR="009D381B">
              <w:t xml:space="preserve">e durch M. Palumbo, B. Schädler, </w:t>
            </w:r>
            <w:r w:rsidR="00E21F28">
              <w:br/>
            </w:r>
            <w:r w:rsidR="009D381B">
              <w:t xml:space="preserve">St. Müller </w:t>
            </w:r>
            <w:r>
              <w:t>und St. Roth erfolgte von folgenden Stunden aus</w:t>
            </w:r>
            <w:r w:rsidR="00D73ADB">
              <w:t>…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Stunden.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9D381B" w:rsidP="009D381B">
            <w:pPr>
              <w:jc w:val="right"/>
            </w:pPr>
            <w:r>
              <w:t>4</w:t>
            </w:r>
            <w:r w:rsidR="006F27AD" w:rsidRPr="003975B7">
              <w:t>0 h</w:t>
            </w:r>
          </w:p>
        </w:tc>
      </w:tr>
      <w:tr w:rsidR="006F27AD" w:rsidRPr="003975B7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6F27AD" w:rsidRDefault="006F27AD" w:rsidP="006F27AD">
            <w:r>
              <w:rPr>
                <w:b/>
              </w:rPr>
              <w:t>Vermessungsbasis:</w:t>
            </w:r>
            <w:r>
              <w:rPr>
                <w:b/>
              </w:rPr>
              <w:br/>
            </w:r>
            <w:r w:rsidR="00B37BC2">
              <w:t>Wir haben bereits bei der Phase MK/AP auf die Notwendigkeit der Vermessung hingewiesen. In der Submissionsphase haben wir dies nochmals aufgearbeitet</w:t>
            </w:r>
            <w:r w:rsidR="009D381B">
              <w:t xml:space="preserve"> und begründet und weitere Infos und Inputs geliefert.</w:t>
            </w:r>
          </w:p>
          <w:p w:rsidR="0032517F" w:rsidRPr="006F27AD" w:rsidRDefault="00C92D8B" w:rsidP="0032517F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Stunden.</w:t>
            </w:r>
          </w:p>
        </w:tc>
        <w:tc>
          <w:tcPr>
            <w:tcW w:w="880" w:type="dxa"/>
          </w:tcPr>
          <w:p w:rsidR="006F27AD" w:rsidRPr="003975B7" w:rsidRDefault="00B37BC2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9D381B" w:rsidP="006F27AD">
            <w:pPr>
              <w:jc w:val="right"/>
            </w:pPr>
            <w:r>
              <w:t>20</w:t>
            </w:r>
            <w:r w:rsidR="00B37BC2" w:rsidRPr="003975B7">
              <w:t xml:space="preserve"> h</w:t>
            </w:r>
          </w:p>
        </w:tc>
      </w:tr>
      <w:tr w:rsidR="00B37BC2" w:rsidRPr="003975B7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9D381B" w:rsidP="009D381B">
            <w:r>
              <w:rPr>
                <w:b/>
              </w:rPr>
              <w:t>Überarbeitung und Ergänzung 4.</w:t>
            </w:r>
            <w:r w:rsidR="008D5171">
              <w:rPr>
                <w:b/>
              </w:rPr>
              <w:t>Q.</w:t>
            </w:r>
            <w:r>
              <w:rPr>
                <w:b/>
              </w:rPr>
              <w:t>2018:</w:t>
            </w:r>
            <w:r w:rsidR="00B37BC2">
              <w:rPr>
                <w:b/>
              </w:rPr>
              <w:br/>
            </w:r>
            <w:r>
              <w:t>Aufgrund der Stellungnahme Ende 1. Semester 2018 wurden die Submissionsunterlagen angepasst und ergänzt. Dabei erfolgten Korrekturen am LV, BB und den diversen Beilagen.</w:t>
            </w:r>
          </w:p>
          <w:p w:rsidR="00E21F28" w:rsidRDefault="00E21F28" w:rsidP="009D381B"/>
          <w:p w:rsidR="009D381B" w:rsidRPr="00B37BC2" w:rsidRDefault="009D381B" w:rsidP="00E21F28">
            <w:r>
              <w:t>Gemäss den LM vom Juni 2018 – Ende Dez</w:t>
            </w:r>
            <w:r w:rsidR="00E21F28">
              <w:t>e</w:t>
            </w:r>
            <w:r>
              <w:t>mber 2018 handelt es s</w:t>
            </w:r>
            <w:r w:rsidR="00E21F28">
              <w:t>ich um 525.5 h. Davon werden 146</w:t>
            </w:r>
            <w:r>
              <w:t xml:space="preserve"> h abgezogen, welche in den </w:t>
            </w:r>
            <w:r w:rsidR="00E21F28">
              <w:t>Positionen ….</w:t>
            </w:r>
            <w:r>
              <w:t xml:space="preserve"> </w:t>
            </w:r>
            <w:r w:rsidR="008D5171">
              <w:br/>
            </w:r>
            <w:r>
              <w:t>A)</w:t>
            </w:r>
            <w:r w:rsidR="008D5171">
              <w:t xml:space="preserve"> 2</w:t>
            </w:r>
            <w:r w:rsidR="00E21F28">
              <w:t xml:space="preserve"> Sitzungen</w:t>
            </w:r>
            <w:r w:rsidR="008D5171">
              <w:t xml:space="preserve"> x 21 h </w:t>
            </w:r>
            <w:r w:rsidR="00E21F28">
              <w:tab/>
            </w:r>
            <w:r w:rsidR="00E21F28">
              <w:tab/>
              <w:t>= - 42 h</w:t>
            </w:r>
            <w:r w:rsidR="008D5171">
              <w:br/>
            </w:r>
            <w:r>
              <w:t>B) 1</w:t>
            </w:r>
            <w:r w:rsidR="00E21F28">
              <w:t xml:space="preserve"> Sitzung</w:t>
            </w:r>
            <w:r>
              <w:t xml:space="preserve"> x </w:t>
            </w:r>
            <w:r w:rsidR="008D5171">
              <w:t xml:space="preserve">20 h </w:t>
            </w:r>
            <w:r w:rsidR="00E21F28">
              <w:tab/>
            </w:r>
            <w:r w:rsidR="00E21F28">
              <w:tab/>
              <w:t>= - 20 h</w:t>
            </w:r>
            <w:r w:rsidR="008D5171">
              <w:br/>
            </w:r>
            <w:r w:rsidR="00E21F28">
              <w:t>C) 6 Monate</w:t>
            </w:r>
            <w:r>
              <w:t xml:space="preserve"> x 5</w:t>
            </w:r>
            <w:r w:rsidR="008D5171">
              <w:t>% x 170 h</w:t>
            </w:r>
            <w:r w:rsidR="00E21F28">
              <w:t>/Mt.</w:t>
            </w:r>
            <w:r w:rsidR="008D5171">
              <w:t xml:space="preserve"> </w:t>
            </w:r>
            <w:r w:rsidR="00E21F28">
              <w:tab/>
              <w:t>= - 51 h</w:t>
            </w:r>
            <w:r w:rsidR="008D5171">
              <w:br/>
            </w:r>
            <w:r>
              <w:t xml:space="preserve">D) </w:t>
            </w:r>
            <w:r w:rsidR="00E21F28">
              <w:t xml:space="preserve">ca. </w:t>
            </w:r>
            <w:r>
              <w:t xml:space="preserve">3 h und </w:t>
            </w:r>
            <w:r w:rsidR="00E21F28">
              <w:tab/>
            </w:r>
            <w:r w:rsidR="00E21F28">
              <w:tab/>
            </w:r>
            <w:r w:rsidR="00E21F28">
              <w:tab/>
              <w:t>= - 03 h</w:t>
            </w:r>
            <w:r w:rsidR="008D5171">
              <w:br/>
            </w:r>
            <w:r w:rsidR="00E21F28">
              <w:t xml:space="preserve">E) ca. </w:t>
            </w:r>
            <w:r>
              <w:t xml:space="preserve">30 h </w:t>
            </w:r>
            <w:r w:rsidR="00E21F28">
              <w:tab/>
            </w:r>
            <w:r w:rsidR="00E21F28">
              <w:tab/>
            </w:r>
            <w:r w:rsidR="00E21F28">
              <w:tab/>
              <w:t>= - 30 h</w:t>
            </w:r>
            <w:r w:rsidR="008D5171">
              <w:br/>
            </w:r>
            <w:r>
              <w:t>bereits eingerechnet wurden.</w:t>
            </w:r>
          </w:p>
        </w:tc>
        <w:tc>
          <w:tcPr>
            <w:tcW w:w="880" w:type="dxa"/>
          </w:tcPr>
          <w:p w:rsidR="00B37BC2" w:rsidRPr="003975B7" w:rsidRDefault="00B37BC2" w:rsidP="006F27AD">
            <w:pPr>
              <w:jc w:val="center"/>
            </w:pPr>
            <w:r w:rsidRPr="003975B7">
              <w:lastRenderedPageBreak/>
              <w:t>=</w:t>
            </w:r>
          </w:p>
        </w:tc>
        <w:tc>
          <w:tcPr>
            <w:tcW w:w="880" w:type="dxa"/>
          </w:tcPr>
          <w:p w:rsidR="00B37BC2" w:rsidRPr="003975B7" w:rsidRDefault="00E21F28" w:rsidP="00E21F28">
            <w:pPr>
              <w:ind w:left="-138"/>
              <w:jc w:val="center"/>
            </w:pPr>
            <w:r>
              <w:t xml:space="preserve">  379.5 </w:t>
            </w:r>
            <w:r w:rsidR="009D381B">
              <w:t>h</w:t>
            </w:r>
          </w:p>
        </w:tc>
      </w:tr>
      <w:tr w:rsidR="00C21610" w:rsidRPr="003975B7" w:rsidTr="00C92D8B">
        <w:tc>
          <w:tcPr>
            <w:tcW w:w="675" w:type="dxa"/>
          </w:tcPr>
          <w:p w:rsidR="00B37BC2" w:rsidRPr="00C2161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8D5171" w:rsidP="008D5171">
            <w:r>
              <w:rPr>
                <w:b/>
              </w:rPr>
              <w:t>Überarbeitung und Ergänzung 2.Q.2019</w:t>
            </w:r>
            <w:r w:rsidR="00B37BC2" w:rsidRPr="00C21610">
              <w:rPr>
                <w:b/>
              </w:rPr>
              <w:t>:</w:t>
            </w:r>
            <w:r w:rsidR="00B37BC2" w:rsidRPr="00C21610">
              <w:rPr>
                <w:b/>
              </w:rPr>
              <w:br/>
            </w:r>
            <w:r>
              <w:t xml:space="preserve">Anlässlich der PS 48/2019 wurde von HP. Hofmann und R. Rotzler </w:t>
            </w:r>
            <w:r w:rsidR="00997242">
              <w:t>erste</w:t>
            </w:r>
            <w:r>
              <w:t xml:space="preserve"> Rückmeldungen zu den Submissionsunterlagen vom </w:t>
            </w:r>
            <w:r w:rsidR="00997242">
              <w:t>Dezember</w:t>
            </w:r>
            <w:r>
              <w:t xml:space="preserve"> 2018 gegeben. Weitere</w:t>
            </w:r>
            <w:r w:rsidR="00D20D7D">
              <w:t xml:space="preserve"> und detaillierte Infos erfolgten</w:t>
            </w:r>
            <w:r>
              <w:t xml:space="preserve"> an der PS 49/2019 vom 04.06.19. </w:t>
            </w:r>
          </w:p>
          <w:p w:rsidR="00D20D7D" w:rsidRDefault="00D20D7D" w:rsidP="008D5171">
            <w:r>
              <w:t>Die wesentlichen zu bearbeitenden Punkte sind:</w:t>
            </w:r>
          </w:p>
          <w:p w:rsidR="00D20D7D" w:rsidRPr="00D20D7D" w:rsidRDefault="00D20D7D" w:rsidP="00D20D7D">
            <w:pPr>
              <w:pStyle w:val="Listenabsatz"/>
              <w:numPr>
                <w:ilvl w:val="0"/>
                <w:numId w:val="18"/>
              </w:numPr>
              <w:tabs>
                <w:tab w:val="left" w:pos="1020"/>
              </w:tabs>
              <w:rPr>
                <w:highlight w:val="yellow"/>
              </w:rPr>
            </w:pPr>
            <w:r w:rsidRPr="00D20D7D">
              <w:rPr>
                <w:highlight w:val="yellow"/>
              </w:rPr>
              <w:t>…</w:t>
            </w:r>
          </w:p>
          <w:p w:rsidR="00D20D7D" w:rsidRPr="00D20D7D" w:rsidRDefault="00D20D7D" w:rsidP="00D20D7D">
            <w:pPr>
              <w:pStyle w:val="Listenabsatz"/>
              <w:numPr>
                <w:ilvl w:val="0"/>
                <w:numId w:val="18"/>
              </w:numPr>
              <w:tabs>
                <w:tab w:val="left" w:pos="1020"/>
              </w:tabs>
              <w:rPr>
                <w:highlight w:val="yellow"/>
              </w:rPr>
            </w:pPr>
            <w:r w:rsidRPr="00D20D7D">
              <w:rPr>
                <w:highlight w:val="yellow"/>
              </w:rPr>
              <w:t>…</w:t>
            </w:r>
          </w:p>
          <w:p w:rsidR="00D20D7D" w:rsidRPr="00D20D7D" w:rsidRDefault="00D20D7D" w:rsidP="00D20D7D">
            <w:pPr>
              <w:pStyle w:val="Listenabsatz"/>
              <w:numPr>
                <w:ilvl w:val="0"/>
                <w:numId w:val="18"/>
              </w:numPr>
              <w:tabs>
                <w:tab w:val="left" w:pos="1020"/>
              </w:tabs>
              <w:rPr>
                <w:highlight w:val="yellow"/>
              </w:rPr>
            </w:pPr>
            <w:r w:rsidRPr="00D20D7D">
              <w:rPr>
                <w:highlight w:val="yellow"/>
              </w:rPr>
              <w:t>…</w:t>
            </w:r>
          </w:p>
          <w:p w:rsidR="00D20D7D" w:rsidRPr="00D20D7D" w:rsidRDefault="00D20D7D" w:rsidP="00D20D7D">
            <w:pPr>
              <w:pStyle w:val="Listenabsatz"/>
              <w:numPr>
                <w:ilvl w:val="0"/>
                <w:numId w:val="18"/>
              </w:numPr>
              <w:tabs>
                <w:tab w:val="left" w:pos="1020"/>
              </w:tabs>
              <w:rPr>
                <w:highlight w:val="yellow"/>
              </w:rPr>
            </w:pPr>
            <w:r w:rsidRPr="00D20D7D">
              <w:rPr>
                <w:highlight w:val="yellow"/>
              </w:rPr>
              <w:t>…</w:t>
            </w:r>
          </w:p>
          <w:p w:rsidR="008D5171" w:rsidRPr="00C21610" w:rsidRDefault="008D5171" w:rsidP="008D5171">
            <w:r>
              <w:t xml:space="preserve">Die Schätzung für die Ergänzung und </w:t>
            </w:r>
            <w:r w:rsidR="00997242">
              <w:t>Überarbeitung</w:t>
            </w:r>
            <w:r>
              <w:t xml:space="preserve"> dieser Rückmeldungen und Stellungnahmen belaufen sich </w:t>
            </w:r>
            <w:r w:rsidRPr="00D20D7D">
              <w:t>au</w:t>
            </w:r>
            <w:r w:rsidR="00D20D7D" w:rsidRPr="00D20D7D">
              <w:t xml:space="preserve">f </w:t>
            </w:r>
            <w:r w:rsidR="00D20D7D" w:rsidRPr="00D20D7D">
              <w:rPr>
                <w:highlight w:val="yellow"/>
              </w:rPr>
              <w:t>………….</w:t>
            </w:r>
            <w:r w:rsidR="00D20D7D" w:rsidRPr="00D20D7D">
              <w:t>h.</w:t>
            </w:r>
          </w:p>
        </w:tc>
        <w:tc>
          <w:tcPr>
            <w:tcW w:w="880" w:type="dxa"/>
          </w:tcPr>
          <w:p w:rsidR="00B37BC2" w:rsidRPr="003975B7" w:rsidRDefault="00B37BC2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B37BC2" w:rsidRPr="003975B7" w:rsidRDefault="008D5171" w:rsidP="006F27AD">
            <w:pPr>
              <w:jc w:val="right"/>
            </w:pPr>
            <w:r w:rsidRPr="00D20D7D">
              <w:rPr>
                <w:highlight w:val="yellow"/>
              </w:rPr>
              <w:t>80</w:t>
            </w:r>
            <w:r>
              <w:t xml:space="preserve"> h</w:t>
            </w:r>
          </w:p>
        </w:tc>
      </w:tr>
      <w:tr w:rsidR="00C21610" w:rsidRPr="003975B7" w:rsidTr="00C92D8B">
        <w:tc>
          <w:tcPr>
            <w:tcW w:w="675" w:type="dxa"/>
          </w:tcPr>
          <w:p w:rsidR="00B37BC2" w:rsidRPr="00C2161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20D7D" w:rsidRDefault="008D5171" w:rsidP="00D20D7D">
            <w:r>
              <w:rPr>
                <w:b/>
              </w:rPr>
              <w:t>Rückmeldung / Stellungnahme NSNW AG</w:t>
            </w:r>
            <w:r w:rsidR="00B37BC2" w:rsidRPr="00C21610">
              <w:rPr>
                <w:b/>
              </w:rPr>
              <w:t>:</w:t>
            </w:r>
            <w:r w:rsidR="00B37BC2" w:rsidRPr="00C21610">
              <w:rPr>
                <w:b/>
              </w:rPr>
              <w:br/>
            </w:r>
            <w:r>
              <w:t xml:space="preserve">Anlässlich der Besprechung vom </w:t>
            </w:r>
            <w:r w:rsidRPr="008D5171">
              <w:rPr>
                <w:highlight w:val="yellow"/>
              </w:rPr>
              <w:t>xx.xx</w:t>
            </w:r>
            <w:r w:rsidRPr="00D20D7D">
              <w:t>. 2019</w:t>
            </w:r>
            <w:r>
              <w:t xml:space="preserve"> zwischen </w:t>
            </w:r>
            <w:r w:rsidRPr="008D5171">
              <w:rPr>
                <w:highlight w:val="yellow"/>
              </w:rPr>
              <w:t>…</w:t>
            </w:r>
            <w:r w:rsidR="00D20D7D">
              <w:rPr>
                <w:highlight w:val="yellow"/>
              </w:rPr>
              <w:t>,</w:t>
            </w:r>
            <w:r w:rsidR="00D20D7D" w:rsidRPr="00D20D7D">
              <w:t xml:space="preserve"> </w:t>
            </w:r>
            <w:r w:rsidRPr="00D20D7D">
              <w:t>(NSNW AG</w:t>
            </w:r>
            <w:r>
              <w:t xml:space="preserve">) und Marianno Palumbo, sind weitere Anmerkungen und Korrekturwünsche eingegangen. </w:t>
            </w:r>
          </w:p>
          <w:p w:rsidR="00D20D7D" w:rsidRDefault="00D20D7D" w:rsidP="00D20D7D">
            <w:r>
              <w:t>Die wesentlichen zu bearbeitenden Punkte sind:</w:t>
            </w:r>
          </w:p>
          <w:p w:rsidR="00D20D7D" w:rsidRPr="00D20D7D" w:rsidRDefault="00D20D7D" w:rsidP="00D20D7D">
            <w:pPr>
              <w:pStyle w:val="Listenabsatz"/>
              <w:numPr>
                <w:ilvl w:val="0"/>
                <w:numId w:val="18"/>
              </w:numPr>
              <w:tabs>
                <w:tab w:val="left" w:pos="1020"/>
              </w:tabs>
              <w:rPr>
                <w:highlight w:val="yellow"/>
              </w:rPr>
            </w:pPr>
            <w:r w:rsidRPr="00D20D7D">
              <w:rPr>
                <w:highlight w:val="yellow"/>
              </w:rPr>
              <w:t>…</w:t>
            </w:r>
          </w:p>
          <w:p w:rsidR="00D20D7D" w:rsidRPr="00D20D7D" w:rsidRDefault="00D20D7D" w:rsidP="00D20D7D">
            <w:pPr>
              <w:pStyle w:val="Listenabsatz"/>
              <w:numPr>
                <w:ilvl w:val="0"/>
                <w:numId w:val="18"/>
              </w:numPr>
              <w:tabs>
                <w:tab w:val="left" w:pos="1020"/>
              </w:tabs>
              <w:rPr>
                <w:highlight w:val="yellow"/>
              </w:rPr>
            </w:pPr>
            <w:r w:rsidRPr="00D20D7D">
              <w:rPr>
                <w:highlight w:val="yellow"/>
              </w:rPr>
              <w:t>…</w:t>
            </w:r>
          </w:p>
          <w:p w:rsidR="00D20D7D" w:rsidRPr="00D20D7D" w:rsidRDefault="00D20D7D" w:rsidP="00D20D7D">
            <w:pPr>
              <w:pStyle w:val="Listenabsatz"/>
              <w:numPr>
                <w:ilvl w:val="0"/>
                <w:numId w:val="18"/>
              </w:numPr>
              <w:tabs>
                <w:tab w:val="left" w:pos="1020"/>
              </w:tabs>
              <w:rPr>
                <w:highlight w:val="yellow"/>
              </w:rPr>
            </w:pPr>
            <w:r w:rsidRPr="00D20D7D">
              <w:rPr>
                <w:highlight w:val="yellow"/>
              </w:rPr>
              <w:t>…</w:t>
            </w:r>
          </w:p>
          <w:p w:rsidR="00D20D7D" w:rsidRPr="00D20D7D" w:rsidRDefault="00D20D7D" w:rsidP="00D20D7D">
            <w:pPr>
              <w:pStyle w:val="Listenabsatz"/>
              <w:numPr>
                <w:ilvl w:val="0"/>
                <w:numId w:val="18"/>
              </w:numPr>
              <w:tabs>
                <w:tab w:val="left" w:pos="1020"/>
              </w:tabs>
              <w:rPr>
                <w:highlight w:val="yellow"/>
              </w:rPr>
            </w:pPr>
            <w:r w:rsidRPr="00D20D7D">
              <w:rPr>
                <w:highlight w:val="yellow"/>
              </w:rPr>
              <w:t>…</w:t>
            </w:r>
          </w:p>
          <w:p w:rsidR="00DB0708" w:rsidRPr="00C21610" w:rsidRDefault="00D20D7D" w:rsidP="00D20D7D">
            <w:r>
              <w:t xml:space="preserve">Die Schätzung für die Ergänzung und </w:t>
            </w:r>
            <w:r w:rsidR="00997242">
              <w:t>Überarbeitung</w:t>
            </w:r>
            <w:r>
              <w:t xml:space="preserve"> dieser Rückmeldungen und Stellungnahmen belaufen sich </w:t>
            </w:r>
            <w:r w:rsidRPr="00D20D7D">
              <w:t xml:space="preserve">auf </w:t>
            </w:r>
            <w:r w:rsidRPr="00D20D7D">
              <w:rPr>
                <w:highlight w:val="yellow"/>
              </w:rPr>
              <w:t>………….</w:t>
            </w:r>
            <w:r w:rsidRPr="00D20D7D">
              <w:t>h.</w:t>
            </w:r>
          </w:p>
        </w:tc>
        <w:tc>
          <w:tcPr>
            <w:tcW w:w="880" w:type="dxa"/>
          </w:tcPr>
          <w:p w:rsidR="00B37BC2" w:rsidRPr="003975B7" w:rsidRDefault="00B37BC2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B37BC2" w:rsidRPr="003975B7" w:rsidRDefault="008D5171" w:rsidP="006F27AD">
            <w:pPr>
              <w:jc w:val="right"/>
            </w:pPr>
            <w:r w:rsidRPr="00D20D7D">
              <w:rPr>
                <w:highlight w:val="yellow"/>
              </w:rPr>
              <w:t>40</w:t>
            </w:r>
            <w:r>
              <w:t xml:space="preserve"> h</w:t>
            </w:r>
          </w:p>
        </w:tc>
      </w:tr>
      <w:tr w:rsidR="00B37BC2" w:rsidRPr="003975B7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Default="008D5171" w:rsidP="008D5171">
            <w:r>
              <w:rPr>
                <w:b/>
              </w:rPr>
              <w:t xml:space="preserve">Pilot-Versuch </w:t>
            </w:r>
            <w:r>
              <w:rPr>
                <w:b/>
              </w:rPr>
              <w:sym w:font="Symbol" w:char="F0AE"/>
            </w:r>
            <w:r>
              <w:rPr>
                <w:b/>
              </w:rPr>
              <w:t xml:space="preserve"> Prüfung durch Schachverständigen</w:t>
            </w:r>
            <w:r w:rsidR="00B37BC2">
              <w:rPr>
                <w:b/>
              </w:rPr>
              <w:t>:</w:t>
            </w:r>
            <w:r w:rsidR="00B37BC2">
              <w:rPr>
                <w:b/>
              </w:rPr>
              <w:br/>
            </w:r>
            <w:r>
              <w:t>Anlässlich der PS 48/2019 wurde die INGE EPSI informiert, dass ein Pilot-Versuch mittels eines prüfenden Sachverständigen erfolgen soll. Mit dieser Massnahme soll versucht werden, die Nachträge von UN-Seite zu reduzieren.</w:t>
            </w:r>
          </w:p>
          <w:p w:rsidR="008D5171" w:rsidRDefault="008D5171" w:rsidP="008D5171">
            <w:r>
              <w:t>Für diese Position werden…</w:t>
            </w:r>
          </w:p>
          <w:p w:rsidR="008D5171" w:rsidRDefault="008D5171" w:rsidP="008D5171">
            <w:pPr>
              <w:pStyle w:val="Listenabsatz"/>
              <w:numPr>
                <w:ilvl w:val="0"/>
                <w:numId w:val="18"/>
              </w:numPr>
              <w:tabs>
                <w:tab w:val="left" w:pos="1020"/>
              </w:tabs>
            </w:pPr>
            <w:r w:rsidRPr="00D20D7D">
              <w:rPr>
                <w:highlight w:val="yellow"/>
              </w:rPr>
              <w:t>20</w:t>
            </w:r>
            <w:r>
              <w:t xml:space="preserve"> h </w:t>
            </w:r>
            <w:r>
              <w:tab/>
              <w:t>für die Vorbereitung der Unterlagen und die Anleitung des Sach</w:t>
            </w:r>
            <w:r w:rsidR="00D20D7D">
              <w:t>-</w:t>
            </w:r>
            <w:r>
              <w:tab/>
            </w:r>
            <w:r>
              <w:tab/>
              <w:t>verständigen und</w:t>
            </w:r>
          </w:p>
          <w:p w:rsidR="00D20D7D" w:rsidRDefault="00997242" w:rsidP="00D20D7D">
            <w:pPr>
              <w:pStyle w:val="Listenabsatz"/>
              <w:numPr>
                <w:ilvl w:val="0"/>
                <w:numId w:val="18"/>
              </w:numPr>
              <w:tabs>
                <w:tab w:val="left" w:pos="1020"/>
              </w:tabs>
            </w:pPr>
            <w:r w:rsidRPr="00D20D7D">
              <w:rPr>
                <w:highlight w:val="yellow"/>
              </w:rPr>
              <w:t>80</w:t>
            </w:r>
            <w:r>
              <w:t xml:space="preserve"> h </w:t>
            </w:r>
            <w:r>
              <w:tab/>
              <w:t>für die Rückmeldungsveranstaltung und Einarbeitung der Korrekturen und Anpassungen vorgegeben.</w:t>
            </w:r>
          </w:p>
          <w:p w:rsidR="00D20D7D" w:rsidRPr="00B37BC2" w:rsidRDefault="00D20D7D" w:rsidP="00D20D7D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>Entspricht nicht dem Stundenmix aus dem Grundauftrag, viele Ing. Stunden.</w:t>
            </w:r>
          </w:p>
        </w:tc>
        <w:tc>
          <w:tcPr>
            <w:tcW w:w="880" w:type="dxa"/>
          </w:tcPr>
          <w:p w:rsidR="00B37BC2" w:rsidRPr="003975B7" w:rsidRDefault="00B37BC2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B37BC2" w:rsidRPr="003975B7" w:rsidRDefault="008D5171" w:rsidP="006F27AD">
            <w:pPr>
              <w:jc w:val="right"/>
            </w:pPr>
            <w:r w:rsidRPr="00D20D7D">
              <w:rPr>
                <w:highlight w:val="yellow"/>
              </w:rPr>
              <w:t>100</w:t>
            </w:r>
            <w:r>
              <w:t xml:space="preserve"> h</w:t>
            </w:r>
          </w:p>
        </w:tc>
      </w:tr>
      <w:tr w:rsidR="00D20D7D" w:rsidRPr="003975B7" w:rsidTr="00C92D8B">
        <w:tc>
          <w:tcPr>
            <w:tcW w:w="675" w:type="dxa"/>
          </w:tcPr>
          <w:p w:rsidR="00D20D7D" w:rsidRPr="00D20D7D" w:rsidRDefault="00D20D7D" w:rsidP="006F27AD">
            <w:pPr>
              <w:pStyle w:val="Listenabsatz"/>
              <w:numPr>
                <w:ilvl w:val="0"/>
                <w:numId w:val="16"/>
              </w:numPr>
              <w:rPr>
                <w:highlight w:val="yellow"/>
              </w:rPr>
            </w:pPr>
          </w:p>
        </w:tc>
        <w:tc>
          <w:tcPr>
            <w:tcW w:w="7230" w:type="dxa"/>
          </w:tcPr>
          <w:p w:rsidR="00D20D7D" w:rsidRPr="00D20D7D" w:rsidRDefault="008D748F" w:rsidP="008D5171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Bearbeitungsfehler durch INGE bei der Submissionserarbeitung</w:t>
            </w:r>
            <w:r w:rsidR="00D20D7D" w:rsidRPr="00D20D7D">
              <w:rPr>
                <w:b/>
                <w:highlight w:val="yellow"/>
              </w:rPr>
              <w:t>:</w:t>
            </w:r>
          </w:p>
          <w:p w:rsidR="00D20D7D" w:rsidRPr="00D20D7D" w:rsidRDefault="008D748F" w:rsidP="00997242">
            <w:pPr>
              <w:rPr>
                <w:b/>
                <w:highlight w:val="yellow"/>
              </w:rPr>
            </w:pPr>
            <w:r w:rsidRPr="008D748F">
              <w:rPr>
                <w:highlight w:val="yellow"/>
              </w:rPr>
              <w:t xml:space="preserve">Bei der Bearbeitung der Unterlagen sind einige Fehler </w:t>
            </w:r>
            <w:r w:rsidR="00997242" w:rsidRPr="008D748F">
              <w:rPr>
                <w:highlight w:val="yellow"/>
              </w:rPr>
              <w:t>aufgetreten</w:t>
            </w:r>
            <w:r w:rsidRPr="008D748F">
              <w:rPr>
                <w:highlight w:val="yellow"/>
              </w:rPr>
              <w:t xml:space="preserve">, welche durch die INGE nicht erfolgen hätten sollen. Für diese Fehler nehmen wir </w:t>
            </w:r>
            <w:r w:rsidR="00997242">
              <w:rPr>
                <w:highlight w:val="yellow"/>
              </w:rPr>
              <w:t>8</w:t>
            </w:r>
            <w:r w:rsidRPr="008D748F">
              <w:rPr>
                <w:highlight w:val="yellow"/>
              </w:rPr>
              <w:t>0h zu unseren Lasten.</w:t>
            </w:r>
          </w:p>
        </w:tc>
        <w:tc>
          <w:tcPr>
            <w:tcW w:w="880" w:type="dxa"/>
          </w:tcPr>
          <w:p w:rsidR="00D20D7D" w:rsidRPr="003975B7" w:rsidRDefault="008D748F" w:rsidP="006F27AD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D20D7D" w:rsidRPr="008D748F" w:rsidRDefault="008D748F" w:rsidP="00997242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r w:rsidR="00997242">
              <w:rPr>
                <w:highlight w:val="yellow"/>
              </w:rPr>
              <w:t>8</w:t>
            </w:r>
            <w:r w:rsidRPr="008D748F">
              <w:rPr>
                <w:highlight w:val="yellow"/>
              </w:rPr>
              <w:t>0 h</w:t>
            </w:r>
          </w:p>
        </w:tc>
      </w:tr>
      <w:tr w:rsidR="00576E22" w:rsidRPr="003975B7" w:rsidTr="00C92D8B">
        <w:tc>
          <w:tcPr>
            <w:tcW w:w="675" w:type="dxa"/>
          </w:tcPr>
          <w:p w:rsidR="00576E22" w:rsidRPr="00D20D7D" w:rsidRDefault="00576E22" w:rsidP="006F27AD">
            <w:pPr>
              <w:pStyle w:val="Listenabsatz"/>
              <w:numPr>
                <w:ilvl w:val="0"/>
                <w:numId w:val="16"/>
              </w:numPr>
              <w:rPr>
                <w:highlight w:val="yellow"/>
              </w:rPr>
            </w:pPr>
          </w:p>
        </w:tc>
        <w:tc>
          <w:tcPr>
            <w:tcW w:w="7230" w:type="dxa"/>
          </w:tcPr>
          <w:p w:rsidR="00576E22" w:rsidRPr="00D20D7D" w:rsidRDefault="00576E22" w:rsidP="00DA2787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…</w:t>
            </w:r>
            <w:r w:rsidRPr="00D20D7D">
              <w:rPr>
                <w:b/>
                <w:highlight w:val="yellow"/>
              </w:rPr>
              <w:t>:</w:t>
            </w:r>
          </w:p>
          <w:p w:rsidR="00576E22" w:rsidRPr="00D20D7D" w:rsidRDefault="00576E22" w:rsidP="00DA2787">
            <w:pPr>
              <w:rPr>
                <w:b/>
                <w:highlight w:val="yellow"/>
              </w:rPr>
            </w:pPr>
            <w:r>
              <w:rPr>
                <w:highlight w:val="yellow"/>
              </w:rPr>
              <w:t>..</w:t>
            </w:r>
            <w:r w:rsidRPr="008D748F">
              <w:rPr>
                <w:highlight w:val="yellow"/>
              </w:rPr>
              <w:t>.</w:t>
            </w:r>
          </w:p>
        </w:tc>
        <w:tc>
          <w:tcPr>
            <w:tcW w:w="880" w:type="dxa"/>
          </w:tcPr>
          <w:p w:rsidR="00576E22" w:rsidRPr="003975B7" w:rsidRDefault="00576E22" w:rsidP="00DA2787">
            <w:pPr>
              <w:jc w:val="center"/>
            </w:pPr>
            <w:r>
              <w:t>=</w:t>
            </w:r>
          </w:p>
        </w:tc>
        <w:tc>
          <w:tcPr>
            <w:tcW w:w="880" w:type="dxa"/>
          </w:tcPr>
          <w:p w:rsidR="00576E22" w:rsidRPr="008D748F" w:rsidRDefault="00576E22" w:rsidP="00576E22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...</w:t>
            </w:r>
            <w:r w:rsidRPr="008D748F">
              <w:rPr>
                <w:highlight w:val="yellow"/>
              </w:rPr>
              <w:t xml:space="preserve"> h</w:t>
            </w:r>
          </w:p>
        </w:tc>
      </w:tr>
    </w:tbl>
    <w:p w:rsidR="00F51FA7" w:rsidRDefault="00F51FA7" w:rsidP="00EB0FA6">
      <w:pPr>
        <w:pStyle w:val="berschrift1"/>
        <w:numPr>
          <w:ilvl w:val="0"/>
          <w:numId w:val="0"/>
        </w:numPr>
        <w:ind w:left="431" w:hanging="431"/>
        <w:sectPr w:rsidR="00F51FA7" w:rsidSect="00B4752B">
          <w:footerReference w:type="default" r:id="rId20"/>
          <w:footerReference w:type="first" r:id="rId21"/>
          <w:type w:val="continuous"/>
          <w:pgSz w:w="11907" w:h="16840" w:code="9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</w:p>
    <w:p w:rsidR="00DD13E3" w:rsidRDefault="002C2E8A" w:rsidP="002C2E8A">
      <w:pPr>
        <w:pStyle w:val="berschrift1"/>
      </w:pPr>
      <w:r>
        <w:lastRenderedPageBreak/>
        <w:t>Nachtragszusammenstellung</w:t>
      </w:r>
    </w:p>
    <w:p w:rsidR="006307C9" w:rsidRPr="002950E6" w:rsidRDefault="002C2E8A" w:rsidP="0074083C">
      <w:r>
        <w:t xml:space="preserve">Nachfolgend sind die Leistungen gemäss den </w:t>
      </w:r>
      <w:r w:rsidR="007D463A">
        <w:t>vorhergehenden</w:t>
      </w:r>
      <w:r>
        <w:t xml:space="preserve"> Beschreibungen zusammengestellt:</w:t>
      </w:r>
    </w:p>
    <w:p w:rsidR="00F93BCC" w:rsidRPr="00C21610" w:rsidRDefault="00650FBD" w:rsidP="00D20D7D">
      <w:pPr>
        <w:pStyle w:val="MFG"/>
        <w:tabs>
          <w:tab w:val="clear" w:pos="6277"/>
          <w:tab w:val="center" w:pos="6946"/>
        </w:tabs>
        <w:outlineLvl w:val="0"/>
        <w:rPr>
          <w:b/>
          <w:color w:val="FF0000"/>
          <w:sz w:val="8"/>
        </w:rPr>
      </w:pPr>
      <w:r>
        <w:rPr>
          <w:noProof/>
        </w:rPr>
        <w:object w:dxaOrig="1440" w:dyaOrig="1440">
          <v:shape id="_x0000_s1029" type="#_x0000_t75" style="position:absolute;left:0;text-align:left;margin-left:0;margin-top:46.35pt;width:747.1pt;height:266.05pt;z-index:251659264;mso-position-horizontal:left;mso-position-horizontal-relative:text;mso-position-vertical-relative:text">
            <v:imagedata r:id="rId22" o:title=""/>
            <w10:wrap type="square" side="right"/>
          </v:shape>
          <o:OLEObject Type="Embed" ProgID="Excel.Sheet.12" ShapeID="_x0000_s1029" DrawAspect="Content" ObjectID="_1620544836" r:id="rId23"/>
        </w:object>
      </w:r>
      <w:r w:rsidR="00D2738D">
        <w:rPr>
          <w:b/>
          <w:sz w:val="8"/>
        </w:rPr>
        <w:br w:type="textWrapping" w:clear="all"/>
      </w:r>
    </w:p>
    <w:p w:rsidR="00F51FA7" w:rsidRDefault="00F51FA7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sz w:val="24"/>
        </w:rPr>
        <w:sectPr w:rsidR="00F51FA7" w:rsidSect="00D73ADB">
          <w:headerReference w:type="default" r:id="rId24"/>
          <w:headerReference w:type="first" r:id="rId25"/>
          <w:pgSz w:w="16839" w:h="11907" w:orient="landscape" w:code="9"/>
          <w:pgMar w:top="1531" w:right="1531" w:bottom="851" w:left="993" w:header="510" w:footer="284" w:gutter="0"/>
          <w:cols w:space="720"/>
          <w:formProt w:val="0"/>
          <w:titlePg/>
          <w:docGrid w:linePitch="299"/>
        </w:sectPr>
      </w:pPr>
    </w:p>
    <w:p w:rsidR="001D6245" w:rsidRDefault="001D6245" w:rsidP="0038655A"/>
    <w:p w:rsidR="001D6245" w:rsidRDefault="001D6245" w:rsidP="0038655A"/>
    <w:p w:rsidR="005A7BFA" w:rsidRPr="006726DC" w:rsidRDefault="005A7BFA" w:rsidP="0038655A">
      <w:r w:rsidRPr="006726DC">
        <w:t>Wir hoffen, wir konnten mit unseren Beschreibungen die zu erwartenden Veränderungen nachvollziehbar aufzeigen.</w:t>
      </w:r>
    </w:p>
    <w:p w:rsidR="005A7BFA" w:rsidRPr="006726DC" w:rsidRDefault="005A7BFA" w:rsidP="0038655A"/>
    <w:p w:rsidR="0038655A" w:rsidRPr="006726DC" w:rsidRDefault="0038655A" w:rsidP="0038655A">
      <w:r w:rsidRPr="006726DC">
        <w:t>Für weitere Auskünfte</w:t>
      </w:r>
      <w:r w:rsidR="00B84C1D" w:rsidRPr="006726DC">
        <w:t xml:space="preserve"> </w:t>
      </w:r>
      <w:r w:rsidRPr="006726DC">
        <w:t>steh</w:t>
      </w:r>
      <w:r w:rsidR="00B84C1D" w:rsidRPr="006726DC">
        <w:t>en</w:t>
      </w:r>
      <w:r w:rsidRPr="006726DC">
        <w:t xml:space="preserve"> Ihnen Beat Schädler (Tel. 061 365 24 26) und Stefan Roth (Tel. 061 467 67 83) gerne zur Verfügung.</w:t>
      </w:r>
    </w:p>
    <w:p w:rsidR="0038655A" w:rsidRPr="006726DC" w:rsidRDefault="0038655A" w:rsidP="0038655A"/>
    <w:p w:rsidR="0038655A" w:rsidRPr="006726DC" w:rsidRDefault="0038655A" w:rsidP="0038655A">
      <w:r w:rsidRPr="006726DC">
        <w:t>Freundliche Grüsse</w:t>
      </w:r>
    </w:p>
    <w:p w:rsidR="0038655A" w:rsidRPr="006726DC" w:rsidRDefault="0038655A" w:rsidP="0038655A"/>
    <w:p w:rsidR="0038655A" w:rsidRPr="006726DC" w:rsidRDefault="0038655A" w:rsidP="0038655A">
      <w:pPr>
        <w:rPr>
          <w:lang w:val="de-DE"/>
        </w:rPr>
      </w:pPr>
      <w:r w:rsidRPr="006726DC"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38655A" w:rsidRPr="006726DC" w:rsidTr="009622BC">
        <w:trPr>
          <w:trHeight w:hRule="exact" w:val="819"/>
        </w:trPr>
        <w:tc>
          <w:tcPr>
            <w:tcW w:w="3402" w:type="dxa"/>
            <w:vAlign w:val="bottom"/>
          </w:tcPr>
          <w:p w:rsidR="0038655A" w:rsidRPr="006726DC" w:rsidRDefault="0038655A" w:rsidP="00A66CB5">
            <w:pPr>
              <w:rPr>
                <w:rFonts w:cs="Arial"/>
                <w:lang w:val="de-DE"/>
              </w:rPr>
            </w:pPr>
          </w:p>
          <w:p w:rsidR="0038655A" w:rsidRPr="006726DC" w:rsidRDefault="0038655A" w:rsidP="00A66CB5">
            <w:pPr>
              <w:rPr>
                <w:rFonts w:cs="Arial"/>
                <w:lang w:val="de-DE"/>
              </w:rPr>
            </w:pPr>
          </w:p>
        </w:tc>
      </w:tr>
    </w:tbl>
    <w:p w:rsidR="008A05BB" w:rsidRPr="00D91009" w:rsidRDefault="0038655A">
      <w:pPr>
        <w:overflowPunct/>
        <w:autoSpaceDE/>
        <w:autoSpaceDN/>
        <w:adjustRightInd/>
        <w:jc w:val="left"/>
        <w:textAlignment w:val="auto"/>
      </w:pPr>
      <w:r w:rsidRPr="006726DC">
        <w:t>Stefan Roth</w:t>
      </w:r>
      <w:r w:rsidRPr="006726DC">
        <w:tab/>
        <w:t xml:space="preserve">         </w:t>
      </w:r>
      <w:r w:rsidR="00A46F95" w:rsidRPr="006726DC">
        <w:t xml:space="preserve">    </w:t>
      </w:r>
      <w:r w:rsidR="0018773E" w:rsidRPr="006726DC">
        <w:t xml:space="preserve"> </w:t>
      </w:r>
      <w:r w:rsidR="007D3E2C" w:rsidRPr="006726DC">
        <w:t xml:space="preserve">           </w:t>
      </w:r>
      <w:r w:rsidR="0018773E" w:rsidRPr="006726DC">
        <w:t>Beat Schädler</w:t>
      </w:r>
    </w:p>
    <w:p w:rsidR="0018773E" w:rsidRDefault="0018773E">
      <w:pPr>
        <w:overflowPunct/>
        <w:autoSpaceDE/>
        <w:autoSpaceDN/>
        <w:adjustRightInd/>
        <w:jc w:val="left"/>
        <w:textAlignment w:val="auto"/>
      </w:pPr>
    </w:p>
    <w:sectPr w:rsidR="0018773E" w:rsidSect="00F51FA7">
      <w:headerReference w:type="first" r:id="rId26"/>
      <w:pgSz w:w="11907" w:h="16840" w:code="9"/>
      <w:pgMar w:top="1531" w:right="851" w:bottom="993" w:left="1531" w:header="510" w:footer="28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BCC" w:rsidRDefault="00F93BCC">
      <w:r>
        <w:separator/>
      </w:r>
    </w:p>
  </w:endnote>
  <w:endnote w:type="continuationSeparator" w:id="0">
    <w:p w:rsidR="00F93BCC" w:rsidRDefault="00F9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Pr="00EE43EF" w:rsidRDefault="00F93BCC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2"/>
        <w:szCs w:val="12"/>
        <w:lang w:val="en-US"/>
      </w:rPr>
    </w:pPr>
    <w:r w:rsidRPr="00EE43EF">
      <w:rPr>
        <w:sz w:val="18"/>
        <w:lang w:val="en-US"/>
      </w:rPr>
      <w:t xml:space="preserve">Mittens,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650FBD">
      <w:rPr>
        <w:noProof/>
        <w:sz w:val="18"/>
        <w:lang w:val="de-DE"/>
      </w:rPr>
      <w:t>28. Mai 2019</w:t>
    </w:r>
    <w:r>
      <w:rPr>
        <w:sz w:val="18"/>
        <w:lang w:val="de-DE"/>
      </w:rPr>
      <w:fldChar w:fldCharType="end"/>
    </w:r>
    <w:r w:rsidRPr="00EE43EF">
      <w:rPr>
        <w:sz w:val="18"/>
        <w:lang w:val="en-US"/>
      </w:rPr>
      <w:t xml:space="preserve"> SR/cd</w:t>
    </w:r>
    <w:r w:rsidRPr="00EE43EF">
      <w:rPr>
        <w:sz w:val="18"/>
        <w:lang w:val="en-US"/>
      </w:rPr>
      <w:tab/>
    </w:r>
    <w:r w:rsidRPr="008B4F92">
      <w:rPr>
        <w:sz w:val="10"/>
        <w:szCs w:val="12"/>
      </w:rPr>
      <w:fldChar w:fldCharType="begin"/>
    </w:r>
    <w:r w:rsidRPr="00EE43EF">
      <w:rPr>
        <w:sz w:val="10"/>
        <w:szCs w:val="12"/>
        <w:lang w:val="en-US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5553CD">
      <w:rPr>
        <w:noProof/>
        <w:sz w:val="10"/>
        <w:szCs w:val="12"/>
        <w:lang w:val="en-US"/>
      </w:rPr>
      <w:t>p:\701323\02_vkjs\offerten_no\no-10\20171220 no10 v1.1.docx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Default="00F93BCC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F93BCC" w:rsidRPr="00645BB6" w:rsidRDefault="00F93B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</w:t>
    </w:r>
    <w:r>
      <w:rPr>
        <w:sz w:val="16"/>
        <w:szCs w:val="16"/>
      </w:rPr>
      <w:t xml:space="preserve">/o JAUSLIN STEBLER </w:t>
    </w:r>
    <w:r w:rsidRPr="00645BB6">
      <w:rPr>
        <w:sz w:val="16"/>
        <w:szCs w:val="16"/>
      </w:rPr>
      <w:t>AG</w:t>
    </w:r>
  </w:p>
  <w:p w:rsidR="00F93BCC" w:rsidRDefault="00F93B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F93BCC" w:rsidRPr="00645BB6" w:rsidRDefault="00F93B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061 467 67 67 / E-Mail: info@jauslinstebler.ch</w:t>
    </w:r>
  </w:p>
  <w:p w:rsidR="00F93BCC" w:rsidRDefault="00F93BCC">
    <w:pPr>
      <w:pStyle w:val="Fuzeile"/>
      <w:rPr>
        <w:rFonts w:cs="Arial"/>
        <w:sz w:val="2"/>
        <w:lang w:val="de-DE"/>
      </w:rPr>
    </w:pPr>
  </w:p>
  <w:p w:rsidR="00F93BCC" w:rsidRDefault="00F93BCC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Pr="00813734" w:rsidRDefault="00F93BCC" w:rsidP="007D3E2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02.02.16, 14.06.17, 10.08.17</w:t>
    </w:r>
    <w:r w:rsidRPr="00813734">
      <w:rPr>
        <w:sz w:val="18"/>
        <w:lang w:val="en-US"/>
      </w:rPr>
      <w:tab/>
    </w:r>
    <w:r w:rsidRPr="002957AB">
      <w:rPr>
        <w:sz w:val="18"/>
        <w:lang w:val="en-US"/>
      </w:rPr>
      <w:t>p:\701323\02_vkjs</w:t>
    </w:r>
    <w:r>
      <w:rPr>
        <w:sz w:val="18"/>
        <w:lang w:val="en-US"/>
      </w:rPr>
      <w:t>\no\no-9\2017 06 14- no-9 - v0.3</w:t>
    </w:r>
    <w:r w:rsidRPr="002957AB">
      <w:rPr>
        <w:sz w:val="18"/>
        <w:lang w:val="en-US"/>
      </w:rPr>
      <w:t>.docx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Pr="00813734" w:rsidRDefault="00F93BCC" w:rsidP="001E1A4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02.02.16, 14.06.17, 10.08.17</w:t>
    </w:r>
    <w:r w:rsidRPr="00813734">
      <w:rPr>
        <w:sz w:val="18"/>
        <w:lang w:val="en-US"/>
      </w:rPr>
      <w:tab/>
    </w:r>
    <w:r w:rsidRPr="002957AB">
      <w:rPr>
        <w:sz w:val="18"/>
        <w:lang w:val="en-US"/>
      </w:rPr>
      <w:t>p:\701323\02_vkjs</w:t>
    </w:r>
    <w:r>
      <w:rPr>
        <w:sz w:val="18"/>
        <w:lang w:val="en-US"/>
      </w:rPr>
      <w:t>\no\no-9\2017 06 14- no-9 - v0.3</w:t>
    </w:r>
    <w:r w:rsidRPr="002957AB">
      <w:rPr>
        <w:sz w:val="18"/>
        <w:lang w:val="en-US"/>
      </w:rPr>
      <w:t>.docx</w:t>
    </w:r>
  </w:p>
  <w:p w:rsidR="00F93BCC" w:rsidRPr="00EE43EF" w:rsidRDefault="00F93BCC">
    <w:pPr>
      <w:pStyle w:val="Fuzeile"/>
      <w:rPr>
        <w:rFonts w:cs="Arial"/>
        <w:sz w:val="2"/>
        <w:lang w:val="en-US"/>
      </w:rPr>
    </w:pPr>
  </w:p>
  <w:p w:rsidR="00F93BCC" w:rsidRPr="00EE43EF" w:rsidRDefault="00F93BCC">
    <w:pPr>
      <w:pStyle w:val="Fuzeile"/>
      <w:rPr>
        <w:sz w:val="2"/>
        <w:szCs w:val="2"/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Pr="009D381B" w:rsidRDefault="009D381B" w:rsidP="009D381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14.06.2019</w:t>
    </w:r>
    <w:r>
      <w:rPr>
        <w:sz w:val="18"/>
        <w:lang w:val="en-US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Pr="00813734" w:rsidRDefault="008D5171" w:rsidP="00450A7D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r w:rsidRPr="00EE43EF">
      <w:rPr>
        <w:sz w:val="18"/>
        <w:lang w:val="en-US"/>
      </w:rPr>
      <w:t>Muttenz, SR</w:t>
    </w:r>
    <w:r>
      <w:rPr>
        <w:sz w:val="18"/>
        <w:lang w:val="en-US"/>
      </w:rPr>
      <w:t>, ShD</w:t>
    </w:r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14.06.2019</w:t>
    </w:r>
    <w:r w:rsidR="00F93BCC">
      <w:rPr>
        <w:sz w:val="18"/>
        <w:lang w:val="en-US"/>
      </w:rPr>
      <w:tab/>
    </w:r>
  </w:p>
  <w:p w:rsidR="00F93BCC" w:rsidRPr="00EE43EF" w:rsidRDefault="00F93BCC">
    <w:pPr>
      <w:pStyle w:val="Fuzeile"/>
      <w:rPr>
        <w:rFonts w:cs="Arial"/>
        <w:sz w:val="2"/>
        <w:lang w:val="en-US"/>
      </w:rPr>
    </w:pPr>
  </w:p>
  <w:p w:rsidR="00F93BCC" w:rsidRPr="00EE43EF" w:rsidRDefault="00F93BCC">
    <w:pPr>
      <w:pStyle w:val="Fuzeil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BCC" w:rsidRDefault="00F93BCC">
      <w:r>
        <w:separator/>
      </w:r>
    </w:p>
  </w:footnote>
  <w:footnote w:type="continuationSeparator" w:id="0">
    <w:p w:rsidR="00F93BCC" w:rsidRDefault="00F93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Default="00F93B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553CD">
      <w:rPr>
        <w:rStyle w:val="Seitenzahl"/>
        <w:noProof/>
        <w:sz w:val="16"/>
      </w:rPr>
      <w:t>6</w:t>
    </w:r>
    <w:r>
      <w:rPr>
        <w:rStyle w:val="Seitenzahl"/>
        <w:sz w:val="16"/>
      </w:rPr>
      <w:fldChar w:fldCharType="end"/>
    </w:r>
  </w:p>
  <w:p w:rsidR="00F93BCC" w:rsidRDefault="00F93B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F93BCC" w:rsidRPr="00645BB6" w:rsidRDefault="00F93B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Jauslin </w:t>
    </w:r>
    <w:r>
      <w:rPr>
        <w:sz w:val="16"/>
        <w:szCs w:val="16"/>
      </w:rPr>
      <w:t xml:space="preserve">Stebler </w:t>
    </w:r>
    <w:r w:rsidRPr="00645BB6">
      <w:rPr>
        <w:sz w:val="16"/>
        <w:szCs w:val="16"/>
      </w:rPr>
      <w:t>AG</w:t>
    </w:r>
  </w:p>
  <w:p w:rsidR="00F93BCC" w:rsidRDefault="00F93B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(JSAG)</w:t>
    </w:r>
  </w:p>
  <w:p w:rsidR="00F93BCC" w:rsidRDefault="00F93BCC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Default="00F93BCC" w:rsidP="00A36DF2">
    <w:pPr>
      <w:pStyle w:val="Kopfzeile"/>
      <w:tabs>
        <w:tab w:val="left" w:pos="4157"/>
        <w:tab w:val="center" w:pos="4678"/>
        <w:tab w:val="center" w:pos="4763"/>
      </w:tabs>
      <w:spacing w:after="240"/>
      <w:jc w:val="left"/>
      <w:rPr>
        <w:b/>
        <w:vertAlign w:val="superscript"/>
      </w:rPr>
    </w:pPr>
    <w:r>
      <w:rPr>
        <w:b/>
        <w:noProof/>
        <w:vertAlign w:val="superscript"/>
        <w:lang w:eastAsia="de-CH"/>
      </w:rPr>
      <w:drawing>
        <wp:inline distT="0" distB="0" distL="0" distR="0" wp14:anchorId="1CE0BCB6" wp14:editId="74B45D6B">
          <wp:extent cx="5940564" cy="719329"/>
          <wp:effectExtent l="0" t="0" r="3175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 Logo EPSI Sei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564" cy="719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93BCC" w:rsidRPr="00544441" w:rsidRDefault="00F93BCC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F93BCC" w:rsidRDefault="00F93BC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Default="00F93B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50FBD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F93BCC" w:rsidRDefault="00F93B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F93BCC" w:rsidRPr="00645BB6" w:rsidRDefault="00F93B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F93BCC" w:rsidRDefault="00F93B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(JS) und  B. Schädler (AeBo)</w:t>
    </w:r>
  </w:p>
  <w:p w:rsidR="00F93BCC" w:rsidRDefault="00F93BCC">
    <w:pPr>
      <w:pStyle w:val="Kopfzeile"/>
      <w:rPr>
        <w:sz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Default="00F93BCC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F93BCC" w:rsidRPr="00645BB6" w:rsidRDefault="00F93BCC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F93BCC" w:rsidRDefault="00F93BCC" w:rsidP="004A6C41">
    <w:pPr>
      <w:pStyle w:val="Kopfzeile"/>
      <w:pBdr>
        <w:bottom w:val="single" w:sz="6" w:space="6" w:color="auto"/>
      </w:pBdr>
      <w:ind w:right="-256"/>
      <w:rPr>
        <w:sz w:val="16"/>
      </w:rPr>
    </w:pPr>
    <w:r>
      <w:rPr>
        <w:sz w:val="16"/>
      </w:rPr>
      <w:t>Verfasser: St. Roth (JSAG) und  B. Schädler (AeBo)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>Beilage 1</w:t>
    </w:r>
  </w:p>
  <w:p w:rsidR="00F93BCC" w:rsidRDefault="00F93BCC" w:rsidP="00C20E4A">
    <w:pPr>
      <w:pStyle w:val="Kopfzeile"/>
      <w:rPr>
        <w:sz w:val="16"/>
      </w:rPr>
    </w:pPr>
  </w:p>
  <w:p w:rsidR="00F93BCC" w:rsidRPr="00C20E4A" w:rsidRDefault="00F93BCC" w:rsidP="00C20E4A">
    <w:pPr>
      <w:pStyle w:val="Kopfzeile"/>
      <w:rPr>
        <w:sz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Default="00F93B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553CD">
      <w:rPr>
        <w:rStyle w:val="Seitenzahl"/>
        <w:noProof/>
        <w:sz w:val="16"/>
      </w:rPr>
      <w:t>6</w:t>
    </w:r>
    <w:r>
      <w:rPr>
        <w:rStyle w:val="Seitenzahl"/>
        <w:sz w:val="16"/>
      </w:rPr>
      <w:fldChar w:fldCharType="end"/>
    </w:r>
  </w:p>
  <w:p w:rsidR="00F93BCC" w:rsidRDefault="00F93B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F93BCC" w:rsidRPr="00645BB6" w:rsidRDefault="00F93B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F93BCC" w:rsidRDefault="00F93B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(JS) und  B. Schädler (AeBo)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</w:p>
  <w:p w:rsidR="00F93BCC" w:rsidRDefault="00F93BCC">
    <w:pPr>
      <w:pStyle w:val="Kopfzeile"/>
      <w:rPr>
        <w:sz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Default="00F93BCC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F93BCC" w:rsidRPr="00645BB6" w:rsidRDefault="00F93BCC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</w:p>
  <w:p w:rsidR="00F93BCC" w:rsidRDefault="00F93BCC" w:rsidP="001D6245">
    <w:pPr>
      <w:pStyle w:val="Kopfzeile"/>
      <w:tabs>
        <w:tab w:val="clear" w:pos="9071"/>
        <w:tab w:val="right" w:pos="14317"/>
        <w:tab w:val="left" w:pos="21405"/>
      </w:tabs>
      <w:rPr>
        <w:sz w:val="16"/>
      </w:rPr>
    </w:pPr>
    <w:r>
      <w:rPr>
        <w:sz w:val="16"/>
      </w:rPr>
      <w:t>Verfasser: St. Roth (JSAG) und  B. Schädler (AeBo)</w:t>
    </w: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50FBD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  <w:p w:rsidR="00F93BCC" w:rsidRDefault="00F93BCC" w:rsidP="004A6C41">
    <w:pPr>
      <w:pStyle w:val="Kopfzeile"/>
      <w:pBdr>
        <w:bottom w:val="single" w:sz="6" w:space="6" w:color="auto"/>
      </w:pBdr>
      <w:ind w:right="-256"/>
      <w:rPr>
        <w:sz w:val="16"/>
      </w:rPr>
    </w:pPr>
  </w:p>
  <w:p w:rsidR="00F93BCC" w:rsidRDefault="00F93BCC" w:rsidP="00C20E4A">
    <w:pPr>
      <w:pStyle w:val="Kopfzeile"/>
      <w:rPr>
        <w:sz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CC" w:rsidRDefault="00F93BCC" w:rsidP="00F51FA7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</w:t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50FBD">
      <w:rPr>
        <w:rStyle w:val="Seitenzahl"/>
        <w:noProof/>
        <w:sz w:val="16"/>
      </w:rPr>
      <w:t>6</w:t>
    </w:r>
    <w:r>
      <w:rPr>
        <w:rStyle w:val="Seitenzahl"/>
        <w:sz w:val="16"/>
      </w:rPr>
      <w:fldChar w:fldCharType="end"/>
    </w:r>
  </w:p>
  <w:p w:rsidR="00F93BCC" w:rsidRPr="00645BB6" w:rsidRDefault="00F93BCC" w:rsidP="00F51FA7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F93BCC" w:rsidRDefault="00F93BCC" w:rsidP="004053A0">
    <w:pPr>
      <w:pStyle w:val="Kopfzeile"/>
      <w:tabs>
        <w:tab w:val="clear" w:pos="9071"/>
        <w:tab w:val="right" w:pos="9498"/>
      </w:tabs>
      <w:rPr>
        <w:sz w:val="16"/>
      </w:rPr>
    </w:pPr>
    <w:r>
      <w:rPr>
        <w:sz w:val="16"/>
      </w:rPr>
      <w:t>Verfasser: St. Roth (JS) und  B. Schädler (AeBo)</w:t>
    </w:r>
    <w:r>
      <w:rPr>
        <w:sz w:val="16"/>
      </w:rPr>
      <w:tab/>
    </w:r>
    <w:r>
      <w:rPr>
        <w:sz w:val="16"/>
      </w:rPr>
      <w:tab/>
    </w:r>
  </w:p>
  <w:p w:rsidR="00F93BCC" w:rsidRDefault="00F93BCC" w:rsidP="00F51FA7">
    <w:pPr>
      <w:pStyle w:val="Kopfzeile"/>
      <w:pBdr>
        <w:bottom w:val="single" w:sz="6" w:space="6" w:color="auto"/>
      </w:pBdr>
      <w:rPr>
        <w:sz w:val="16"/>
      </w:rPr>
    </w:pPr>
  </w:p>
  <w:p w:rsidR="00F93BCC" w:rsidRPr="00F51FA7" w:rsidRDefault="00F93BCC" w:rsidP="00F51F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07BF4B1D"/>
    <w:multiLevelType w:val="hybridMultilevel"/>
    <w:tmpl w:val="6672B40E"/>
    <w:lvl w:ilvl="0" w:tplc="6BCE45E2">
      <w:start w:val="10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E2160"/>
    <w:multiLevelType w:val="hybridMultilevel"/>
    <w:tmpl w:val="1CAAFCD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E90ABD"/>
    <w:multiLevelType w:val="hybridMultilevel"/>
    <w:tmpl w:val="401CBBD8"/>
    <w:lvl w:ilvl="0" w:tplc="2578C4F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42BA1"/>
    <w:multiLevelType w:val="hybridMultilevel"/>
    <w:tmpl w:val="7BFC077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D64CD0"/>
    <w:multiLevelType w:val="hybridMultilevel"/>
    <w:tmpl w:val="85B0464A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7D130C"/>
    <w:multiLevelType w:val="hybridMultilevel"/>
    <w:tmpl w:val="7BFC077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9E2D4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211B2E"/>
    <w:multiLevelType w:val="hybridMultilevel"/>
    <w:tmpl w:val="DEB45F2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B54E6"/>
    <w:multiLevelType w:val="hybridMultilevel"/>
    <w:tmpl w:val="95487A42"/>
    <w:lvl w:ilvl="0" w:tplc="A1BC5C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BC5870"/>
    <w:multiLevelType w:val="hybridMultilevel"/>
    <w:tmpl w:val="A0882176"/>
    <w:lvl w:ilvl="0" w:tplc="A1BC5C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2127B3"/>
    <w:multiLevelType w:val="hybridMultilevel"/>
    <w:tmpl w:val="F3521E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2471B"/>
    <w:multiLevelType w:val="hybridMultilevel"/>
    <w:tmpl w:val="39AC028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1E7B9B"/>
    <w:multiLevelType w:val="hybridMultilevel"/>
    <w:tmpl w:val="0E761890"/>
    <w:lvl w:ilvl="0" w:tplc="A1BC5C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15"/>
  </w:num>
  <w:num w:numId="8">
    <w:abstractNumId w:val="14"/>
  </w:num>
  <w:num w:numId="9">
    <w:abstractNumId w:val="8"/>
  </w:num>
  <w:num w:numId="10">
    <w:abstractNumId w:val="10"/>
  </w:num>
  <w:num w:numId="11">
    <w:abstractNumId w:val="5"/>
  </w:num>
  <w:num w:numId="12">
    <w:abstractNumId w:val="6"/>
  </w:num>
  <w:num w:numId="13">
    <w:abstractNumId w:val="7"/>
  </w:num>
  <w:num w:numId="14">
    <w:abstractNumId w:val="16"/>
  </w:num>
  <w:num w:numId="15">
    <w:abstractNumId w:val="12"/>
  </w:num>
  <w:num w:numId="16">
    <w:abstractNumId w:val="13"/>
  </w:num>
  <w:num w:numId="17">
    <w:abstractNumId w:val="2"/>
  </w:num>
  <w:num w:numId="1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0748"/>
    <w:rsid w:val="00001F94"/>
    <w:rsid w:val="000046E1"/>
    <w:rsid w:val="00005098"/>
    <w:rsid w:val="00007D2D"/>
    <w:rsid w:val="0001398F"/>
    <w:rsid w:val="00014B0E"/>
    <w:rsid w:val="000231C5"/>
    <w:rsid w:val="000232B0"/>
    <w:rsid w:val="00026391"/>
    <w:rsid w:val="00030F5F"/>
    <w:rsid w:val="000317E5"/>
    <w:rsid w:val="00036992"/>
    <w:rsid w:val="00036E2F"/>
    <w:rsid w:val="00041214"/>
    <w:rsid w:val="00042D28"/>
    <w:rsid w:val="000437E2"/>
    <w:rsid w:val="00045E4F"/>
    <w:rsid w:val="000465F3"/>
    <w:rsid w:val="000537D0"/>
    <w:rsid w:val="000543BD"/>
    <w:rsid w:val="00056714"/>
    <w:rsid w:val="000604AE"/>
    <w:rsid w:val="00062317"/>
    <w:rsid w:val="000628C0"/>
    <w:rsid w:val="00064DC6"/>
    <w:rsid w:val="00067848"/>
    <w:rsid w:val="00071D6A"/>
    <w:rsid w:val="00071F8A"/>
    <w:rsid w:val="00074156"/>
    <w:rsid w:val="00076907"/>
    <w:rsid w:val="00083D69"/>
    <w:rsid w:val="0008500F"/>
    <w:rsid w:val="00085A42"/>
    <w:rsid w:val="0008661C"/>
    <w:rsid w:val="00090CAE"/>
    <w:rsid w:val="000959C7"/>
    <w:rsid w:val="000A3997"/>
    <w:rsid w:val="000A520C"/>
    <w:rsid w:val="000B30F5"/>
    <w:rsid w:val="000B4A9F"/>
    <w:rsid w:val="000B4AE6"/>
    <w:rsid w:val="000B7581"/>
    <w:rsid w:val="000C65C5"/>
    <w:rsid w:val="000D1FA6"/>
    <w:rsid w:val="000D44DF"/>
    <w:rsid w:val="000D51C2"/>
    <w:rsid w:val="000D7A3A"/>
    <w:rsid w:val="000E0315"/>
    <w:rsid w:val="000E1079"/>
    <w:rsid w:val="000E10DF"/>
    <w:rsid w:val="000E19EF"/>
    <w:rsid w:val="000E284F"/>
    <w:rsid w:val="000E5CC5"/>
    <w:rsid w:val="000F19E2"/>
    <w:rsid w:val="000F6E0F"/>
    <w:rsid w:val="000F7EEB"/>
    <w:rsid w:val="00102A3F"/>
    <w:rsid w:val="001052D6"/>
    <w:rsid w:val="00107A54"/>
    <w:rsid w:val="00111844"/>
    <w:rsid w:val="00111F0F"/>
    <w:rsid w:val="001143E1"/>
    <w:rsid w:val="00120E99"/>
    <w:rsid w:val="001221FE"/>
    <w:rsid w:val="0012265B"/>
    <w:rsid w:val="001268A6"/>
    <w:rsid w:val="001276A0"/>
    <w:rsid w:val="00132FCB"/>
    <w:rsid w:val="001354E1"/>
    <w:rsid w:val="0013653F"/>
    <w:rsid w:val="00136CCD"/>
    <w:rsid w:val="00141829"/>
    <w:rsid w:val="00142357"/>
    <w:rsid w:val="00151C63"/>
    <w:rsid w:val="00152FA2"/>
    <w:rsid w:val="0015484A"/>
    <w:rsid w:val="0015572F"/>
    <w:rsid w:val="00156714"/>
    <w:rsid w:val="00160F33"/>
    <w:rsid w:val="001634B2"/>
    <w:rsid w:val="001734C0"/>
    <w:rsid w:val="00174D44"/>
    <w:rsid w:val="00175FFE"/>
    <w:rsid w:val="00180B02"/>
    <w:rsid w:val="00180B36"/>
    <w:rsid w:val="0018178F"/>
    <w:rsid w:val="00181903"/>
    <w:rsid w:val="00183082"/>
    <w:rsid w:val="00184595"/>
    <w:rsid w:val="00186873"/>
    <w:rsid w:val="0018710A"/>
    <w:rsid w:val="0018773E"/>
    <w:rsid w:val="001908FE"/>
    <w:rsid w:val="001939DA"/>
    <w:rsid w:val="00194D30"/>
    <w:rsid w:val="001972B8"/>
    <w:rsid w:val="001A1017"/>
    <w:rsid w:val="001A201F"/>
    <w:rsid w:val="001A21CE"/>
    <w:rsid w:val="001A47BB"/>
    <w:rsid w:val="001A5F90"/>
    <w:rsid w:val="001A6D8F"/>
    <w:rsid w:val="001B3E69"/>
    <w:rsid w:val="001C26D0"/>
    <w:rsid w:val="001C58A7"/>
    <w:rsid w:val="001D0D24"/>
    <w:rsid w:val="001D1701"/>
    <w:rsid w:val="001D232A"/>
    <w:rsid w:val="001D3B79"/>
    <w:rsid w:val="001D5A46"/>
    <w:rsid w:val="001D6245"/>
    <w:rsid w:val="001E0C5A"/>
    <w:rsid w:val="001E11A4"/>
    <w:rsid w:val="001E1A42"/>
    <w:rsid w:val="001E2421"/>
    <w:rsid w:val="001E748C"/>
    <w:rsid w:val="001E79CC"/>
    <w:rsid w:val="001E7EE0"/>
    <w:rsid w:val="001F00AC"/>
    <w:rsid w:val="001F4142"/>
    <w:rsid w:val="00201B55"/>
    <w:rsid w:val="00202487"/>
    <w:rsid w:val="00203878"/>
    <w:rsid w:val="00203F16"/>
    <w:rsid w:val="002050C1"/>
    <w:rsid w:val="002053CD"/>
    <w:rsid w:val="00206C1A"/>
    <w:rsid w:val="00207ED1"/>
    <w:rsid w:val="002211CE"/>
    <w:rsid w:val="002317D7"/>
    <w:rsid w:val="00234788"/>
    <w:rsid w:val="00236082"/>
    <w:rsid w:val="00236634"/>
    <w:rsid w:val="0023758F"/>
    <w:rsid w:val="0024424E"/>
    <w:rsid w:val="00244CDB"/>
    <w:rsid w:val="002461F5"/>
    <w:rsid w:val="00250DCC"/>
    <w:rsid w:val="00251675"/>
    <w:rsid w:val="00254D77"/>
    <w:rsid w:val="00255217"/>
    <w:rsid w:val="0025684A"/>
    <w:rsid w:val="00257F0E"/>
    <w:rsid w:val="002636C7"/>
    <w:rsid w:val="002639D5"/>
    <w:rsid w:val="00265616"/>
    <w:rsid w:val="00266139"/>
    <w:rsid w:val="00273EAF"/>
    <w:rsid w:val="00274805"/>
    <w:rsid w:val="002751F0"/>
    <w:rsid w:val="00275A84"/>
    <w:rsid w:val="00276AEE"/>
    <w:rsid w:val="002801F8"/>
    <w:rsid w:val="0028123C"/>
    <w:rsid w:val="00282DE3"/>
    <w:rsid w:val="00283ABF"/>
    <w:rsid w:val="002873C2"/>
    <w:rsid w:val="00291340"/>
    <w:rsid w:val="002929FD"/>
    <w:rsid w:val="00292C73"/>
    <w:rsid w:val="00292C7F"/>
    <w:rsid w:val="002950E6"/>
    <w:rsid w:val="002955CB"/>
    <w:rsid w:val="002957AB"/>
    <w:rsid w:val="00296CF0"/>
    <w:rsid w:val="002A1914"/>
    <w:rsid w:val="002A38EA"/>
    <w:rsid w:val="002A488B"/>
    <w:rsid w:val="002B272F"/>
    <w:rsid w:val="002C2E8A"/>
    <w:rsid w:val="002C4754"/>
    <w:rsid w:val="002C6BCB"/>
    <w:rsid w:val="002C7A27"/>
    <w:rsid w:val="002C7A64"/>
    <w:rsid w:val="002D16C0"/>
    <w:rsid w:val="002D261E"/>
    <w:rsid w:val="002D3770"/>
    <w:rsid w:val="002D47F1"/>
    <w:rsid w:val="002D5522"/>
    <w:rsid w:val="002D5DD2"/>
    <w:rsid w:val="002E244A"/>
    <w:rsid w:val="002F150A"/>
    <w:rsid w:val="002F2193"/>
    <w:rsid w:val="002F3A00"/>
    <w:rsid w:val="00301168"/>
    <w:rsid w:val="00302C64"/>
    <w:rsid w:val="00304CA8"/>
    <w:rsid w:val="00305AD7"/>
    <w:rsid w:val="00314ECD"/>
    <w:rsid w:val="00316A29"/>
    <w:rsid w:val="00316CE8"/>
    <w:rsid w:val="00320701"/>
    <w:rsid w:val="003246E8"/>
    <w:rsid w:val="0032517F"/>
    <w:rsid w:val="00326095"/>
    <w:rsid w:val="0032615C"/>
    <w:rsid w:val="00327E1E"/>
    <w:rsid w:val="00330E09"/>
    <w:rsid w:val="00341502"/>
    <w:rsid w:val="00344083"/>
    <w:rsid w:val="0034591D"/>
    <w:rsid w:val="00346470"/>
    <w:rsid w:val="00347DB7"/>
    <w:rsid w:val="003537A5"/>
    <w:rsid w:val="003553ED"/>
    <w:rsid w:val="003559E1"/>
    <w:rsid w:val="00363A63"/>
    <w:rsid w:val="00364D4E"/>
    <w:rsid w:val="003653CE"/>
    <w:rsid w:val="003729B7"/>
    <w:rsid w:val="00375ED2"/>
    <w:rsid w:val="00377FA8"/>
    <w:rsid w:val="00382037"/>
    <w:rsid w:val="0038509C"/>
    <w:rsid w:val="0038655A"/>
    <w:rsid w:val="003865FB"/>
    <w:rsid w:val="00386FA5"/>
    <w:rsid w:val="003910EF"/>
    <w:rsid w:val="00392E9D"/>
    <w:rsid w:val="003975B7"/>
    <w:rsid w:val="003A05F4"/>
    <w:rsid w:val="003A427C"/>
    <w:rsid w:val="003B1B9E"/>
    <w:rsid w:val="003B1E94"/>
    <w:rsid w:val="003B239B"/>
    <w:rsid w:val="003B255F"/>
    <w:rsid w:val="003C1381"/>
    <w:rsid w:val="003C3899"/>
    <w:rsid w:val="003D3299"/>
    <w:rsid w:val="003D34B9"/>
    <w:rsid w:val="003D3792"/>
    <w:rsid w:val="003D6D9A"/>
    <w:rsid w:val="003D7697"/>
    <w:rsid w:val="003E2599"/>
    <w:rsid w:val="003E491E"/>
    <w:rsid w:val="003E54B8"/>
    <w:rsid w:val="003E68DD"/>
    <w:rsid w:val="003F2151"/>
    <w:rsid w:val="00400B95"/>
    <w:rsid w:val="00401464"/>
    <w:rsid w:val="00402189"/>
    <w:rsid w:val="00402286"/>
    <w:rsid w:val="00402D50"/>
    <w:rsid w:val="004030BA"/>
    <w:rsid w:val="0040401D"/>
    <w:rsid w:val="004053A0"/>
    <w:rsid w:val="00407E10"/>
    <w:rsid w:val="00410FBE"/>
    <w:rsid w:val="004300D7"/>
    <w:rsid w:val="004303F5"/>
    <w:rsid w:val="0043411A"/>
    <w:rsid w:val="004437AF"/>
    <w:rsid w:val="0044546D"/>
    <w:rsid w:val="00445DC1"/>
    <w:rsid w:val="00446138"/>
    <w:rsid w:val="00450A7D"/>
    <w:rsid w:val="00455B0A"/>
    <w:rsid w:val="00457D80"/>
    <w:rsid w:val="00460F7D"/>
    <w:rsid w:val="00461C0A"/>
    <w:rsid w:val="00464584"/>
    <w:rsid w:val="00465237"/>
    <w:rsid w:val="00466241"/>
    <w:rsid w:val="004749E5"/>
    <w:rsid w:val="00475B9B"/>
    <w:rsid w:val="00476009"/>
    <w:rsid w:val="004778E8"/>
    <w:rsid w:val="00481E81"/>
    <w:rsid w:val="00482F70"/>
    <w:rsid w:val="00484F86"/>
    <w:rsid w:val="004863F9"/>
    <w:rsid w:val="004866B7"/>
    <w:rsid w:val="00494774"/>
    <w:rsid w:val="004A0190"/>
    <w:rsid w:val="004A2247"/>
    <w:rsid w:val="004A6C41"/>
    <w:rsid w:val="004A6F61"/>
    <w:rsid w:val="004B01C9"/>
    <w:rsid w:val="004B12F5"/>
    <w:rsid w:val="004B23F8"/>
    <w:rsid w:val="004B2668"/>
    <w:rsid w:val="004B6833"/>
    <w:rsid w:val="004B6A60"/>
    <w:rsid w:val="004B71AA"/>
    <w:rsid w:val="004B7DA2"/>
    <w:rsid w:val="004C0A19"/>
    <w:rsid w:val="004C0AF6"/>
    <w:rsid w:val="004C5085"/>
    <w:rsid w:val="004D21C2"/>
    <w:rsid w:val="004D2B69"/>
    <w:rsid w:val="004D44C7"/>
    <w:rsid w:val="004D7923"/>
    <w:rsid w:val="004E0F70"/>
    <w:rsid w:val="004E2706"/>
    <w:rsid w:val="004E6C81"/>
    <w:rsid w:val="004E6EF4"/>
    <w:rsid w:val="004F25B1"/>
    <w:rsid w:val="00502C82"/>
    <w:rsid w:val="005059C5"/>
    <w:rsid w:val="005072E1"/>
    <w:rsid w:val="005110A7"/>
    <w:rsid w:val="00512BE1"/>
    <w:rsid w:val="0051450A"/>
    <w:rsid w:val="00515AE1"/>
    <w:rsid w:val="00517DB9"/>
    <w:rsid w:val="00520CD9"/>
    <w:rsid w:val="00530810"/>
    <w:rsid w:val="00532D86"/>
    <w:rsid w:val="00537CE3"/>
    <w:rsid w:val="00550B1B"/>
    <w:rsid w:val="00553061"/>
    <w:rsid w:val="005553CD"/>
    <w:rsid w:val="005571FA"/>
    <w:rsid w:val="00560800"/>
    <w:rsid w:val="005610DC"/>
    <w:rsid w:val="00562CC9"/>
    <w:rsid w:val="00564638"/>
    <w:rsid w:val="00564857"/>
    <w:rsid w:val="00566E8A"/>
    <w:rsid w:val="00572C4B"/>
    <w:rsid w:val="00576E22"/>
    <w:rsid w:val="00580E33"/>
    <w:rsid w:val="005872E7"/>
    <w:rsid w:val="0059098A"/>
    <w:rsid w:val="005919D1"/>
    <w:rsid w:val="00595043"/>
    <w:rsid w:val="00596E32"/>
    <w:rsid w:val="005A1649"/>
    <w:rsid w:val="005A491E"/>
    <w:rsid w:val="005A6343"/>
    <w:rsid w:val="005A679B"/>
    <w:rsid w:val="005A7BFA"/>
    <w:rsid w:val="005A7F63"/>
    <w:rsid w:val="005B11B2"/>
    <w:rsid w:val="005B534A"/>
    <w:rsid w:val="005C3ADD"/>
    <w:rsid w:val="005C5738"/>
    <w:rsid w:val="005D0339"/>
    <w:rsid w:val="005D0562"/>
    <w:rsid w:val="005D63AC"/>
    <w:rsid w:val="005D6F17"/>
    <w:rsid w:val="005E3E85"/>
    <w:rsid w:val="005E5749"/>
    <w:rsid w:val="005E7BDC"/>
    <w:rsid w:val="005F5584"/>
    <w:rsid w:val="00601732"/>
    <w:rsid w:val="00611268"/>
    <w:rsid w:val="00612C40"/>
    <w:rsid w:val="00613423"/>
    <w:rsid w:val="00616E54"/>
    <w:rsid w:val="00621487"/>
    <w:rsid w:val="006307C9"/>
    <w:rsid w:val="00633E4C"/>
    <w:rsid w:val="00634543"/>
    <w:rsid w:val="00634F35"/>
    <w:rsid w:val="00636DC4"/>
    <w:rsid w:val="00643918"/>
    <w:rsid w:val="00645BB6"/>
    <w:rsid w:val="00645CDF"/>
    <w:rsid w:val="00650FBD"/>
    <w:rsid w:val="006511DA"/>
    <w:rsid w:val="00653C89"/>
    <w:rsid w:val="00655734"/>
    <w:rsid w:val="006572E6"/>
    <w:rsid w:val="00662300"/>
    <w:rsid w:val="0066307A"/>
    <w:rsid w:val="00671462"/>
    <w:rsid w:val="006726DC"/>
    <w:rsid w:val="00690E1C"/>
    <w:rsid w:val="00693AB9"/>
    <w:rsid w:val="00693BAF"/>
    <w:rsid w:val="00693ECD"/>
    <w:rsid w:val="006942F7"/>
    <w:rsid w:val="006A4807"/>
    <w:rsid w:val="006A4E9D"/>
    <w:rsid w:val="006A67B5"/>
    <w:rsid w:val="006B0D04"/>
    <w:rsid w:val="006B4E73"/>
    <w:rsid w:val="006B5B90"/>
    <w:rsid w:val="006B7176"/>
    <w:rsid w:val="006C0804"/>
    <w:rsid w:val="006C0ACC"/>
    <w:rsid w:val="006C2CFD"/>
    <w:rsid w:val="006C315D"/>
    <w:rsid w:val="006C4F15"/>
    <w:rsid w:val="006C5BB6"/>
    <w:rsid w:val="006D46EC"/>
    <w:rsid w:val="006D5AD4"/>
    <w:rsid w:val="006F23E1"/>
    <w:rsid w:val="006F27AD"/>
    <w:rsid w:val="007006EC"/>
    <w:rsid w:val="0070087F"/>
    <w:rsid w:val="00702BAD"/>
    <w:rsid w:val="00704493"/>
    <w:rsid w:val="0071227E"/>
    <w:rsid w:val="00715A2E"/>
    <w:rsid w:val="00716A25"/>
    <w:rsid w:val="00717EFC"/>
    <w:rsid w:val="00721A48"/>
    <w:rsid w:val="00724605"/>
    <w:rsid w:val="00726108"/>
    <w:rsid w:val="00731069"/>
    <w:rsid w:val="00731516"/>
    <w:rsid w:val="0073637C"/>
    <w:rsid w:val="007371F3"/>
    <w:rsid w:val="0074083C"/>
    <w:rsid w:val="00741932"/>
    <w:rsid w:val="007456F4"/>
    <w:rsid w:val="00745F2D"/>
    <w:rsid w:val="00746E06"/>
    <w:rsid w:val="0075176F"/>
    <w:rsid w:val="00753935"/>
    <w:rsid w:val="00753B17"/>
    <w:rsid w:val="00755B95"/>
    <w:rsid w:val="0076236A"/>
    <w:rsid w:val="00763AFE"/>
    <w:rsid w:val="00765F51"/>
    <w:rsid w:val="007704CB"/>
    <w:rsid w:val="0077429D"/>
    <w:rsid w:val="00774D62"/>
    <w:rsid w:val="00774DF3"/>
    <w:rsid w:val="00782B7A"/>
    <w:rsid w:val="00797292"/>
    <w:rsid w:val="007A2FB4"/>
    <w:rsid w:val="007A4142"/>
    <w:rsid w:val="007B0E82"/>
    <w:rsid w:val="007B4C2F"/>
    <w:rsid w:val="007B7065"/>
    <w:rsid w:val="007C4DA1"/>
    <w:rsid w:val="007C5B40"/>
    <w:rsid w:val="007D1458"/>
    <w:rsid w:val="007D1A89"/>
    <w:rsid w:val="007D3E2C"/>
    <w:rsid w:val="007D463A"/>
    <w:rsid w:val="007D4F03"/>
    <w:rsid w:val="007D5805"/>
    <w:rsid w:val="007D6A75"/>
    <w:rsid w:val="007E060B"/>
    <w:rsid w:val="007E31C9"/>
    <w:rsid w:val="007E5388"/>
    <w:rsid w:val="007E5682"/>
    <w:rsid w:val="007F2A44"/>
    <w:rsid w:val="00800C61"/>
    <w:rsid w:val="00811A1E"/>
    <w:rsid w:val="00813734"/>
    <w:rsid w:val="00817625"/>
    <w:rsid w:val="008178A9"/>
    <w:rsid w:val="00825B34"/>
    <w:rsid w:val="00835945"/>
    <w:rsid w:val="0083791B"/>
    <w:rsid w:val="00841572"/>
    <w:rsid w:val="00846939"/>
    <w:rsid w:val="00853128"/>
    <w:rsid w:val="008553C3"/>
    <w:rsid w:val="00856D90"/>
    <w:rsid w:val="00860A30"/>
    <w:rsid w:val="008615C5"/>
    <w:rsid w:val="00862387"/>
    <w:rsid w:val="00867546"/>
    <w:rsid w:val="00870EB9"/>
    <w:rsid w:val="008718A0"/>
    <w:rsid w:val="00875720"/>
    <w:rsid w:val="00883A91"/>
    <w:rsid w:val="008920D6"/>
    <w:rsid w:val="008957FD"/>
    <w:rsid w:val="008A05BB"/>
    <w:rsid w:val="008A2025"/>
    <w:rsid w:val="008A5AD2"/>
    <w:rsid w:val="008B01B2"/>
    <w:rsid w:val="008B0A70"/>
    <w:rsid w:val="008B184E"/>
    <w:rsid w:val="008B19B4"/>
    <w:rsid w:val="008B2088"/>
    <w:rsid w:val="008B271C"/>
    <w:rsid w:val="008B4F92"/>
    <w:rsid w:val="008C1C16"/>
    <w:rsid w:val="008C35D5"/>
    <w:rsid w:val="008C7C98"/>
    <w:rsid w:val="008C7CF9"/>
    <w:rsid w:val="008D5171"/>
    <w:rsid w:val="008D64CD"/>
    <w:rsid w:val="008D748F"/>
    <w:rsid w:val="008D7CC9"/>
    <w:rsid w:val="008E137A"/>
    <w:rsid w:val="008E3461"/>
    <w:rsid w:val="008E53AE"/>
    <w:rsid w:val="008E67C1"/>
    <w:rsid w:val="008F09C5"/>
    <w:rsid w:val="008F3437"/>
    <w:rsid w:val="008F5D81"/>
    <w:rsid w:val="008F7949"/>
    <w:rsid w:val="00901707"/>
    <w:rsid w:val="009026E7"/>
    <w:rsid w:val="0090502A"/>
    <w:rsid w:val="00905AAB"/>
    <w:rsid w:val="00910A3E"/>
    <w:rsid w:val="00910C6C"/>
    <w:rsid w:val="009116F0"/>
    <w:rsid w:val="00911A2C"/>
    <w:rsid w:val="00912084"/>
    <w:rsid w:val="00912BB7"/>
    <w:rsid w:val="0091487C"/>
    <w:rsid w:val="00916DC8"/>
    <w:rsid w:val="00917254"/>
    <w:rsid w:val="0092158E"/>
    <w:rsid w:val="00922301"/>
    <w:rsid w:val="00924AFF"/>
    <w:rsid w:val="00925811"/>
    <w:rsid w:val="009316D0"/>
    <w:rsid w:val="00945775"/>
    <w:rsid w:val="009458EE"/>
    <w:rsid w:val="00951719"/>
    <w:rsid w:val="00952B69"/>
    <w:rsid w:val="00960730"/>
    <w:rsid w:val="009622BC"/>
    <w:rsid w:val="00962DCC"/>
    <w:rsid w:val="00964227"/>
    <w:rsid w:val="00970E1F"/>
    <w:rsid w:val="00972809"/>
    <w:rsid w:val="00973587"/>
    <w:rsid w:val="0097709C"/>
    <w:rsid w:val="00977CE2"/>
    <w:rsid w:val="009847F8"/>
    <w:rsid w:val="00985C29"/>
    <w:rsid w:val="00990363"/>
    <w:rsid w:val="00990566"/>
    <w:rsid w:val="00992217"/>
    <w:rsid w:val="00994213"/>
    <w:rsid w:val="00995118"/>
    <w:rsid w:val="00997242"/>
    <w:rsid w:val="009A14F4"/>
    <w:rsid w:val="009A74DB"/>
    <w:rsid w:val="009B0B2F"/>
    <w:rsid w:val="009B2B14"/>
    <w:rsid w:val="009B7271"/>
    <w:rsid w:val="009B7388"/>
    <w:rsid w:val="009C3463"/>
    <w:rsid w:val="009C35B8"/>
    <w:rsid w:val="009C681F"/>
    <w:rsid w:val="009C6A76"/>
    <w:rsid w:val="009C6C8A"/>
    <w:rsid w:val="009D381B"/>
    <w:rsid w:val="009E09E7"/>
    <w:rsid w:val="009E0E61"/>
    <w:rsid w:val="009E1C94"/>
    <w:rsid w:val="009F095C"/>
    <w:rsid w:val="009F47E9"/>
    <w:rsid w:val="009F768A"/>
    <w:rsid w:val="00A0192A"/>
    <w:rsid w:val="00A037A1"/>
    <w:rsid w:val="00A03980"/>
    <w:rsid w:val="00A06870"/>
    <w:rsid w:val="00A117CC"/>
    <w:rsid w:val="00A11A2A"/>
    <w:rsid w:val="00A159D1"/>
    <w:rsid w:val="00A20181"/>
    <w:rsid w:val="00A201F0"/>
    <w:rsid w:val="00A2234B"/>
    <w:rsid w:val="00A32B15"/>
    <w:rsid w:val="00A351BF"/>
    <w:rsid w:val="00A36DF2"/>
    <w:rsid w:val="00A46F95"/>
    <w:rsid w:val="00A50CF4"/>
    <w:rsid w:val="00A50DA5"/>
    <w:rsid w:val="00A52CD6"/>
    <w:rsid w:val="00A53699"/>
    <w:rsid w:val="00A547DE"/>
    <w:rsid w:val="00A54B2E"/>
    <w:rsid w:val="00A57223"/>
    <w:rsid w:val="00A61059"/>
    <w:rsid w:val="00A634A4"/>
    <w:rsid w:val="00A66CB5"/>
    <w:rsid w:val="00A7140C"/>
    <w:rsid w:val="00A73AE1"/>
    <w:rsid w:val="00A847FC"/>
    <w:rsid w:val="00A85D2D"/>
    <w:rsid w:val="00A91CB4"/>
    <w:rsid w:val="00A945DB"/>
    <w:rsid w:val="00AA19F5"/>
    <w:rsid w:val="00AA39A8"/>
    <w:rsid w:val="00AA6033"/>
    <w:rsid w:val="00AB130E"/>
    <w:rsid w:val="00AB1639"/>
    <w:rsid w:val="00AB1B86"/>
    <w:rsid w:val="00AB201C"/>
    <w:rsid w:val="00AB2908"/>
    <w:rsid w:val="00AB33DB"/>
    <w:rsid w:val="00AB7288"/>
    <w:rsid w:val="00AB77A0"/>
    <w:rsid w:val="00AC35E9"/>
    <w:rsid w:val="00AC3987"/>
    <w:rsid w:val="00AC3D47"/>
    <w:rsid w:val="00AC6A9B"/>
    <w:rsid w:val="00AC6AC1"/>
    <w:rsid w:val="00AD1D85"/>
    <w:rsid w:val="00AD2016"/>
    <w:rsid w:val="00AD3C4D"/>
    <w:rsid w:val="00AD42C3"/>
    <w:rsid w:val="00AD7401"/>
    <w:rsid w:val="00AE78B9"/>
    <w:rsid w:val="00AF0A38"/>
    <w:rsid w:val="00AF1E6A"/>
    <w:rsid w:val="00AF362F"/>
    <w:rsid w:val="00AF44CE"/>
    <w:rsid w:val="00AF620D"/>
    <w:rsid w:val="00AF64C5"/>
    <w:rsid w:val="00B0519C"/>
    <w:rsid w:val="00B07AB8"/>
    <w:rsid w:val="00B10602"/>
    <w:rsid w:val="00B1215F"/>
    <w:rsid w:val="00B13165"/>
    <w:rsid w:val="00B148DB"/>
    <w:rsid w:val="00B1620E"/>
    <w:rsid w:val="00B20657"/>
    <w:rsid w:val="00B22C96"/>
    <w:rsid w:val="00B25A40"/>
    <w:rsid w:val="00B26B3C"/>
    <w:rsid w:val="00B340AF"/>
    <w:rsid w:val="00B34BA4"/>
    <w:rsid w:val="00B37BC2"/>
    <w:rsid w:val="00B40FF5"/>
    <w:rsid w:val="00B43C34"/>
    <w:rsid w:val="00B44A25"/>
    <w:rsid w:val="00B47477"/>
    <w:rsid w:val="00B4752B"/>
    <w:rsid w:val="00B56286"/>
    <w:rsid w:val="00B56EC2"/>
    <w:rsid w:val="00B56F6D"/>
    <w:rsid w:val="00B6073D"/>
    <w:rsid w:val="00B62903"/>
    <w:rsid w:val="00B63679"/>
    <w:rsid w:val="00B64DCE"/>
    <w:rsid w:val="00B65A28"/>
    <w:rsid w:val="00B714AD"/>
    <w:rsid w:val="00B7410A"/>
    <w:rsid w:val="00B742C1"/>
    <w:rsid w:val="00B74EF8"/>
    <w:rsid w:val="00B7603B"/>
    <w:rsid w:val="00B77A42"/>
    <w:rsid w:val="00B84C1D"/>
    <w:rsid w:val="00B86FE5"/>
    <w:rsid w:val="00B907FA"/>
    <w:rsid w:val="00B91B9F"/>
    <w:rsid w:val="00B9260B"/>
    <w:rsid w:val="00B937D2"/>
    <w:rsid w:val="00B94C26"/>
    <w:rsid w:val="00B94C3B"/>
    <w:rsid w:val="00BA1E68"/>
    <w:rsid w:val="00BA6A4F"/>
    <w:rsid w:val="00BB114D"/>
    <w:rsid w:val="00BC1F43"/>
    <w:rsid w:val="00BC735D"/>
    <w:rsid w:val="00BD195A"/>
    <w:rsid w:val="00BD5549"/>
    <w:rsid w:val="00BE22B9"/>
    <w:rsid w:val="00BE23E1"/>
    <w:rsid w:val="00BE5E87"/>
    <w:rsid w:val="00BF3D67"/>
    <w:rsid w:val="00BF5801"/>
    <w:rsid w:val="00C03A04"/>
    <w:rsid w:val="00C04D31"/>
    <w:rsid w:val="00C10EFA"/>
    <w:rsid w:val="00C1754B"/>
    <w:rsid w:val="00C20E4A"/>
    <w:rsid w:val="00C214F5"/>
    <w:rsid w:val="00C21610"/>
    <w:rsid w:val="00C2286E"/>
    <w:rsid w:val="00C34EFE"/>
    <w:rsid w:val="00C407FC"/>
    <w:rsid w:val="00C4228B"/>
    <w:rsid w:val="00C42CA1"/>
    <w:rsid w:val="00C435B8"/>
    <w:rsid w:val="00C43650"/>
    <w:rsid w:val="00C4579E"/>
    <w:rsid w:val="00C54E41"/>
    <w:rsid w:val="00C55160"/>
    <w:rsid w:val="00C623B2"/>
    <w:rsid w:val="00C623DE"/>
    <w:rsid w:val="00C70600"/>
    <w:rsid w:val="00C75D65"/>
    <w:rsid w:val="00C85A5B"/>
    <w:rsid w:val="00C86413"/>
    <w:rsid w:val="00C90D19"/>
    <w:rsid w:val="00C92D8B"/>
    <w:rsid w:val="00C94570"/>
    <w:rsid w:val="00C95661"/>
    <w:rsid w:val="00C9664F"/>
    <w:rsid w:val="00CA40E2"/>
    <w:rsid w:val="00CA4456"/>
    <w:rsid w:val="00CA722A"/>
    <w:rsid w:val="00CC2108"/>
    <w:rsid w:val="00CC250E"/>
    <w:rsid w:val="00CC48A4"/>
    <w:rsid w:val="00CC55A0"/>
    <w:rsid w:val="00CD17EC"/>
    <w:rsid w:val="00CD769B"/>
    <w:rsid w:val="00CE68E9"/>
    <w:rsid w:val="00CE74BC"/>
    <w:rsid w:val="00CF4907"/>
    <w:rsid w:val="00CF51D1"/>
    <w:rsid w:val="00CF5E04"/>
    <w:rsid w:val="00D1130E"/>
    <w:rsid w:val="00D13CC3"/>
    <w:rsid w:val="00D141A6"/>
    <w:rsid w:val="00D15F02"/>
    <w:rsid w:val="00D20D7D"/>
    <w:rsid w:val="00D22620"/>
    <w:rsid w:val="00D233BA"/>
    <w:rsid w:val="00D256FF"/>
    <w:rsid w:val="00D26BDD"/>
    <w:rsid w:val="00D2738D"/>
    <w:rsid w:val="00D27DC5"/>
    <w:rsid w:val="00D30FC3"/>
    <w:rsid w:val="00D400D4"/>
    <w:rsid w:val="00D45DD4"/>
    <w:rsid w:val="00D47F1C"/>
    <w:rsid w:val="00D50FCA"/>
    <w:rsid w:val="00D545D9"/>
    <w:rsid w:val="00D566C2"/>
    <w:rsid w:val="00D62596"/>
    <w:rsid w:val="00D6481B"/>
    <w:rsid w:val="00D67927"/>
    <w:rsid w:val="00D709B6"/>
    <w:rsid w:val="00D73ADB"/>
    <w:rsid w:val="00D73E41"/>
    <w:rsid w:val="00D75FD4"/>
    <w:rsid w:val="00D77630"/>
    <w:rsid w:val="00D803C2"/>
    <w:rsid w:val="00D811DD"/>
    <w:rsid w:val="00D820E5"/>
    <w:rsid w:val="00D867E4"/>
    <w:rsid w:val="00D907E0"/>
    <w:rsid w:val="00D91009"/>
    <w:rsid w:val="00D91A36"/>
    <w:rsid w:val="00D93626"/>
    <w:rsid w:val="00DA105B"/>
    <w:rsid w:val="00DA184B"/>
    <w:rsid w:val="00DA234E"/>
    <w:rsid w:val="00DA2A2D"/>
    <w:rsid w:val="00DA3693"/>
    <w:rsid w:val="00DA448B"/>
    <w:rsid w:val="00DA628B"/>
    <w:rsid w:val="00DA66DD"/>
    <w:rsid w:val="00DB0180"/>
    <w:rsid w:val="00DB0708"/>
    <w:rsid w:val="00DB48E2"/>
    <w:rsid w:val="00DB7DA5"/>
    <w:rsid w:val="00DC2153"/>
    <w:rsid w:val="00DC5DF8"/>
    <w:rsid w:val="00DC69DA"/>
    <w:rsid w:val="00DD13E3"/>
    <w:rsid w:val="00DD1B12"/>
    <w:rsid w:val="00DD7CFA"/>
    <w:rsid w:val="00DE3762"/>
    <w:rsid w:val="00DE433A"/>
    <w:rsid w:val="00DE4D52"/>
    <w:rsid w:val="00DE5CB3"/>
    <w:rsid w:val="00DE748A"/>
    <w:rsid w:val="00DE7820"/>
    <w:rsid w:val="00DF2C9E"/>
    <w:rsid w:val="00DF6C10"/>
    <w:rsid w:val="00DF70C2"/>
    <w:rsid w:val="00E069F4"/>
    <w:rsid w:val="00E07339"/>
    <w:rsid w:val="00E07CFD"/>
    <w:rsid w:val="00E11FE3"/>
    <w:rsid w:val="00E1255C"/>
    <w:rsid w:val="00E1588C"/>
    <w:rsid w:val="00E16CD9"/>
    <w:rsid w:val="00E21F28"/>
    <w:rsid w:val="00E23C3A"/>
    <w:rsid w:val="00E27689"/>
    <w:rsid w:val="00E30873"/>
    <w:rsid w:val="00E30D18"/>
    <w:rsid w:val="00E3167C"/>
    <w:rsid w:val="00E35A55"/>
    <w:rsid w:val="00E37339"/>
    <w:rsid w:val="00E37869"/>
    <w:rsid w:val="00E411D5"/>
    <w:rsid w:val="00E446F7"/>
    <w:rsid w:val="00E57080"/>
    <w:rsid w:val="00E63A44"/>
    <w:rsid w:val="00E67B76"/>
    <w:rsid w:val="00E70A7F"/>
    <w:rsid w:val="00E70F16"/>
    <w:rsid w:val="00E74CB2"/>
    <w:rsid w:val="00E80520"/>
    <w:rsid w:val="00E82A7A"/>
    <w:rsid w:val="00E91252"/>
    <w:rsid w:val="00E91A22"/>
    <w:rsid w:val="00EA039C"/>
    <w:rsid w:val="00EA1102"/>
    <w:rsid w:val="00EA5011"/>
    <w:rsid w:val="00EA5C78"/>
    <w:rsid w:val="00EA6E60"/>
    <w:rsid w:val="00EA7FB7"/>
    <w:rsid w:val="00EB0FA6"/>
    <w:rsid w:val="00EB1B2F"/>
    <w:rsid w:val="00EB52E9"/>
    <w:rsid w:val="00EB55EB"/>
    <w:rsid w:val="00EB5BD5"/>
    <w:rsid w:val="00EC4DCF"/>
    <w:rsid w:val="00ED5730"/>
    <w:rsid w:val="00ED6BEC"/>
    <w:rsid w:val="00EE1DFE"/>
    <w:rsid w:val="00EE2D49"/>
    <w:rsid w:val="00EE43EF"/>
    <w:rsid w:val="00EE5804"/>
    <w:rsid w:val="00EE5B4C"/>
    <w:rsid w:val="00EE5D14"/>
    <w:rsid w:val="00EE6D2F"/>
    <w:rsid w:val="00EF006E"/>
    <w:rsid w:val="00EF4B6F"/>
    <w:rsid w:val="00EF4FA4"/>
    <w:rsid w:val="00EF571D"/>
    <w:rsid w:val="00EF6962"/>
    <w:rsid w:val="00F02D8E"/>
    <w:rsid w:val="00F06AFC"/>
    <w:rsid w:val="00F10003"/>
    <w:rsid w:val="00F20C65"/>
    <w:rsid w:val="00F212A6"/>
    <w:rsid w:val="00F21851"/>
    <w:rsid w:val="00F23238"/>
    <w:rsid w:val="00F23453"/>
    <w:rsid w:val="00F2524E"/>
    <w:rsid w:val="00F26DD3"/>
    <w:rsid w:val="00F27241"/>
    <w:rsid w:val="00F32453"/>
    <w:rsid w:val="00F33F7F"/>
    <w:rsid w:val="00F345C0"/>
    <w:rsid w:val="00F353AD"/>
    <w:rsid w:val="00F3644C"/>
    <w:rsid w:val="00F40B9B"/>
    <w:rsid w:val="00F4205E"/>
    <w:rsid w:val="00F43C5E"/>
    <w:rsid w:val="00F43ED1"/>
    <w:rsid w:val="00F51308"/>
    <w:rsid w:val="00F51FA7"/>
    <w:rsid w:val="00F52AF9"/>
    <w:rsid w:val="00F5721C"/>
    <w:rsid w:val="00F60D45"/>
    <w:rsid w:val="00F61E64"/>
    <w:rsid w:val="00F65C3A"/>
    <w:rsid w:val="00F66595"/>
    <w:rsid w:val="00F7002A"/>
    <w:rsid w:val="00F74A3C"/>
    <w:rsid w:val="00F7534A"/>
    <w:rsid w:val="00F753FD"/>
    <w:rsid w:val="00F76247"/>
    <w:rsid w:val="00F819D5"/>
    <w:rsid w:val="00F82529"/>
    <w:rsid w:val="00F8359C"/>
    <w:rsid w:val="00F907D0"/>
    <w:rsid w:val="00F93BCC"/>
    <w:rsid w:val="00F940A7"/>
    <w:rsid w:val="00F9493C"/>
    <w:rsid w:val="00F97128"/>
    <w:rsid w:val="00FA1D1D"/>
    <w:rsid w:val="00FB1F29"/>
    <w:rsid w:val="00FB5334"/>
    <w:rsid w:val="00FB7931"/>
    <w:rsid w:val="00FC1B47"/>
    <w:rsid w:val="00FC1F6F"/>
    <w:rsid w:val="00FC2B5E"/>
    <w:rsid w:val="00FC4257"/>
    <w:rsid w:val="00FC4468"/>
    <w:rsid w:val="00FC4623"/>
    <w:rsid w:val="00FC4B91"/>
    <w:rsid w:val="00FC57F1"/>
    <w:rsid w:val="00FC75C0"/>
    <w:rsid w:val="00FC7A91"/>
    <w:rsid w:val="00FD1759"/>
    <w:rsid w:val="00FD1A8F"/>
    <w:rsid w:val="00FD2E36"/>
    <w:rsid w:val="00FE04C4"/>
    <w:rsid w:val="00FE14AC"/>
    <w:rsid w:val="00FE2ACE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1"/>
    <o:shapelayout v:ext="edit">
      <o:idmap v:ext="edit" data="1"/>
    </o:shapelayout>
  </w:shapeDefaults>
  <w:decimalSymbol w:val="."/>
  <w:listSeparator w:val=";"/>
  <w15:docId w15:val="{EED1E13A-25ED-44C6-88B5-328B7E23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7DA5"/>
    <w:pPr>
      <w:tabs>
        <w:tab w:val="left" w:pos="567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B7DA5"/>
    <w:pPr>
      <w:keepNext/>
      <w:numPr>
        <w:numId w:val="6"/>
      </w:numPr>
      <w:spacing w:before="360"/>
      <w:ind w:left="431" w:hanging="431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6"/>
      </w:numPr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6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rsid w:val="00DB7DA5"/>
    <w:pPr>
      <w:tabs>
        <w:tab w:val="center" w:pos="4819"/>
        <w:tab w:val="right" w:pos="9071"/>
      </w:tabs>
      <w:spacing w:before="0" w:after="0"/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rsid w:val="00DB7DA5"/>
    <w:rPr>
      <w:rFonts w:ascii="Arial" w:hAnsi="Arial"/>
      <w:lang w:eastAsia="de-DE"/>
    </w:rPr>
  </w:style>
  <w:style w:type="character" w:customStyle="1" w:styleId="berschrift1Zchn">
    <w:name w:val="Überschrift 1 Zchn"/>
    <w:link w:val="berschrift1"/>
    <w:rsid w:val="00DB7DA5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751F0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customStyle="1" w:styleId="JSSTANDARDTEXT">
    <w:name w:val="_JS  STANDARDTEXT"/>
    <w:basedOn w:val="Standard"/>
    <w:uiPriority w:val="1"/>
    <w:qFormat/>
    <w:rsid w:val="008718A0"/>
    <w:pPr>
      <w:tabs>
        <w:tab w:val="clear" w:pos="567"/>
      </w:tabs>
      <w:overflowPunct/>
      <w:autoSpaceDE/>
      <w:autoSpaceDN/>
      <w:adjustRightInd/>
      <w:spacing w:before="80" w:after="80" w:line="292" w:lineRule="exact"/>
      <w:textAlignment w:val="auto"/>
    </w:pPr>
    <w:rPr>
      <w:rFonts w:ascii="Cambria" w:eastAsiaTheme="minorHAnsi" w:hAnsi="Cambria" w:cstheme="minorBidi"/>
      <w:color w:val="000000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-Arbeitsblatt.xlsx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Excel-Arbeitsblatt2.xlsx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package" Target="embeddings/Microsoft_Excel-Arbeitsblatt1.xls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4.emf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D95A6-68F1-4E57-BFBB-2F8F1667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A3441EAC.dotm</Template>
  <TotalTime>0</TotalTime>
  <Pages>6</Pages>
  <Words>1070</Words>
  <Characters>6743</Characters>
  <Application>Microsoft Office Word</Application>
  <DocSecurity>4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Schädler Beat</cp:lastModifiedBy>
  <cp:revision>2</cp:revision>
  <cp:lastPrinted>2018-03-19T10:48:00Z</cp:lastPrinted>
  <dcterms:created xsi:type="dcterms:W3CDTF">2019-05-28T08:34:00Z</dcterms:created>
  <dcterms:modified xsi:type="dcterms:W3CDTF">2019-05-28T08:34:00Z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