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color w:val="1f2a5e"/>
          <w:sz w:val="24"/>
          <w:szCs w:val="24"/>
          <w:rtl w:val="0"/>
        </w:rPr>
        <w:t xml:space="preserve">DEPARTMENT OF COMPUTER SCIENCE &amp; ENGINEERING &amp; ALLIED BRANCHES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2a5e"/>
          <w:sz w:val="40"/>
          <w:szCs w:val="40"/>
          <w:rtl w:val="0"/>
        </w:rPr>
        <w:t xml:space="preserve">        MAJOR PROJECT (BCS753)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bottom w:color="b08300" w:space="4" w:sz="6" w:val="single"/>
        </w:pBdr>
        <w:spacing w:after="80" w:before="160" w:line="240" w:lineRule="auto"/>
        <w:rPr>
          <w:rFonts w:ascii="Calibri" w:cs="Calibri" w:eastAsia="Calibri" w:hAnsi="Calibri"/>
          <w:color w:val="2e74b5"/>
          <w:sz w:val="36"/>
          <w:szCs w:val="36"/>
        </w:rPr>
      </w:pPr>
      <w:bookmarkStart w:colFirst="0" w:colLast="0" w:name="_eobdm3snfvz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Weekly Progress Log Format (for Students)</w:t>
      </w:r>
      <w:r w:rsidDel="00000000" w:rsidR="00000000" w:rsidRPr="00000000">
        <w:rPr>
          <w:rtl w:val="0"/>
        </w:rPr>
      </w:r>
    </w:p>
    <w:tbl>
      <w:tblPr>
        <w:tblStyle w:val="Table1"/>
        <w:tblW w:w="10350" w:type="dxa"/>
        <w:jc w:val="left"/>
        <w:tblInd w:w="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7"/>
        <w:gridCol w:w="5400"/>
        <w:gridCol w:w="2613"/>
        <w:tblGridChange w:id="0">
          <w:tblGrid>
            <w:gridCol w:w="2205"/>
            <w:gridCol w:w="5095.000000000001"/>
            <w:gridCol w:w="2464.999999999999"/>
          </w:tblGrid>
        </w:tblGridChange>
      </w:tblGrid>
      <w:tr>
        <w:trPr>
          <w:trHeight w:w="620" w:hRule="exact" w:val="720"/>
          <w:cantSplit w:val="0"/>
          <w:tblHeader w:val="0"/>
        </w:trPr>
        <w:tc>
          <w:tcPr>
            <w:tcW w:w="2337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400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Work Done / Issues Faced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13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Mentor Remark &amp; 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exact" w:w="840"/>
          <w:tblHeader w:val="0"/>
        </w:trPr>
        <w:tc>
          <w:tcPr>
            <w:tcW w:w="2337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24-06-2026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400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Finalised project requirements, purpose, scope and core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13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exact" w:w="840"/>
          <w:tblHeader w:val="0"/>
        </w:trPr>
        <w:tc>
          <w:tcPr>
            <w:tcW w:w="2337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01-07-2026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400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Planned system architecture and database structure for users, income, expenses and budgets.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13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exact" w:w="840"/>
          <w:tblHeader w:val="0"/>
        </w:trPr>
        <w:tc>
          <w:tcPr>
            <w:tcW w:w="2337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08-07-2026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400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Set up Spring Boot and MySQL; completed registration, login and BCrypt password hashing.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13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exact" w:w="840"/>
          <w:tblHeader w:val="0"/>
        </w:trPr>
        <w:tc>
          <w:tcPr>
            <w:tcW w:w="2337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15-07-2026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400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Completed income/expense add, edit, delete, search and date-wise reports.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13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exact" w:w="840"/>
          <w:tblHeader w:val="0"/>
        </w:trPr>
        <w:tc>
          <w:tcPr>
            <w:tcW w:w="2337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22-07-2026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400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Integrated dashboard summaries and charts for category and monthly/yearly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13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exact" w:w="840"/>
          <w:tblHeader w:val="0"/>
        </w:trPr>
        <w:tc>
          <w:tcPr>
            <w:tcW w:w="2337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29-07-2026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400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Developed budgets with category/month/year controls, usage %, warnings and over-budget tracking.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13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exact" w:w="840"/>
          <w:tblHeader w:val="0"/>
        </w:trPr>
        <w:tc>
          <w:tcPr>
            <w:tcW w:w="2337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05-08-2026</w:t>
            </w:r>
          </w:p>
        </w:tc>
        <w:tc>
          <w:tcPr>
            <w:tcW w:w="5400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Added PDF/Excel exports; improved validation, ownership checks and error handling.</w:t>
            </w:r>
          </w:p>
        </w:tc>
        <w:tc>
          <w:tcPr>
            <w:tcW w:w="2613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7" w:hRule="exact" w:w="840"/>
          <w:tblHeader w:val="0"/>
        </w:trPr>
        <w:tc>
          <w:tcPr>
            <w:tcW w:w="2337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12-08-2026</w:t>
            </w:r>
          </w:p>
        </w:tc>
        <w:tc>
          <w:tcPr>
            <w:tcW w:w="5400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Integrated Gemini AI Advisor with expense/budget context and local fallback.</w:t>
            </w:r>
          </w:p>
        </w:tc>
        <w:tc>
          <w:tcPr>
            <w:tcW w:w="2613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7" w:hRule="exact" w:w="840"/>
          <w:tblHeader w:val="0"/>
        </w:trPr>
        <w:tc>
          <w:tcPr>
            <w:tcW w:w="2337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19-08-2026</w:t>
            </w:r>
          </w:p>
        </w:tc>
        <w:tc>
          <w:tcPr>
            <w:tcW w:w="5400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Polished responsive UI, profile and protected navigation; tested core application flows.</w:t>
            </w:r>
          </w:p>
        </w:tc>
        <w:tc>
          <w:tcPr>
            <w:tcW w:w="2613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7" w:hRule="exact" w:w="840"/>
          <w:tblHeader w:val="0"/>
        </w:trPr>
        <w:tc>
          <w:tcPr>
            <w:tcW w:w="2337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04-09-2026</w:t>
            </w:r>
          </w:p>
        </w:tc>
        <w:tc>
          <w:tcPr>
            <w:tcW w:w="5400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Final audit, Eclipse standardisation, documentation, presentation and repository cleanup.</w:t>
            </w:r>
          </w:p>
        </w:tc>
        <w:tc>
          <w:tcPr>
            <w:tcW w:w="2613" w:type="dxa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6">
      <w:pPr>
        <w:spacing w:before="0" w:line="240" w:lineRule="auto" w:after="0"/>
        <w:rPr/>
      </w:pPr>
      <w:r w:rsidDel="00000000" w:rsidR="00000000" w:rsidRPr="00000000">
        <w:rPr>
          <w:rFonts w:ascii="Times New Roman" w:hAnsi="Times New Roman"/>
          <w:sz w:val="2"/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40"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Cambria" w:cs="Cambria" w:eastAsia="Cambria" w:hAnsi="Cambria"/>
        <w:b w:val="1"/>
        <w:bCs w:val="1"/>
        <w:color w:val="1f2a5e"/>
        <w:sz w:val="32"/>
        <w:szCs w:val="32"/>
        <w:rtl w:val="0"/>
      </w:rPr>
      <w:t xml:space="preserve">LLOYD INSTITUTE OF ENGINEERING &amp; TECHNOLOGY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61913</wp:posOffset>
          </wp:positionV>
          <wp:extent cx="519113" cy="504825"/>
          <wp:effectExtent b="0" l="0" r="0" t="0"/>
          <wp:wrapSquare wrapText="bothSides" distB="114300" distT="114300" distL="114300" distR="114300"/>
          <wp:docPr id="1" name="image1.png" descr="Image: theme1.xml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19113" cy="504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spacing w:after="20"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Calibri" w:cs="Calibri" w:eastAsia="Calibri" w:hAnsi="Calibri"/>
        <w:i w:val="1"/>
        <w:iCs w:val="1"/>
        <w:color w:val="555555"/>
        <w:sz w:val="18"/>
        <w:szCs w:val="18"/>
        <w:rtl w:val="0"/>
      </w:rPr>
      <w:t xml:space="preserve">(Affiliated to Dr. A.P.J. Abdul Kalam Technical University &amp; Approved by AICTE, New Delhi)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spacing w:after="200" w:line="240" w:lineRule="auto"/>
      <w:jc w:val="center"/>
      <w:rPr/>
    </w:pPr>
    <w:r w:rsidDel="00000000" w:rsidR="00000000" w:rsidRPr="00000000">
      <w:rPr>
        <w:rFonts w:ascii="Calibri" w:cs="Calibri" w:eastAsia="Calibri" w:hAnsi="Calibri"/>
        <w:color w:val="555555"/>
        <w:sz w:val="18"/>
        <w:szCs w:val="18"/>
        <w:rtl w:val="0"/>
      </w:rPr>
      <w:t xml:space="preserve">Plot No. 3, Knowledge Park II, Greater Noida, Uttar Pradesh – 201306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Weekly Progress Log - Smart Expense Tracker with AI Financial Advisor</dc:title>
  <cp:lastModifiedBy>python-docx</cp:lastModifiedBy>
  <cp:revision>1</cp:revision>
  <dcterms:modified xsi:type="dcterms:W3CDTF">2026-09-21T00:33:44Z</dcterms:modified>
</cp:coreProperties>
</file>