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Dataset: Iris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https://archive.ics.uci.edu/ml/datasets/iris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Tanaman bunga iris adalah salah satu tanaman herba yang berkhasiat untuk hepatitis, gusi bengkak, mual, sembelit, rematik, dll.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Karakteristik dataset: multivariate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Karakteristik atribut: nyata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Jumlah atribut: 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1. sepal length in cm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2. sepal width in cm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3. petal length in cm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4. petal width in cm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5. class: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 xml:space="preserve">-- Iris Setosa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  <w:tab/>
        <w:t xml:space="preserve">-- Iris Versicolour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  <w:tab/>
        <w:t xml:space="preserve">-- Iris Virginica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Jumlah instance: 150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Penggunaan: klasifikasi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Cara menampilkan data dengan Google Colab Notebook: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Files &gt; mount drive &gt; run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this url &gt; enter authorization code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.csv to colab notebooks folder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pandas as pd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= pd.read_csv('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/content/drive/My Drive/Colab Notebooks/iris.csv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')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 (data)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data.dtypes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data.isnull().sum()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ics.uci.edu/ml/datasets/ir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