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xml:space="preserve">Ich habe Schwierigkeiten, um Hilfe zu bitten.</w:t>
      </w:r>
    </w:p>
    <w:p>
      <w:pPr>
        <w:spacing w:after="120" w:before="0"/>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xml:space="preserve">Ich sage häufig Ja, obwohl ich Nein meine.</w:t>
      </w:r>
    </w:p>
    <w:p>
      <w:pPr>
        <w:spacing w:after="120" w:before="0"/>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rFonts w:ascii="Georgia" w:cs="Georgia" w:eastAsia="Georgia" w:hAnsi="Georgia"/>
          <w:b w:val="false"/>
          <w:bCs w:val="false"/>
          <w:color w:val="2C2C2C"/>
          <w:sz w:val="220"/>
          <w:szCs w:val="220"/>
        </w:rPr>
        <w:t xml:space="preserve">*Wenn ich genug gebe, muss er nicht gehen.*</w:t>
      </w:r>
    </w:p>
    <w:p>
      <w:pPr>
        <w:spacing w:after="120" w:before="0"/>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jc w:val="both"/>
      </w:pPr>
      <w:r>
        <w:rPr>
          <w:rFonts w:ascii="Georgia" w:cs="Georgia" w:eastAsia="Georgia" w:hAnsi="Georgia"/>
          <w:b w:val="false"/>
          <w:bCs w:val="false"/>
          <w:color w:val="2C2C2C"/>
          <w:sz w:val="220"/>
          <w:szCs w:val="220"/>
        </w:rPr>
        <w:t xml:space="preserve">*Wenn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 xml:space="preserve">Für mich —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jc w:val="both"/>
      </w:pPr>
      <w:r>
        <w:rPr>
          <w:rFonts w:ascii="Georgia" w:cs="Georgia" w:eastAsia="Georgia" w:hAnsi="Georgia"/>
          <w:b w:val="false"/>
          <w:bCs w:val="false"/>
          <w:color w:val="2C2C2C"/>
          <w:sz w:val="220"/>
          <w:szCs w:val="220"/>
        </w:rPr>
        <w:t xml:space="preserve">*Wenn Beziehungen erschöpfen*</w:t>
      </w:r>
    </w:p>
    <w:p>
      <w:pPr>
        <w:spacing w:after="120" w:before="0"/>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jc w:val="both"/>
      </w:pPr>
      <w:r>
        <w:rPr>
          <w:rFonts w:ascii="Georgia" w:cs="Georgia" w:eastAsia="Georgia" w:hAnsi="Georgia"/>
          <w:b w:val="false"/>
          <w:bCs w:val="false"/>
          <w:color w:val="2C2C2C"/>
          <w:sz w:val="220"/>
          <w:szCs w:val="220"/>
        </w:rPr>
        <w:t xml:space="preserve">Autorin: Petra Tanner</w:t>
      </w:r>
    </w:p>
    <w:p>
      <w:pPr>
        <w:spacing w:after="120" w:before="0"/>
        <w:jc w:val="both"/>
      </w:pPr>
      <w:r>
        <w:rPr>
          <w:rFonts w:ascii="Georgia" w:cs="Georgia" w:eastAsia="Georgia" w:hAnsi="Georgia"/>
          <w:b w:val="false"/>
          <w:bCs w:val="false"/>
          <w:color w:val="2C2C2C"/>
          <w:sz w:val="220"/>
          <w:szCs w:val="220"/>
        </w:rPr>
        <w:t xml:space="preserve">© 2026 Petra Tanner / Safe to Thrive</w:t>
      </w:r>
    </w:p>
    <w:p>
      <w:pPr>
        <w:spacing w:after="120" w:before="0"/>
        <w:jc w:val="both"/>
      </w:pPr>
      <w:r>
        <w:rPr>
          <w:rFonts w:ascii="Georgia" w:cs="Georgia" w:eastAsia="Georgia" w:hAnsi="Georgia"/>
          <w:b w:val="false"/>
          <w:bCs w:val="false"/>
          <w:color w:val="2C2C2C"/>
          <w:sz w:val="220"/>
          <w:szCs w:val="220"/>
        </w:rPr>
        <w:t xml:space="preserve">Schweiz</w:t>
      </w:r>
    </w:p>
    <w:p>
      <w:pPr>
        <w:spacing w:after="120" w:before="0"/>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