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 xml:space="preserve">Warum du gibst, bis nichts mehr von dir übrig ist —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Grenzen —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Das innere Kind —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Literatur und Weiterführendes</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 xml:space="preserve">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 xml:space="preserve">Lange Zeit habe ich gedacht, dass meine Rolle als Therapeutin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 xml:space="preserve">Viele der Frauen, die zu mir kommen, wurden in ihrem Leben noch nie wirklich gefragt: Wie geht es dir —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 xml:space="preserve">Nicht als Therapeutin,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 xml:space="preserve">Das, was du gerade fühlst? Diese Erschöpfung, die sich nicht erklären lässt, die nach dem Wochenende noch da ist, die schon morgens beim Aufwachen auf dir liegt —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 xml:space="preserve">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 xml:space="preserve">Das schlechte Gewissen, wenn du ausnahmsweise mal an dich denkst. Du gönnst dir eine Stunde für dich — ein Bad, ein Buch, ein Spaziergang —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 xml:space="preserve">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xml:space="preserve">Ich habe Schwierigkeiten, um Hilfe zu bitten.</w:t>
      </w:r>
    </w:p>
    <w:p>
      <w:pPr>
        <w:spacing w:after="120" w:before="0"/>
        <w:jc w:val="both"/>
      </w:pPr>
      <w:r>
        <w:rPr>
          <w:rFonts w:ascii="Georgia" w:cs="Georgia" w:eastAsia="Georgia" w:hAnsi="Georgia"/>
          <w:b w:val="false"/>
          <w:bCs w:val="false"/>
          <w:color w:val="2C2C2C"/>
          <w:sz w:val="220"/>
          <w:szCs w:val="220"/>
        </w:rPr>
        <w:t xml:space="preserve">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xml:space="preserve">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xml:space="preserve">Ich sage häufig Ja, obwohl ich Nein meine.</w:t>
      </w:r>
    </w:p>
    <w:p>
      <w:pPr>
        <w:spacing w:after="120" w:before="0"/>
        <w:jc w:val="both"/>
      </w:pPr>
      <w:r>
        <w:rPr>
          <w:rFonts w:ascii="Georgia" w:cs="Georgia" w:eastAsia="Georgia" w:hAnsi="Georgia"/>
          <w:b w:val="false"/>
          <w:bCs w:val="false"/>
          <w:color w:val="2C2C2C"/>
          <w:sz w:val="220"/>
          <w:szCs w:val="220"/>
        </w:rPr>
        <w:t xml:space="preserve">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xml:space="preserve">Ich vermeide Konflikte, auch wenn sie notwendig wären.</w:t>
      </w:r>
    </w:p>
    <w:p>
      <w:pPr>
        <w:spacing w:after="120" w:before="0"/>
        <w:jc w:val="both"/>
      </w:pPr>
      <w:r>
        <w:rPr>
          <w:rFonts w:ascii="Georgia" w:cs="Georgia" w:eastAsia="Georgia" w:hAnsi="Georgia"/>
          <w:b w:val="false"/>
          <w:bCs w:val="false"/>
          <w:color w:val="2C2C2C"/>
          <w:sz w:val="220"/>
          <w:szCs w:val="220"/>
        </w:rPr>
        <w:t xml:space="preserve">Ich fühle mich schuldig, wenn ich Zeit nur für mich nehme.</w:t>
      </w:r>
    </w:p>
    <w:p>
      <w:pPr>
        <w:spacing w:after="120" w:before="0"/>
        <w:jc w:val="both"/>
      </w:pPr>
      <w:r>
        <w:rPr>
          <w:rFonts w:ascii="Georgia" w:cs="Georgia" w:eastAsia="Georgia" w:hAnsi="Georgia"/>
          <w:b w:val="false"/>
          <w:bCs w:val="false"/>
          <w:color w:val="2C2C2C"/>
          <w:sz w:val="220"/>
          <w:szCs w:val="220"/>
        </w:rPr>
        <w:t xml:space="preserve">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xml:space="preserve">Ich weiss oft nicht, was ich selbst eigentlich will.</w:t>
      </w:r>
    </w:p>
    <w:p>
      <w:pPr>
        <w:spacing w:after="120" w:before="0"/>
        <w:jc w:val="both"/>
      </w:pPr>
      <w:r>
        <w:rPr>
          <w:rFonts w:ascii="Georgia" w:cs="Georgia" w:eastAsia="Georgia" w:hAnsi="Georgia"/>
          <w:b w:val="false"/>
          <w:bCs w:val="false"/>
          <w:color w:val="2C2C2C"/>
          <w:sz w:val="220"/>
          <w:szCs w:val="220"/>
        </w:rPr>
        <w:t xml:space="preserve">Ich erschöpfe mich lieber als jemanden zu enttäuschen.</w:t>
      </w:r>
    </w:p>
    <w:p>
      <w:pPr>
        <w:spacing w:after="120" w:before="0"/>
        <w:jc w:val="both"/>
      </w:pPr>
      <w:r>
        <w:rPr>
          <w:rFonts w:ascii="Georgia" w:cs="Georgia" w:eastAsia="Georgia" w:hAnsi="Georgia"/>
          <w:b w:val="false"/>
          <w:bCs w:val="false"/>
          <w:color w:val="2C2C2C"/>
          <w:sz w:val="220"/>
          <w:szCs w:val="220"/>
        </w:rPr>
        <w:t xml:space="preserve">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xml:space="preserve">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 xml:space="preserve">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 xml:space="preserve">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 xml:space="preserve">Das ist nicht Einbildung. Das ist Biologie.</w:t>
      </w:r>
    </w:p>
    <w:p>
      <w:pPr>
        <w:spacing w:after="120" w:before="0"/>
        <w:jc w:val="both"/>
      </w:pPr>
      <w:r>
        <w:rPr>
          <w:rFonts w:ascii="Georgia" w:cs="Georgia" w:eastAsia="Georgia" w:hAnsi="Georgia"/>
          <w:b w:val="false"/>
          <w:bCs w:val="false"/>
          <w:color w:val="2C2C2C"/>
          <w:sz w:val="220"/>
          <w:szCs w:val="220"/>
        </w:rPr>
        <w:t xml:space="preserve">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 xml:space="preserve">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 xml:space="preserve">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 xml:space="preserve">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 xml:space="preserve">Das ist kein Angriff auf den anderen. Es ist die Beschreibung einer Dynamik, zu der beide beitragen. Systeme haben eine Eigenträgheit. Sie bleiben in einem Gleichgewicht — auch wenn dieses Gleichgewicht ungesund ist —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 xml:space="preserve">Nicht um den anderen zu bestrafen. Nicht aus Rache. Sondern weil das Muster nur dann sichtbar wird — für beide —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rFonts w:ascii="Georgia" w:cs="Georgia" w:eastAsia="Georgia" w:hAnsi="Georgia"/>
          <w:b w:val="false"/>
          <w:bCs w:val="false"/>
          <w:color w:val="2C2C2C"/>
          <w:sz w:val="220"/>
          <w:szCs w:val="220"/>
        </w:rPr>
        <w:t xml:space="preserve">*Wenn ich genug gebe, muss er nicht gehen.*</w:t>
      </w:r>
    </w:p>
    <w:p>
      <w:pPr>
        <w:spacing w:after="120" w:before="0"/>
        <w:jc w:val="both"/>
      </w:pPr>
      <w:r>
        <w:rPr>
          <w:rFonts w:ascii="Georgia" w:cs="Georgia" w:eastAsia="Georgia" w:hAnsi="Georgia"/>
          <w:b w:val="false"/>
          <w:bCs w:val="false"/>
          <w:color w:val="2C2C2C"/>
          <w:sz w:val="220"/>
          <w:szCs w:val="220"/>
        </w:rPr>
        <w:t xml:space="preserve">*Wenn ich keine Ansprüche stelle, bin ich sicher.*</w:t>
      </w:r>
    </w:p>
    <w:p>
      <w:pPr>
        <w:spacing w:after="120" w:before="0"/>
        <w:jc w:val="both"/>
      </w:pPr>
      <w:r>
        <w:rPr>
          <w:rFonts w:ascii="Georgia" w:cs="Georgia" w:eastAsia="Georgia" w:hAnsi="Georgia"/>
          <w:b w:val="false"/>
          <w:bCs w:val="false"/>
          <w:color w:val="2C2C2C"/>
          <w:sz w:val="220"/>
          <w:szCs w:val="220"/>
        </w:rPr>
        <w:t xml:space="preserve">*Wenn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 xml:space="preserve">Kapitel 7: Grenzen —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 xml:space="preserve">Irgendwann explodierte es. Nach einem harmlosen Satz ihres Mannes — er bat sie, auch noch seine Eltern für Weihnachten zu organisieren —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 xml:space="preserve">Grenzen zu setzen ist keine einmalige Handlung. Es ist eine Praxis. Du wirst es lernen, vergessen, wieder lernen. Du wirst Rückschritte haben —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 xml:space="preserve">Ich fragte: „Und wann bist du für dich da?"</w:t>
      </w:r>
    </w:p>
    <w:p>
      <w:pPr>
        <w:spacing w:after="120" w:before="0"/>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 xml:space="preserve">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rFonts w:ascii="Georgia" w:cs="Georgia" w:eastAsia="Georgia" w:hAnsi="Georgia"/>
          <w:b w:val="false"/>
          <w:bCs w:val="false"/>
          <w:color w:val="2C2C2C"/>
          <w:sz w:val="220"/>
          <w:szCs w:val="220"/>
        </w:rPr>
        <w:t xml:space="preserve">Aber der Unterschied ist entscheidend: *weil du willst* — nicht *weil du fürchtest, was passiert, wenn du es nicht tust*.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 xml:space="preserve">Nach Zeit mit jemandem, den du liebst — wie fühlst du dich? Voller oder leerer?</w:t>
      </w:r>
    </w:p>
    <w:p>
      <w:pPr>
        <w:spacing w:after="120" w:before="0"/>
        <w:jc w:val="both"/>
      </w:pPr>
      <w:r>
        <w:rPr>
          <w:rFonts w:ascii="Georgia" w:cs="Georgia" w:eastAsia="Georgia" w:hAnsi="Georgia"/>
          <w:b w:val="false"/>
          <w:bCs w:val="false"/>
          <w:color w:val="2C2C2C"/>
          <w:sz w:val="220"/>
          <w:szCs w:val="220"/>
        </w:rPr>
        <w:t xml:space="preserve">Ich sage nicht: immer voller. Tiefe Gespräche, Konflikte, emotionale Arbeit —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 xml:space="preserve">Du verdienst eine Liebe, bei der du dich nicht kleiner machen musst. Bei der du Raum einnehmen darfst. Bei der du Nein sagen darfst. Bei der du auch gehalten wirst —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 xml:space="preserve">Stell dir täglich — auch wenn es nur zwei Minuten sind —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 xml:space="preserve">Drei Übungen für diese Woche —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 und das ist die eigentliche Übung —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 xml:space="preserve">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 xml:space="preserve">Kapitel 13: Das innere Kind —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 xml:space="preserve">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 xml:space="preserve">Kapitel 14: Wenn der andere sich nie ändert —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 xml:space="preserve">Für mich —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 xml:space="preserve">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 xml:space="preserve">Was Veränderung in diesen Beziehungen braucht —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 xml:space="preserve">Eine Veränderung, die nur kommt, weil du drohst zu gehen — und wieder aufhört, wenn du geblieben bist —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 xml:space="preserve">Kapitel 15: Endlich sagen, was du meinst —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 xml:space="preserve">Petra Tanner</w:t>
      </w:r>
      <w:r>
        <w:rPr>
          <w:rFonts w:ascii="Georgia" w:cs="Georgia" w:eastAsia="Georgia" w:hAnsi="Georgia"/>
          <w:b w:val="false"/>
          <w:bCs w:val="false"/>
          <w:color w:val="2C2C2C"/>
          <w:sz w:val="220"/>
          <w:szCs w:val="220"/>
        </w:rPr>
        <w:t xml:space="preserve"> ist Therapeutin und Coachin mit dem Schwerpunkt auf Beziehungserschöpfung, People-Pleasing und Grenzsetzung bei Frauen.</w:t>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 xml:space="preserve">Neben ihrer therapeutischen Praxis bietet sie unter dem Namen </w:t>
      </w:r>
      <w:r>
        <w:rPr>
          <w:rFonts w:ascii="Georgia" w:cs="Georgia" w:eastAsia="Georgia" w:hAnsi="Georgia"/>
          <w:b/>
          <w:bCs/>
          <w:color w:val="2C2C2C"/>
          <w:sz w:val="220"/>
          <w:szCs w:val="220"/>
        </w:rPr>
        <w:t xml:space="preserve">Safe to Thrive</w:t>
      </w:r>
      <w:r>
        <w:rPr>
          <w:rFonts w:ascii="Georgia" w:cs="Georgia" w:eastAsia="Georgia" w:hAnsi="Georgia"/>
          <w:b w:val="false"/>
          <w:bCs w:val="false"/>
          <w:color w:val="2C2C2C"/>
          <w:sz w:val="220"/>
          <w:szCs w:val="220"/>
        </w:rPr>
        <w:t xml:space="preserve"> Einzel-Coachings und Gruppenangebote für Frauen an, die bereit sind, ihr Leben in die eigenen Hände zu nehmen.</w:t>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 xml:space="preserve">beyondlimitsnow25@gmail.com</w:t>
      </w:r>
    </w:p>
    <w:p>
      <w:pPr>
        <w:pageBreakBefore/>
        <w:spacing w:after="280" w:before="720"/>
        <w:jc w:val="left"/>
      </w:pPr>
      <w:r>
        <w:rPr>
          <w:rFonts w:ascii="Georgia" w:cs="Georgia" w:eastAsia="Georgia" w:hAnsi="Georgia"/>
          <w:b w:val="false"/>
          <w:bCs w:val="false"/>
          <w:color w:val="C0848A"/>
          <w:sz w:val="340"/>
          <w:szCs w:val="340"/>
        </w:rPr>
        <w:t xml:space="preserve">Literatur und Weiterführendes</w:t>
      </w:r>
    </w:p>
    <w:p>
      <w:pPr>
        <w:spacing w:after="120" w:before="0"/>
        <w:jc w:val="both"/>
      </w:pPr>
      <w:r>
        <w:rPr>
          <w:rFonts w:ascii="Georgia" w:cs="Georgia" w:eastAsia="Georgia" w:hAnsi="Georgia"/>
          <w:b w:val="false"/>
          <w:bCs w:val="false"/>
          <w:color w:val="2C2C2C"/>
          <w:sz w:val="220"/>
          <w:szCs w:val="220"/>
        </w:rPr>
        <w:t xml:space="preserve">Die psychologischen Konzepte in diesem Buch basieren auf etablierten Forschungen und Theorien. Hier findest du eine Auswahl an Quellen und Buchtipps für alle, die tiefer einsteigen möchten.</w:t>
      </w:r>
    </w:p>
    <w:p>
      <w:pPr>
        <w:spacing w:after="120" w:before="400"/>
      </w:pPr>
      <w:r>
        <w:rPr>
          <w:rFonts w:ascii="Georgia" w:cs="Georgia" w:eastAsia="Georgia" w:hAnsi="Georgia"/>
          <w:b/>
          <w:bCs/>
          <w:color w:val="2C2C2C"/>
          <w:sz w:val="230"/>
          <w:szCs w:val="230"/>
        </w:rPr>
        <w:t xml:space="preserve">Bindungstheorie:</w:t>
      </w:r>
    </w:p>
    <w:p>
      <w:pPr>
        <w:spacing w:after="120" w:before="0"/>
        <w:jc w:val="both"/>
      </w:pPr>
      <w:r>
        <w:rPr>
          <w:rFonts w:ascii="Georgia" w:cs="Georgia" w:eastAsia="Georgia" w:hAnsi="Georgia"/>
          <w:b w:val="false"/>
          <w:bCs w:val="false"/>
          <w:color w:val="2C2C2C"/>
          <w:sz w:val="220"/>
          <w:szCs w:val="220"/>
        </w:rPr>
        <w:t xml:space="preserve">Bowlby, J. (1969). *Attachment and Loss: Vol. 1. Attachment.* Basic Books.</w:t>
      </w:r>
    </w:p>
    <w:p>
      <w:pPr>
        <w:spacing w:after="120" w:before="0"/>
        <w:jc w:val="both"/>
      </w:pPr>
      <w:r>
        <w:rPr>
          <w:rFonts w:ascii="Georgia" w:cs="Georgia" w:eastAsia="Georgia" w:hAnsi="Georgia"/>
          <w:b w:val="false"/>
          <w:bCs w:val="false"/>
          <w:color w:val="2C2C2C"/>
          <w:sz w:val="220"/>
          <w:szCs w:val="220"/>
        </w:rPr>
        <w:t xml:space="preserve">Ainsworth, M. D. S. et al. (1978). *Patterns of Attachment.* Erlbaum.</w:t>
      </w:r>
    </w:p>
    <w:p>
      <w:pPr>
        <w:spacing w:after="120" w:before="0"/>
        <w:jc w:val="both"/>
      </w:pPr>
      <w:r>
        <w:rPr>
          <w:rFonts w:ascii="Georgia" w:cs="Georgia" w:eastAsia="Georgia" w:hAnsi="Georgia"/>
          <w:b w:val="false"/>
          <w:bCs w:val="false"/>
          <w:color w:val="2C2C2C"/>
          <w:sz w:val="220"/>
          <w:szCs w:val="220"/>
        </w:rPr>
        <w:t xml:space="preserve">Heller, D. P. (2019). *Die Kraft der sicheren Bindung.* Klett-Cotta.</w:t>
      </w:r>
    </w:p>
    <w:p>
      <w:pPr>
        <w:spacing w:after="120" w:before="400"/>
      </w:pPr>
      <w:r>
        <w:rPr>
          <w:rFonts w:ascii="Georgia" w:cs="Georgia" w:eastAsia="Georgia" w:hAnsi="Georgia"/>
          <w:b/>
          <w:bCs/>
          <w:color w:val="2C2C2C"/>
          <w:sz w:val="230"/>
          <w:szCs w:val="230"/>
        </w:rPr>
        <w:t xml:space="preserve">People-Pleasing und Co-Abhängigkeit:</w:t>
      </w:r>
    </w:p>
    <w:p>
      <w:pPr>
        <w:spacing w:after="120" w:before="0"/>
        <w:jc w:val="both"/>
      </w:pPr>
      <w:r>
        <w:rPr>
          <w:rFonts w:ascii="Georgia" w:cs="Georgia" w:eastAsia="Georgia" w:hAnsi="Georgia"/>
          <w:b w:val="false"/>
          <w:bCs w:val="false"/>
          <w:color w:val="2C2C2C"/>
          <w:sz w:val="220"/>
          <w:szCs w:val="220"/>
        </w:rPr>
        <w:t xml:space="preserve">Beattie, M. (1987). *Codependent No More.* Hazelden Publishing.</w:t>
      </w:r>
    </w:p>
    <w:p>
      <w:pPr>
        <w:spacing w:after="120" w:before="0"/>
        <w:jc w:val="both"/>
      </w:pPr>
      <w:r>
        <w:rPr>
          <w:rFonts w:ascii="Georgia" w:cs="Georgia" w:eastAsia="Georgia" w:hAnsi="Georgia"/>
          <w:b w:val="false"/>
          <w:bCs w:val="false"/>
          <w:color w:val="2C2C2C"/>
          <w:sz w:val="220"/>
          <w:szCs w:val="220"/>
        </w:rPr>
        <w:t xml:space="preserve">Brown, B. (2010). *Die Gaben der Unvollkommenheit.* Kailash.</w:t>
      </w:r>
    </w:p>
    <w:p>
      <w:pPr>
        <w:spacing w:after="120" w:before="400"/>
      </w:pPr>
      <w:r>
        <w:rPr>
          <w:rFonts w:ascii="Georgia" w:cs="Georgia" w:eastAsia="Georgia" w:hAnsi="Georgia"/>
          <w:b/>
          <w:bCs/>
          <w:color w:val="2C2C2C"/>
          <w:sz w:val="230"/>
          <w:szCs w:val="230"/>
        </w:rPr>
        <w:t xml:space="preserve">Inneres Kind:</w:t>
      </w:r>
    </w:p>
    <w:p>
      <w:pPr>
        <w:spacing w:after="120" w:before="0"/>
        <w:jc w:val="both"/>
      </w:pPr>
      <w:r>
        <w:rPr>
          <w:rFonts w:ascii="Georgia" w:cs="Georgia" w:eastAsia="Georgia" w:hAnsi="Georgia"/>
          <w:b w:val="false"/>
          <w:bCs w:val="false"/>
          <w:color w:val="2C2C2C"/>
          <w:sz w:val="220"/>
          <w:szCs w:val="220"/>
        </w:rPr>
        <w:t xml:space="preserve">Bradshaw, J. (1990). *Homecoming: Reclaiming and Championing Your Inner Child.* Bantam Books.</w:t>
      </w:r>
    </w:p>
    <w:p>
      <w:pPr>
        <w:spacing w:after="120" w:before="0"/>
        <w:jc w:val="both"/>
      </w:pPr>
      <w:r>
        <w:rPr>
          <w:rFonts w:ascii="Georgia" w:cs="Georgia" w:eastAsia="Georgia" w:hAnsi="Georgia"/>
          <w:b w:val="false"/>
          <w:bCs w:val="false"/>
          <w:color w:val="2C2C2C"/>
          <w:sz w:val="220"/>
          <w:szCs w:val="220"/>
        </w:rPr>
        <w:t xml:space="preserve">Young, J. E. (2005). *Schematherapie in der Praxis.* Beltz.</w:t>
      </w:r>
    </w:p>
    <w:p>
      <w:pPr>
        <w:spacing w:after="120" w:before="400"/>
      </w:pPr>
      <w:r>
        <w:rPr>
          <w:rFonts w:ascii="Georgia" w:cs="Georgia" w:eastAsia="Georgia" w:hAnsi="Georgia"/>
          <w:b/>
          <w:bCs/>
          <w:color w:val="2C2C2C"/>
          <w:sz w:val="230"/>
          <w:szCs w:val="230"/>
        </w:rPr>
        <w:t xml:space="preserve">Gewaltfreie Kommunikation:</w:t>
      </w:r>
    </w:p>
    <w:p>
      <w:pPr>
        <w:spacing w:after="120" w:before="0"/>
        <w:jc w:val="both"/>
      </w:pPr>
      <w:r>
        <w:rPr>
          <w:rFonts w:ascii="Georgia" w:cs="Georgia" w:eastAsia="Georgia" w:hAnsi="Georgia"/>
          <w:b w:val="false"/>
          <w:bCs w:val="false"/>
          <w:color w:val="2C2C2C"/>
          <w:sz w:val="220"/>
          <w:szCs w:val="220"/>
        </w:rPr>
        <w:t xml:space="preserve">Rosenberg, M. B. (2016). *Gewaltfreie Kommunikation.* Junfermann.</w:t>
      </w:r>
    </w:p>
    <w:p>
      <w:pPr>
        <w:spacing w:after="120" w:before="400"/>
      </w:pPr>
      <w:r>
        <w:rPr>
          <w:rFonts w:ascii="Georgia" w:cs="Georgia" w:eastAsia="Georgia" w:hAnsi="Georgia"/>
          <w:b/>
          <w:bCs/>
          <w:color w:val="2C2C2C"/>
          <w:sz w:val="230"/>
          <w:szCs w:val="230"/>
        </w:rPr>
        <w:t xml:space="preserve">Narzissmus und schwierige Beziehungen:</w:t>
      </w:r>
    </w:p>
    <w:p>
      <w:pPr>
        <w:spacing w:after="120" w:before="0"/>
        <w:jc w:val="both"/>
      </w:pPr>
      <w:r>
        <w:rPr>
          <w:rFonts w:ascii="Georgia" w:cs="Georgia" w:eastAsia="Georgia" w:hAnsi="Georgia"/>
          <w:b w:val="false"/>
          <w:bCs w:val="false"/>
          <w:color w:val="2C2C2C"/>
          <w:sz w:val="220"/>
          <w:szCs w:val="220"/>
        </w:rPr>
        <w:t xml:space="preserve">Bancroft, L. (2002). *Why Does He Do That?* Berkley Books.</w:t>
      </w:r>
    </w:p>
    <w:p>
      <w:pPr>
        <w:spacing w:after="120" w:before="0"/>
        <w:jc w:val="both"/>
      </w:pPr>
      <w:r>
        <w:rPr>
          <w:rFonts w:ascii="Georgia" w:cs="Georgia" w:eastAsia="Georgia" w:hAnsi="Georgia"/>
          <w:b w:val="false"/>
          <w:bCs w:val="false"/>
          <w:color w:val="2C2C2C"/>
          <w:sz w:val="220"/>
          <w:szCs w:val="220"/>
        </w:rPr>
        <w:t xml:space="preserve">Schneider, A. (2019). *Toxische Beziehungen erkennen und verlassen.* Goldmann.</w:t>
      </w:r>
    </w:p>
    <w:p>
      <w:pPr>
        <w:spacing w:after="120" w:before="400"/>
      </w:pPr>
      <w:r>
        <w:rPr>
          <w:rFonts w:ascii="Georgia" w:cs="Georgia" w:eastAsia="Georgia" w:hAnsi="Georgia"/>
          <w:b/>
          <w:bCs/>
          <w:color w:val="2C2C2C"/>
          <w:sz w:val="230"/>
          <w:szCs w:val="230"/>
        </w:rPr>
        <w:t xml:space="preserve">Allgemeine Empfehlungen:</w:t>
      </w:r>
    </w:p>
    <w:p>
      <w:pPr>
        <w:spacing w:after="120" w:before="0"/>
        <w:jc w:val="both"/>
      </w:pPr>
      <w:r>
        <w:rPr>
          <w:rFonts w:ascii="Georgia" w:cs="Georgia" w:eastAsia="Georgia" w:hAnsi="Georgia"/>
          <w:b w:val="false"/>
          <w:bCs w:val="false"/>
          <w:color w:val="2C2C2C"/>
          <w:sz w:val="220"/>
          <w:szCs w:val="220"/>
        </w:rPr>
        <w:t xml:space="preserve">Stahl, S. (2015). *Das Kind in dir muss Heimat finden.* Kailash.</w:t>
      </w:r>
    </w:p>
    <w:p>
      <w:pPr>
        <w:spacing w:after="120" w:before="0"/>
        <w:jc w:val="both"/>
      </w:pPr>
      <w:r>
        <w:rPr>
          <w:rFonts w:ascii="Georgia" w:cs="Georgia" w:eastAsia="Georgia" w:hAnsi="Georgia"/>
          <w:b w:val="false"/>
          <w:bCs w:val="false"/>
          <w:color w:val="2C2C2C"/>
          <w:sz w:val="220"/>
          <w:szCs w:val="220"/>
        </w:rPr>
        <w:t xml:space="preserve">van der Kolk, B. (2014). *Verkörperter Schrecken.* Probst Verlag.</w:t>
      </w:r>
    </w:p>
    <w:p>
      <w:pPr>
        <w:pageBreakBefore/>
        <w:spacing w:after="280" w:before="720"/>
        <w:jc w:val="left"/>
      </w:pPr>
      <w:r>
        <w:rPr>
          <w:rFonts w:ascii="Georgia" w:cs="Georgia" w:eastAsia="Georgia" w:hAnsi="Georgia"/>
          <w:b w:val="false"/>
          <w:bCs w:val="false"/>
          <w:color w:val="C0848A"/>
          <w:sz w:val="340"/>
          <w:szCs w:val="340"/>
        </w:rPr>
        <w:t xml:space="preserve">Impressum</w:t>
      </w:r>
    </w:p>
    <w:p>
      <w:pPr>
        <w:spacing w:after="120" w:before="0"/>
        <w:jc w:val="both"/>
      </w:pPr>
      <w:r>
        <w:rPr>
          <w:rFonts w:ascii="Georgia" w:cs="Georgia" w:eastAsia="Georgia" w:hAnsi="Georgia"/>
          <w:b w:val="false"/>
          <w:bCs w:val="false"/>
          <w:color w:val="2C2C2C"/>
          <w:sz w:val="220"/>
          <w:szCs w:val="220"/>
        </w:rPr>
        <w:t xml:space="preserve">*Wenn Beziehungen erschöpfen*</w:t>
      </w:r>
    </w:p>
    <w:p>
      <w:pPr>
        <w:spacing w:after="120" w:before="0"/>
        <w:jc w:val="both"/>
      </w:pPr>
      <w:r>
        <w:rPr>
          <w:rFonts w:ascii="Georgia" w:cs="Georgia" w:eastAsia="Georgia" w:hAnsi="Georgia"/>
          <w:b w:val="false"/>
          <w:bCs w:val="false"/>
          <w:color w:val="2C2C2C"/>
          <w:sz w:val="220"/>
          <w:szCs w:val="220"/>
        </w:rPr>
        <w:t xml:space="preserve">Warum du gibst, bis nichts mehr von dir übrig ist — und wie du dich zurückholst</w:t>
      </w:r>
    </w:p>
    <w:p>
      <w:pPr>
        <w:spacing w:after="120" w:before="0"/>
        <w:jc w:val="both"/>
      </w:pPr>
      <w:r>
        <w:rPr>
          <w:rFonts w:ascii="Georgia" w:cs="Georgia" w:eastAsia="Georgia" w:hAnsi="Georgia"/>
          <w:b w:val="false"/>
          <w:bCs w:val="false"/>
          <w:color w:val="2C2C2C"/>
          <w:sz w:val="220"/>
          <w:szCs w:val="220"/>
        </w:rPr>
        <w:t xml:space="preserve">Autorin: Petra Tanner</w:t>
      </w:r>
    </w:p>
    <w:p>
      <w:pPr>
        <w:spacing w:after="120" w:before="0"/>
        <w:jc w:val="both"/>
      </w:pPr>
      <w:r>
        <w:rPr>
          <w:rFonts w:ascii="Georgia" w:cs="Georgia" w:eastAsia="Georgia" w:hAnsi="Georgia"/>
          <w:b w:val="false"/>
          <w:bCs w:val="false"/>
          <w:color w:val="2C2C2C"/>
          <w:sz w:val="220"/>
          <w:szCs w:val="220"/>
        </w:rPr>
        <w:t xml:space="preserve">© 2026 Petra Tanner / Safe to Thrive</w:t>
      </w:r>
    </w:p>
    <w:p>
      <w:pPr>
        <w:spacing w:after="120" w:before="0"/>
        <w:jc w:val="both"/>
      </w:pPr>
      <w:r>
        <w:rPr>
          <w:rFonts w:ascii="Georgia" w:cs="Georgia" w:eastAsia="Georgia" w:hAnsi="Georgia"/>
          <w:b w:val="false"/>
          <w:bCs w:val="false"/>
          <w:color w:val="2C2C2C"/>
          <w:sz w:val="220"/>
          <w:szCs w:val="220"/>
        </w:rPr>
        <w:t xml:space="preserve">Schweiz</w:t>
      </w:r>
    </w:p>
    <w:p>
      <w:pPr>
        <w:spacing w:after="120" w:before="0"/>
        <w:jc w:val="both"/>
      </w:pPr>
      <w:r>
        <w:rPr>
          <w:rFonts w:ascii="Georgia" w:cs="Georgia" w:eastAsia="Georgia" w:hAnsi="Georgia"/>
          <w:b w:val="false"/>
          <w:bCs w:val="false"/>
          <w:color w:val="2C2C2C"/>
          <w:sz w:val="220"/>
          <w:szCs w:val="220"/>
        </w:rPr>
        <w:t xml:space="preserve">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spacing w:after="120" w:before="0"/>
        <w:jc w:val="both"/>
      </w:pPr>
      <w:r>
        <w:rPr>
          <w:rFonts w:ascii="Georgia" w:cs="Georgia" w:eastAsia="Georgia" w:hAnsi="Georgia"/>
          <w:b/>
          <w:bCs/>
          <w:color w:val="2C2C2C"/>
          <w:sz w:val="220"/>
          <w:szCs w:val="220"/>
        </w:rPr>
        <w:t xml:space="preserve">Haftungsausschluss:</w:t>
      </w:r>
      <w:r>
        <w:rPr>
          <w:rFonts w:ascii="Georgia" w:cs="Georgia" w:eastAsia="Georgia" w:hAnsi="Georgia"/>
          <w:b w:val="false"/>
          <w:bCs w:val="false"/>
          <w:color w:val="2C2C2C"/>
          <w:sz w:val="220"/>
          <w:szCs w:val="220"/>
        </w:rP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spacing w:after="120" w:before="0"/>
        <w:jc w:val="both"/>
      </w:pPr>
      <w:r>
        <w:rPr>
          <w:rFonts w:ascii="Georgia" w:cs="Georgia" w:eastAsia="Georgia" w:hAnsi="Georgia"/>
          <w:b/>
          <w:bCs/>
          <w:color w:val="2C2C2C"/>
          <w:sz w:val="220"/>
          <w:szCs w:val="220"/>
        </w:rPr>
        <w:t xml:space="preserve">Fallbeispiele:</w:t>
      </w:r>
      <w:r>
        <w:rPr>
          <w:rFonts w:ascii="Georgia" w:cs="Georgia" w:eastAsia="Georgia" w:hAnsi="Georgia"/>
          <w:b w:val="false"/>
          <w:bCs w:val="false"/>
          <w:color w:val="2C2C2C"/>
          <w:sz w:val="220"/>
          <w:szCs w:val="220"/>
        </w:rP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spacing w:after="120" w:before="0"/>
        <w:jc w:val="both"/>
      </w:pPr>
      <w:r>
        <w:rPr>
          <w:rFonts w:ascii="Georgia" w:cs="Georgia" w:eastAsia="Georgia" w:hAnsi="Georgia"/>
          <w:b/>
          <w:bCs/>
          <w:color w:val="2C2C2C"/>
          <w:sz w:val="220"/>
          <w:szCs w:val="220"/>
        </w:rPr>
        <w:t xml:space="preserve">Kontakt:</w:t>
      </w:r>
      <w:r>
        <w:rPr>
          <w:rFonts w:ascii="Georgia" w:cs="Georgia" w:eastAsia="Georgia" w:hAnsi="Georgia"/>
          <w:b w:val="false"/>
          <w:bCs w:val="false"/>
          <w:color w:val="2C2C2C"/>
          <w:sz w:val="220"/>
          <w:szCs w:val="220"/>
        </w:rPr>
        <w:t xml:space="preserve"> beyondlimitsnow25@gmail.com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