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Warum du gibst, bis nichts mehr von dir übrig ist,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Grenzen,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Das innere Kind,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Viele der Frauen, die zu mir kommen, wurden in ihrem Leben noch nie wirklich gefragt: Wie geht es dir,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Das, was du gerade fühlst? Diese Erschöpfung, die sich nicht erklären lässt, die nach dem Wochenende noch da ist, die schon morgens beim Aufwachen auf dir liegt,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Das schlechte Gewissen, wenn du ausnahmsweise mal an dich denkst. Du gönnst dir eine Stunde für dich, ein Bad, ein Buch, ein Spaziergang,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Franziska, die Frau, die ich am Anfang beschrieben habe,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Die chronische Müdigkeit, die schon da ist, bevor du den ersten Kaffee getrunken hast. Kopfschmerzen, Verspannungen, Rückenschmerzen, die kommen und gehen,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Die Wissenschaft ist hier sehr klar: Das Stresssystem des Körpers, mit den Hormonen Cortisol und Adrenalin,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Wenn du dich jahrelang an andere angepasst hast, wenn du deine Bedürfnisse immer hintenangestellt hast, wenn du dich permanent gefragt hast, was der andere will, ohne je zu fragen, was du willst,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Wenn du das Muster, in dem du jetzt bist, nie veränderst, wie sieht dieses Leben dann aus? Welche Momente hast du verpasst, weil du zu beschäftigt warst, für andere da zu sein? Welche Träume hast du nie verfolgt? Welche Gespräche hast du nie geführt? Wie hast du dich in deinen Beziehungen gefühlt,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Das ist kein Angriff auf den anderen. Es ist die Beschreibung einer Dynamik, zu der beide beitragen. Systeme haben eine Eigenträgheit. Sie bleiben in einem Gleichgewicht, auch wenn dieses Gleichgewicht ungesund ist,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Nicht um den anderen zu bestrafen. Nicht aus Rache. Sondern weil das Muster nur dann sichtbar wird, für beide,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b w:val="0"/>
          <w:i/>
          <w:sz w:val="220"/>
        </w:rPr>
        <w:t>Wenn ich genug gebe, muss er nicht gehen.</w:t>
      </w:r>
    </w:p>
    <w:p>
      <w:pPr>
        <w:spacing w:after="120" w:before="0"/>
        <w:jc w:val="both"/>
      </w:pPr>
      <w:r>
        <w:rPr>
          <w:b w:val="0"/>
          <w:i/>
          <w:sz w:val="220"/>
        </w:rPr>
        <w:t>Wenn ich keine Ansprüche stelle, bin ich sicher.</w:t>
      </w:r>
    </w:p>
    <w:p>
      <w:pPr>
        <w:spacing w:after="120" w:before="0"/>
        <w:jc w:val="both"/>
      </w:pPr>
      <w:r>
        <w:rPr>
          <w:b w:val="0"/>
          <w:i/>
          <w:sz w:val="220"/>
        </w:rPr>
        <w:t>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Kapitel 7: Grenzen,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Irgendwann explodierte es. Nach einem harmlosen Satz ihres Mannes, er bat sie, auch noch seine Eltern für Weihnachten zu organisieren,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Grenzen zu setzen ist keine einmalige Handlung. Es ist eine Praxis. Du wirst es lernen, vergessen, wieder lernen. Du wirst Rückschritte haben,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Das erste ist Liebe. Das zweite ist Martyrium. Und Martyrium trägt, wenn man es lange genug praktiziert,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b w:val="0"/>
          <w:sz w:val="220"/>
        </w:rPr>
        <w:t xml:space="preserve">Aber der Unterschied ist entscheidend: </w:t>
      </w:r>
      <w:r>
        <w:rPr>
          <w:b w:val="0"/>
          <w:i/>
          <w:sz w:val="220"/>
        </w:rPr>
        <w:t>weil du willst</w:t>
      </w:r>
      <w:r>
        <w:rPr>
          <w:b w:val="0"/>
          <w:sz w:val="220"/>
        </w:rPr>
        <w:t xml:space="preserve">, nicht </w:t>
      </w:r>
      <w:r>
        <w:rPr>
          <w:b w:val="0"/>
          <w:i/>
          <w:sz w:val="220"/>
        </w:rPr>
        <w:t>weil du fürchtest, was passiert, wenn du es nicht tust</w:t>
      </w:r>
      <w:r>
        <w:rPr>
          <w:b w:val="0"/>
          <w:sz w:val="220"/>
        </w:rPr>
        <w: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auch wenn sie vielleicht kurz enttäuscht ist,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Nach Zeit mit jemandem, den du liebst, wie fühlst du dich? Voller oder leerer?</w:t>
      </w:r>
    </w:p>
    <w:p>
      <w:pPr>
        <w:spacing w:after="120" w:before="0"/>
        <w:jc w:val="both"/>
      </w:pPr>
      <w:r>
        <w:rPr>
          <w:rFonts w:ascii="Georgia" w:cs="Georgia" w:eastAsia="Georgia" w:hAnsi="Georgia"/>
          <w:b w:val="false"/>
          <w:bCs w:val="false"/>
          <w:color w:val="2C2C2C"/>
          <w:sz w:val="220"/>
          <w:szCs w:val="220"/>
        </w:rPr>
        <w:t>Ich sage nicht: immer voller. Tiefe Gespräche, Konflikte, emotionale Arbeit,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Du verdienst eine Liebe, bei der du dich nicht kleiner machen musst. Bei der du Raum einnehmen darfst. Bei der du Nein sagen darfst. Bei der du auch gehalten wirst,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Stell dir täglich, auch wenn es nur zwei Minuten sind,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Drei Übungen für diese Woche,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und das ist die eigentliche Übung,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Ich denke an Markus und Sonja. Sie kam zu mir, er nie, aber ich lernte ihn durch ihre Beschreibungen kennen. Nach dreizehn Jahren Ehe hatte Sonja begonnen, sich zu verändern. Sie hatte Grenzen gesetzt. Sie hatte gesagt, was sie brauchte. Und Markus hatte, langsam, holprig, manchmal widerwillig,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Kapitel 13: Das innere Kind,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Bettina beschrieb mir später, wie sie begann, das zu unterscheiden. „Wenn ich dieses ganz bestimmte Angstgefühl spüre, das Zucken in der Brust,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Kapitel 14: Wenn der andere sich nie ändert,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Für mich,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Was Veränderung in diesen Beziehungen braucht,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Eine Veränderung, die nur kommt, weil du drohst zu gehen, und wieder aufhört, wenn du geblieben bist,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Kapitel 15: Endlich sagen, was du meinst,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jc w:val="both"/>
      </w:pPr>
      <w:r>
        <w:rPr>
          <w:b w:val="0"/>
          <w:sz w:val="220"/>
        </w:rPr>
        <w:t xml:space="preserve">Bowlby, J. (1969). </w:t>
      </w:r>
      <w:r>
        <w:rPr>
          <w:b w:val="0"/>
          <w:i/>
          <w:sz w:val="220"/>
        </w:rPr>
        <w:t>Attachment and Loss: Vol. 1. Attachment.</w:t>
      </w:r>
      <w:r>
        <w:rPr>
          <w:b w:val="0"/>
          <w:sz w:val="220"/>
        </w:rPr>
        <w:t xml:space="preserve"> Basic Books.</w:t>
      </w:r>
    </w:p>
    <w:p>
      <w:pPr>
        <w:spacing w:after="120" w:before="0"/>
        <w:jc w:val="both"/>
      </w:pPr>
      <w:r>
        <w:rPr>
          <w:b w:val="0"/>
          <w:sz w:val="220"/>
        </w:rPr>
        <w:t xml:space="preserve">Ainsworth, M. D. S. et al. (1978). </w:t>
      </w:r>
      <w:r>
        <w:rPr>
          <w:b w:val="0"/>
          <w:i/>
          <w:sz w:val="220"/>
        </w:rPr>
        <w:t>Patterns of Attachment.</w:t>
      </w:r>
      <w:r>
        <w:rPr>
          <w:b w:val="0"/>
          <w:sz w:val="220"/>
        </w:rPr>
        <w:t xml:space="preserve"> Erlbaum.</w:t>
      </w:r>
    </w:p>
    <w:p>
      <w:pPr>
        <w:spacing w:after="120" w:before="0"/>
        <w:jc w:val="both"/>
      </w:pPr>
      <w:r>
        <w:rPr>
          <w:b w:val="0"/>
          <w:sz w:val="220"/>
        </w:rPr>
        <w:t xml:space="preserve">Heller, D. P. (2019). </w:t>
      </w:r>
      <w:r>
        <w:rPr>
          <w:b w:val="0"/>
          <w:i/>
          <w:sz w:val="220"/>
        </w:rPr>
        <w:t>Die Kraft der sicheren Bindung.</w:t>
      </w:r>
      <w:r>
        <w:rPr>
          <w:b w:val="0"/>
          <w:sz w:val="220"/>
        </w:rPr>
        <w:t xml:space="preserve">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jc w:val="both"/>
      </w:pPr>
      <w:r>
        <w:rPr>
          <w:b w:val="0"/>
          <w:sz w:val="220"/>
        </w:rPr>
        <w:t xml:space="preserve">Beattie, M. (1987). </w:t>
      </w:r>
      <w:r>
        <w:rPr>
          <w:b w:val="0"/>
          <w:i/>
          <w:sz w:val="220"/>
        </w:rPr>
        <w:t>Codependent No More.</w:t>
      </w:r>
      <w:r>
        <w:rPr>
          <w:b w:val="0"/>
          <w:sz w:val="220"/>
        </w:rPr>
        <w:t xml:space="preserve"> Hazelden Publishing.</w:t>
      </w:r>
    </w:p>
    <w:p>
      <w:pPr>
        <w:spacing w:after="120" w:before="0"/>
        <w:jc w:val="both"/>
      </w:pPr>
      <w:r>
        <w:rPr>
          <w:b w:val="0"/>
          <w:sz w:val="220"/>
        </w:rPr>
        <w:t xml:space="preserve">Brown, B. (2010). </w:t>
      </w:r>
      <w:r>
        <w:rPr>
          <w:b w:val="0"/>
          <w:i/>
          <w:sz w:val="220"/>
        </w:rPr>
        <w:t>Die Gaben der Unvollkommenheit.</w:t>
      </w:r>
      <w:r>
        <w:rPr>
          <w:b w:val="0"/>
          <w:sz w:val="220"/>
        </w:rPr>
        <w:t xml:space="preserve"> Kailash.</w:t>
      </w:r>
    </w:p>
    <w:p>
      <w:pPr>
        <w:spacing w:after="120" w:before="400"/>
      </w:pPr>
      <w:r>
        <w:rPr>
          <w:rFonts w:ascii="Georgia" w:cs="Georgia" w:eastAsia="Georgia" w:hAnsi="Georgia"/>
          <w:b/>
          <w:bCs/>
          <w:color w:val="2C2C2C"/>
          <w:sz w:val="230"/>
          <w:szCs w:val="230"/>
        </w:rPr>
        <w:t xml:space="preserve">Inneres Kind:</w:t>
      </w:r>
    </w:p>
    <w:p>
      <w:pPr>
        <w:spacing w:after="120" w:before="0"/>
        <w:jc w:val="both"/>
      </w:pPr>
      <w:r>
        <w:rPr>
          <w:b w:val="0"/>
          <w:sz w:val="220"/>
        </w:rPr>
        <w:t xml:space="preserve">Bradshaw, J. (1990). </w:t>
      </w:r>
      <w:r>
        <w:rPr>
          <w:b w:val="0"/>
          <w:i/>
          <w:sz w:val="220"/>
        </w:rPr>
        <w:t>Homecoming: Reclaiming and Championing Your Inner Child.</w:t>
      </w:r>
      <w:r>
        <w:rPr>
          <w:b w:val="0"/>
          <w:sz w:val="220"/>
        </w:rPr>
        <w:t xml:space="preserve"> Bantam Books.</w:t>
      </w:r>
    </w:p>
    <w:p>
      <w:pPr>
        <w:spacing w:after="120" w:before="0"/>
        <w:jc w:val="both"/>
      </w:pPr>
      <w:r>
        <w:rPr>
          <w:b w:val="0"/>
          <w:sz w:val="220"/>
        </w:rPr>
        <w:t xml:space="preserve">Young, J. E. (2005). </w:t>
      </w:r>
      <w:r>
        <w:rPr>
          <w:b w:val="0"/>
          <w:i/>
          <w:sz w:val="220"/>
        </w:rPr>
        <w:t>Schematherapie in der Praxis.</w:t>
      </w:r>
      <w:r>
        <w:rPr>
          <w:b w:val="0"/>
          <w:sz w:val="220"/>
        </w:rPr>
        <w:t xml:space="preserve"> Beltz.</w:t>
      </w:r>
    </w:p>
    <w:p>
      <w:pPr>
        <w:spacing w:after="120" w:before="400"/>
      </w:pPr>
      <w:r>
        <w:rPr>
          <w:rFonts w:ascii="Georgia" w:cs="Georgia" w:eastAsia="Georgia" w:hAnsi="Georgia"/>
          <w:b/>
          <w:bCs/>
          <w:color w:val="2C2C2C"/>
          <w:sz w:val="230"/>
          <w:szCs w:val="230"/>
        </w:rPr>
        <w:t xml:space="preserve">Gewaltfreie Kommunikation:</w:t>
      </w:r>
    </w:p>
    <w:p>
      <w:pPr>
        <w:spacing w:after="120" w:before="0"/>
        <w:jc w:val="both"/>
      </w:pPr>
      <w:r>
        <w:rPr>
          <w:b w:val="0"/>
          <w:sz w:val="220"/>
        </w:rPr>
        <w:t xml:space="preserve">Rosenberg, M. B. (2016). </w:t>
      </w:r>
      <w:r>
        <w:rPr>
          <w:b w:val="0"/>
          <w:i/>
          <w:sz w:val="220"/>
        </w:rPr>
        <w:t>Gewaltfreie Kommunikation.</w:t>
      </w:r>
      <w:r>
        <w:rPr>
          <w:b w:val="0"/>
          <w:sz w:val="220"/>
        </w:rPr>
        <w:t xml:space="preserve">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jc w:val="both"/>
      </w:pPr>
      <w:r>
        <w:rPr>
          <w:b w:val="0"/>
          <w:sz w:val="220"/>
        </w:rPr>
        <w:t xml:space="preserve">Bancroft, L. (2002). </w:t>
      </w:r>
      <w:r>
        <w:rPr>
          <w:b w:val="0"/>
          <w:i/>
          <w:sz w:val="220"/>
        </w:rPr>
        <w:t>Why Does He Do That?</w:t>
      </w:r>
      <w:r>
        <w:rPr>
          <w:b w:val="0"/>
          <w:sz w:val="220"/>
        </w:rPr>
        <w:t xml:space="preserve"> Berkley Books.</w:t>
      </w:r>
    </w:p>
    <w:p>
      <w:pPr>
        <w:spacing w:after="120" w:before="0"/>
        <w:jc w:val="both"/>
      </w:pPr>
      <w:r>
        <w:rPr>
          <w:b w:val="0"/>
          <w:sz w:val="220"/>
        </w:rPr>
        <w:t xml:space="preserve">Schneider, A. (2019). </w:t>
      </w:r>
      <w:r>
        <w:rPr>
          <w:b w:val="0"/>
          <w:i/>
          <w:sz w:val="220"/>
        </w:rPr>
        <w:t>Toxische Beziehungen erkennen und verlassen.</w:t>
      </w:r>
      <w:r>
        <w:rPr>
          <w:b w:val="0"/>
          <w:sz w:val="220"/>
        </w:rPr>
        <w:t xml:space="preserve"> Goldmann.</w:t>
      </w:r>
    </w:p>
    <w:p>
      <w:pPr>
        <w:spacing w:after="120" w:before="400"/>
      </w:pPr>
      <w:r>
        <w:rPr>
          <w:rFonts w:ascii="Georgia" w:cs="Georgia" w:eastAsia="Georgia" w:hAnsi="Georgia"/>
          <w:b/>
          <w:bCs/>
          <w:color w:val="2C2C2C"/>
          <w:sz w:val="230"/>
          <w:szCs w:val="230"/>
        </w:rPr>
        <w:t xml:space="preserve">Allgemeine Empfehlungen:</w:t>
      </w:r>
    </w:p>
    <w:p>
      <w:pPr>
        <w:spacing w:after="120" w:before="0"/>
        <w:jc w:val="both"/>
      </w:pPr>
      <w:r>
        <w:rPr>
          <w:b w:val="0"/>
          <w:sz w:val="220"/>
        </w:rPr>
        <w:t xml:space="preserve">Stahl, S. (2015). </w:t>
      </w:r>
      <w:r>
        <w:rPr>
          <w:b w:val="0"/>
          <w:i/>
          <w:sz w:val="220"/>
        </w:rPr>
        <w:t>Das Kind in dir muss Heimat finden.</w:t>
      </w:r>
      <w:r>
        <w:rPr>
          <w:b w:val="0"/>
          <w:sz w:val="220"/>
        </w:rPr>
        <w:t xml:space="preserve"> Kailash.</w:t>
      </w:r>
    </w:p>
    <w:p>
      <w:pPr>
        <w:spacing w:after="120" w:before="0"/>
        <w:jc w:val="both"/>
      </w:pPr>
      <w:r>
        <w:rPr>
          <w:b w:val="0"/>
          <w:sz w:val="220"/>
        </w:rPr>
        <w:t xml:space="preserve">van der Kolk, B. (2014). </w:t>
      </w:r>
      <w:r>
        <w:rPr>
          <w:b w:val="0"/>
          <w:i/>
          <w:sz w:val="220"/>
        </w:rPr>
        <w:t>Verkörperter Schrecken.</w:t>
      </w:r>
      <w:r>
        <w:rPr>
          <w:b w:val="0"/>
          <w:sz w:val="220"/>
        </w:rPr>
        <w:t xml:space="preserve"> Probst Verlag.</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