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Autorin und Mentorin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Mentorin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Mentorin,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Das ist nicht nur Einbildung. Da steckt auch Körperliches dahinter.</w:t>
      </w:r>
    </w:p>
    <w:p>
      <w:pPr>
        <w:spacing w:after="120" w:before="0"/>
        <w:jc w:val="both"/>
      </w:pPr>
      <w:r>
        <w:rPr>
          <w:rFonts w:ascii="Georgia" w:cs="Georgia" w:eastAsia="Georgia" w:hAnsi="Georgia"/>
          <w:b w:val="false"/>
          <w:bCs w:val="false"/>
          <w:color w:val="2C2C2C"/>
          <w:sz w:val="220"/>
          <w:szCs w:val="220"/>
        </w:rPr>
        <w:t>Vieles deutet darauf hin: Das Stresssystem des Körpers, mit Hormonen wie Cortisol und Adrenalin, ist eigentlich für kurzfristige Belastungen ausgelegt. Es soll aktiviert werden, dann wieder zur Ruhe kommen. Bei chronischer Überverantwortung kann es sein, dass es kaum noch zur Ruhe kommt.</w:t>
      </w:r>
    </w:p>
    <w:p>
      <w:pPr>
        <w:spacing w:after="120" w:before="0"/>
        <w:jc w:val="both"/>
      </w:pPr>
      <w:r>
        <w:rPr>
          <w:rFonts w:ascii="Georgia" w:cs="Georgia" w:eastAsia="Georgia" w:hAnsi="Georgia"/>
          <w:b w:val="false"/>
          <w:bCs w:val="false"/>
          <w:color w:val="2C2C2C"/>
          <w:sz w:val="220"/>
          <w:szCs w:val="220"/>
        </w:rPr>
        <w:t>Mögliche Folgen: Schlafstörungen, Herzrasen, Muskelspannung, Verdauungsprobleme, ein Immunsystem, das anfälliger wird. Nicht weil zwingend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Ein Körper, der lange unter emotionalem Stress steht, reagiert oft irgendwann.</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Ich fragte: „Und wann bist du für dich da?“</w:t>
      </w:r>
    </w:p>
    <w:p>
      <w:pPr>
        <w:spacing w:after="120" w:before="0"/>
        <w:jc w:val="both"/>
      </w:pPr>
      <w:r>
        <w:rPr>
          <w:rFonts w:ascii="Georgia" w:cs="Georgia" w:eastAsia="Georgia" w:hAnsi="Georgia"/>
          <w:b w:val="false"/>
          <w:bCs w:val="false"/>
          <w:color w:val="2C2C2C"/>
          <w:sz w:val="220"/>
          <w:szCs w:val="220"/>
        </w:rPr>
        <w:t>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360"/>
        <w:jc w:val="left"/>
      </w:pPr>
      <w:r>
        <w:rPr>
          <w:rFonts w:ascii="Georgia" w:cs="Georgia" w:eastAsia="Georgia" w:hAnsi="Georgia"/>
          <w:b/>
          <w:bCs w:val="false"/>
          <w:color w:val="C0848A"/>
          <w:sz w:val="340"/>
          <w:szCs w:val="340"/>
        </w:rPr>
        <w:t>Dein kostenloser Bonus zum Buch</w:t>
      </w:r>
    </w:p>
    <w:p>
      <w:pPr>
        <w:spacing w:after="60" w:before="0"/>
        <w:jc w:val="both"/>
      </w:pPr>
      <w:r>
        <w:rPr>
          <w:rFonts w:ascii="Georgia" w:cs="Georgia" w:eastAsia="Georgia" w:hAnsi="Georgia"/>
          <w:b w:val="false"/>
          <w:bCs w:val="false"/>
          <w:color w:val="2C2C2C"/>
          <w:sz w:val="220"/>
          <w:szCs w:val="220"/>
        </w:rPr>
        <w:t>Du kennst diese Momente: Nach einem Gespräch bist du leer, obwohl nichts offen eskaliert ist. Du hast zugehört, getragen und dich selbst wieder zurückgestellt.</w:t>
      </w:r>
    </w:p>
    <w:p>
      <w:pPr>
        <w:spacing w:after="60" w:before="0"/>
        <w:jc w:val="both"/>
      </w:pPr>
      <w:r>
        <w:rPr>
          <w:rFonts w:ascii="Georgia" w:cs="Georgia" w:eastAsia="Georgia" w:hAnsi="Georgia"/>
          <w:b w:val="false"/>
          <w:bCs w:val="false"/>
          <w:color w:val="2C2C2C"/>
          <w:sz w:val="220"/>
          <w:szCs w:val="220"/>
        </w:rPr>
        <w:t>Das kostenlose Begleit-PDF hilft dir, früher zu erkennen, was dir Kraft nimmt, wo du dich selbst übergehst und welche Grenze jetzt wichtig ist.</w:t>
      </w:r>
    </w:p>
    <w:p>
      <w:pPr>
        <w:spacing w:after="60" w:before="0"/>
        <w:jc w:val="both"/>
      </w:pPr>
      <w:r>
        <w:rPr>
          <w:rFonts w:ascii="Georgia" w:cs="Georgia" w:eastAsia="Georgia" w:hAnsi="Georgia"/>
          <w:b w:val="false"/>
          <w:bCs w:val="false"/>
          <w:color w:val="2C2C2C"/>
          <w:sz w:val="220"/>
          <w:szCs w:val="220"/>
        </w:rPr>
        <w:t>Du musst nicht warten, bis eine Beziehung dich völlig erschöpft, bevor du dich selbst ernst nimmst.</w:t>
      </w:r>
    </w:p>
    <w:p>
      <w:pPr>
        <w:spacing w:after="60" w:before="0"/>
        <w:jc w:val="both"/>
      </w:pPr>
      <w:r>
        <w:rPr>
          <w:rFonts w:ascii="Georgia" w:cs="Georgia" w:eastAsia="Georgia" w:hAnsi="Georgia"/>
          <w:b w:val="false"/>
          <w:bCs w:val="false"/>
          <w:color w:val="2C2C2C"/>
          <w:sz w:val="220"/>
          <w:szCs w:val="220"/>
        </w:rPr>
        <w:t>Scanne den QR-Code oder öffne den folgenden Link:</w:t>
      </w:r>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buch3-qr-freebie.png"/>
                    <pic:cNvPicPr/>
                  </pic:nvPicPr>
                  <pic:blipFill>
                    <a:blip r:embed="rId10"/>
                    <a:stretch>
                      <a:fillRect/>
                    </a:stretch>
                  </pic:blipFill>
                  <pic:spPr>
                    <a:xfrm>
                      <a:off x="0" y="0"/>
                      <a:ext cx="1620000" cy="1620000"/>
                    </a:xfrm>
                    <a:prstGeom prst="rect"/>
                  </pic:spPr>
                </pic:pic>
              </a:graphicData>
            </a:graphic>
          </wp:inline>
        </w:drawing>
      </w:r>
    </w:p>
    <w:p>
      <w:pPr>
        <w:spacing w:after="60" w:before="0"/>
        <w:jc w:val="both"/>
      </w:pPr>
      <w:r>
        <w:rPr>
          <w:rFonts w:ascii="Georgia" w:cs="Georgia" w:eastAsia="Georgia" w:hAnsi="Georgia"/>
          <w:b w:val="false"/>
          <w:bCs w:val="false"/>
          <w:color w:val="2C2C2C"/>
          <w:sz w:val="220"/>
          <w:szCs w:val="220"/>
        </w:rPr>
        <w:t>https://beyondlimitsnow25.mytentary.com/p/bJFYAi</w:t>
      </w:r>
    </w:p>
    <w:p>
      <w:pPr>
        <w:spacing w:after="60" w:before="0"/>
        <w:jc w:val="both"/>
      </w:pPr>
      <w:r>
        <w:rPr>
          <w:rFonts w:ascii="Georgia" w:cs="Georgia" w:eastAsia="Georgia" w:hAnsi="Georgia"/>
          <w:b w:val="false"/>
          <w:bCs w:val="false"/>
          <w:color w:val="2C2C2C"/>
          <w:sz w:val="220"/>
          <w:szCs w:val="220"/>
        </w:rPr>
        <w:t>Mit der Anmeldung erhältst du auch E-Mails von Petra Tanner mit Impulsen und Neuigkeiten zu ihren Büchern. Eine Abmeldung ist jederzeit möglich.</w:t>
      </w:r>
    </w:p>
    <w:p>
      <w:pPr>
        <w:spacing w:after="60" w:before="0"/>
        <w:jc w:val="both"/>
      </w:pPr>
      <w:r>
        <w:rPr>
          <w:rFonts w:ascii="Georgia" w:cs="Georgia" w:eastAsia="Georgia" w:hAnsi="Georgia"/>
          <w:b/>
          <w:bCs w:val="false"/>
          <w:color w:val="2C2C2C"/>
          <w:sz w:val="220"/>
          <w:szCs w:val="220"/>
        </w:rPr>
        <w:t>Petra Tanner</w:t>
      </w:r>
    </w:p>
    <w:p>
      <w:pPr>
        <w:spacing w:after="120" w:before="0"/>
        <w:jc w:val="both"/>
      </w:pPr>
      <w:r>
        <w:rPr>
          <w:rFonts w:ascii="Georgia" w:cs="Georgia" w:eastAsia="Georgia" w:hAnsi="Georgia"/>
          <w:b w:val="0"/>
          <w:bCs w:val="false"/>
          <w:color w:val="2C2C2C"/>
          <w:sz w:val="220"/>
          <w:szCs w:val="220"/>
        </w:rPr>
        <w:t>Autorin und Mentorin</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Autorin und Mentorin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Arbeit als Mentorin bietet sie unter dem Namen Safe to Thrive Einzel-Mentorings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Safe to Thrive Einzelmentoring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„Wenn Beziehungen erschöpfen – Das Journal“, mit Reflexionsfragen und Schreibraum zu jedem Kapitel. Erhältlich ebenfalls bei Amazon.</w:t>
      </w:r>
      <w:r>
        <w:rPr>
          <w:rFonts w:ascii="Georgia" w:cs="Georgia" w:eastAsia="Georgia" w:hAnsi="Georgia"/>
          <w:b/>
          <w:bCs/>
          <w:color w:val="2C2C2C"/>
          <w:sz w:val="220"/>
          <w:szCs w:val="220"/>
        </w:rPr>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Autorin und Mentorin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