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Autorin und Mentorin.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bCs w:val="false"/>
          <w:color w:val="C0848A"/>
          <w:sz w:val="340"/>
          <w:szCs w:val="340"/>
        </w:rPr>
        <w:t>Dein kostenloser Bonus zum Buch</w:t>
      </w:r>
    </w:p>
    <w:p>
      <w:pPr>
        <w:spacing w:after="120" w:before="0"/>
        <w:jc w:val="both"/>
      </w:pPr>
      <w:r>
        <w:rPr>
          <w:rFonts w:ascii="Georgia" w:cs="Georgia" w:eastAsia="Georgia" w:hAnsi="Georgia"/>
          <w:b w:val="false"/>
          <w:bCs w:val="false"/>
          <w:color w:val="2C2C2C"/>
          <w:sz w:val="220"/>
          <w:szCs w:val="220"/>
        </w:rPr>
        <w:t>Du kennst diese Momente: Du hast Nein gesagt, und trotzdem meldet sich sofort das schlechte Gewissen.</w:t>
      </w:r>
    </w:p>
    <w:p>
      <w:pPr>
        <w:spacing w:after="120" w:before="0"/>
        <w:jc w:val="both"/>
      </w:pPr>
      <w:r>
        <w:rPr>
          <w:rFonts w:ascii="Georgia" w:cs="Georgia" w:eastAsia="Georgia" w:hAnsi="Georgia"/>
          <w:b w:val="false"/>
          <w:bCs w:val="false"/>
          <w:color w:val="2C2C2C"/>
          <w:sz w:val="220"/>
          <w:szCs w:val="220"/>
        </w:rPr>
        <w:t>Das kostenlose Begleit-PDF hilft dir, früher zu erkennen, wann ein Schuldgefühl wirklich berechtigt ist und wann es nur ein altes Muster ist.</w:t>
      </w:r>
    </w:p>
    <w:p>
      <w:pPr>
        <w:spacing w:after="120" w:before="0"/>
        <w:jc w:val="both"/>
      </w:pPr>
      <w:r>
        <w:rPr>
          <w:rFonts w:ascii="Georgia" w:cs="Georgia" w:eastAsia="Georgia" w:hAnsi="Georgia"/>
          <w:b w:val="false"/>
          <w:bCs w:val="false"/>
          <w:color w:val="2C2C2C"/>
          <w:sz w:val="220"/>
          <w:szCs w:val="220"/>
        </w:rPr>
        <w:t>Du musst nicht warten, bis dich das schlechte Gewissen völlig lähmt, bevor du dich selbst ernst nimmst.</w:t>
      </w:r>
    </w:p>
    <w:p>
      <w:pPr>
        <w:spacing w:after="12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10"/>
                    <a:stretch>
                      <a:fillRect/>
                    </a:stretch>
                  </pic:blipFill>
                  <pic:spPr>
                    <a:xfrm>
                      <a:off x="0" y="0"/>
                      <a:ext cx="1620000" cy="1620000"/>
                    </a:xfrm>
                    <a:prstGeom prst="rect"/>
                  </pic:spPr>
                </pic:pic>
              </a:graphicData>
            </a:graphic>
          </wp:inline>
        </w:drawing>
      </w:r>
    </w:p>
    <w:p>
      <w:pPr>
        <w:spacing w:after="120" w:before="0"/>
        <w:jc w:val="both"/>
      </w:pPr>
      <w:r>
        <w:rPr>
          <w:rFonts w:ascii="Georgia" w:cs="Georgia" w:eastAsia="Georgia" w:hAnsi="Georgia"/>
          <w:b w:val="false"/>
          <w:bCs w:val="false"/>
          <w:color w:val="2C2C2C"/>
          <w:sz w:val="220"/>
          <w:szCs w:val="220"/>
        </w:rPr>
        <w:t>https://beyondlimitsnow25.mytentary.com/p/zxuxLO</w:t>
      </w:r>
    </w:p>
    <w:p>
      <w:pPr>
        <w:spacing w:after="12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120" w:before="0"/>
        <w:jc w:val="both"/>
      </w:pPr>
      <w:r>
        <w:rPr>
          <w:rFonts w:ascii="Georgia" w:cs="Georgia" w:eastAsia="Georgia" w:hAnsi="Georgia"/>
          <w:b/>
          <w:bCs w:val="false"/>
          <w:color w:val="2C2C2C"/>
          <w:sz w:val="220"/>
          <w:szCs w:val="220"/>
        </w:rPr>
        <w:t>Petra Tanner</w:t>
      </w:r>
    </w:p>
    <w:p>
      <w:pPr>
        <w:spacing w:after="120" w:before="0"/>
        <w:jc w:val="both"/>
      </w:pPr>
      <w:r>
        <w:rPr>
          <w:rFonts w:ascii="Georgia" w:cs="Georgia" w:eastAsia="Georgia" w:hAnsi="Georgia"/>
          <w:b w:val="0"/>
          <w:bCs w:val="false"/>
          <w:color w:val="2C2C2C"/>
          <w:sz w:val="220"/>
          <w:szCs w:val="220"/>
        </w:rPr>
        <w:t>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Autorin und Mentorin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