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Autorin und Mentorin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Mentorin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Mentorin,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Ich fragte: „Und wann bist du für dich da?“</w:t>
      </w:r>
    </w:p>
    <w:p>
      <w:pPr>
        <w:spacing w:after="120" w:before="0"/>
        <w:jc w:val="both"/>
      </w:pPr>
      <w:r>
        <w:rPr>
          <w:rFonts w:ascii="Georgia" w:cs="Georgia" w:eastAsia="Georgia" w:hAnsi="Georgia"/>
          <w:b w:val="false"/>
          <w:bCs w:val="false"/>
          <w:color w:val="2C2C2C"/>
          <w:sz w:val="220"/>
          <w:szCs w:val="220"/>
        </w:rPr>
        <w:t>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Autorin und Mentorin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Arbeit als Mentorin bietet sie unter dem Namen Safe to Thrive Einzel-Mentorings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Safe to Thrive Einzelmentoring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