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Ich fragte sie: „Wofür entschuldigst du dich genau?“</w:t>
      </w:r>
    </w:p>
    <w:p>
      <w:pPr>
        <w:spacing w:after="120" w:before="0"/>
        <w:jc w:val="both"/>
      </w:pPr>
      <w:r>
        <w:rPr>
          <w:rFonts w:ascii="Georgia" w:cs="Georgia" w:eastAsia="Georgia" w:hAnsi="Georgia"/>
          <w:b w:val="false"/>
          <w:bCs w:val="false"/>
          <w:color w:val="2C2C2C"/>
          <w:sz w:val="220"/>
          <w:szCs w:val="220"/>
        </w:rPr>
        <w:t>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Autorin und Mentorin.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Das Nervensystem unterscheidet nicht klar zwischen einer konkreten äusseren Bedrohung und einem diffusen inneren Vorwurf. Es kann auf beides ähnlich reagieren, mit Anspannung, mit einem Körper, der bereit ist, auf eine Gefahr zu reagieren, die er nicht greifen kann. Wird dieser Zustand zum Dauerzustand, kann das dem Körper auf Dauer zusetzen. Mehr dazu in Kapitel 8.</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Kinder brauchen Liebe und Zugehörigkeit dringend, wie Essen und Schlaf. Ein kleines Kind, das über lange Zeit ohne emotionale Verbindung aufwächst, ist in seiner Entwicklung ernsthaft gefährdet. Vieles deutet darauf hin, dass ein Kind früh lernt, die Signale seiner Bezugspersonen zu lesen: Bin ich sicher? Werde ich geliebt? Gehöre ich dazu? Diese Fragen werden nicht bewusst gestellt. Sie prägen sich früh und tief ein, oft ohne dass wir uns später bewusst daran erinnern können.</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Als Erwachsene zeigt sich das so: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Chronisches Schuldgefühl ist kein rein emotionales Phänomen. Es kann sich auch körperlich bemerkbar machen: Das Stresssystem wird aktiviert, der Körper bleibt angespannt, als müsste er auf eine Bedrohung reagieren. Ruhe und tiefe Erholung kommen dann oft zu kurz.</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Das kann sich manchmal erst nach Jahren zeigen: Schlafprobleme, weil der Kopf nachts nicht abschaltet. Verspannungen. Eine Erschöpfung, die durch Schlaf allein nicht behoben wird. Nicht bei jedem gleich stark, aber ein Muster, das viele Frauen mit chronischem Schuldgefühl wiedererkennen.</w:t>
      </w:r>
    </w:p>
    <w:p>
      <w:pPr>
        <w:spacing w:after="120" w:before="0"/>
        <w:jc w:val="both"/>
      </w:pPr>
      <w:r>
        <w:rPr>
          <w:rFonts w:ascii="Georgia" w:cs="Georgia" w:eastAsia="Georgia" w:hAnsi="Georgia"/>
          <w:b w:val="false"/>
          <w:bCs w:val="false"/>
          <w:color w:val="2C2C2C"/>
          <w:sz w:val="220"/>
          <w:szCs w:val="220"/>
        </w:rPr>
        <w:t>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Autorin und Mentorin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Autorin und Mentorin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