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 Schlafprobleme. Erschöpfung, die durch Schlaf allein nicht behoben wird, weil sie nicht aus körperlicher Arbeit stammt. Verspannungen, Kopfschmerzen, Verdauungsprobleme, ein Immunsystem, das anfälliger wird. Dazu kommen wir in Kapitel 8 noch genauer.</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 xml:space="preserve">Kinder brauchen Liebe und Zugehörigkeit wie Essen und Schlaf. Das ist keine Metapher,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Sie werden vom Nervensystem permanent und automatisch verarbeitet, laufend, wie ein System, das nie in den Standby-Modus wechselt.</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 xml:space="preserve">Chronisches Schuldgefühl ist kein rein emotionales Phänomen. Es ist ein körperlicher Zustand. Das Stresssystem wird aktiviert: Cortisol und Adrenalin werden ausgeschüttet. Das System, das für die Aktivierung bei Bedrohung zuständig ist, bleibt aktiv. Das System der Ruhe, der Erholung, des tiefen Schlafs kommt nicht ausreichend zum Zug.</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 xml:space="preserve">Das hat Konsequenzen, die sich manchmal erst nach Jahren zeigen. Schlafprobleme, weil das Nervensystem nachts nicht in den Ruhemodus wechseln kann. Es wacht weiter, denkt weiter, bewertet weiter. Chronische Verspannungen, weil die Muskulatur dauerhaft angespannt ist. Eine Erschöpfung, die durch Schlaf allein nicht behoben wird, weil sie nicht aus körperlicher Arbeit stammt, sondern aus der permanenten Stressaktivierung. Kopfschmerzen. Verdauungsprobleme. Ein Immunsystem, das anfälliger wird.</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