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Autorin und Mentorin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Mentorin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Mentorin,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Das ist nicht nur Einbildung. Da steckt auch Körperliches dahinter.</w:t>
      </w:r>
    </w:p>
    <w:p>
      <w:pPr>
        <w:spacing w:after="120" w:before="0"/>
        <w:jc w:val="both"/>
      </w:pPr>
      <w:r>
        <w:rPr>
          <w:rFonts w:ascii="Georgia" w:cs="Georgia" w:eastAsia="Georgia" w:hAnsi="Georgia"/>
          <w:b w:val="false"/>
          <w:bCs w:val="false"/>
          <w:color w:val="2C2C2C"/>
          <w:sz w:val="220"/>
          <w:szCs w:val="220"/>
        </w:rPr>
        <w:t>Vieles deutet darauf hin: Das Stresssystem des Körpers, mit Hormonen wie Cortisol und Adrenalin, ist eigentlich für kurzfristige Belastungen ausgelegt. Es soll aktiviert werden, dann wieder zur Ruhe kommen. Bei chronischer Überverantwortung kann es sein, dass es kaum noch zur Ruhe kommt.</w:t>
      </w:r>
    </w:p>
    <w:p>
      <w:pPr>
        <w:spacing w:after="120" w:before="0"/>
        <w:jc w:val="both"/>
      </w:pPr>
      <w:r>
        <w:rPr>
          <w:rFonts w:ascii="Georgia" w:cs="Georgia" w:eastAsia="Georgia" w:hAnsi="Georgia"/>
          <w:b w:val="false"/>
          <w:bCs w:val="false"/>
          <w:color w:val="2C2C2C"/>
          <w:sz w:val="220"/>
          <w:szCs w:val="220"/>
        </w:rPr>
        <w:t>Mögliche Folgen: Schlafstörungen, Herzrasen, Muskelspannung, Verdauungsprobleme, ein Immunsystem, das anfälliger wird. Nicht weil zwingend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Ein Körper, der lange unter emotionalem Stress steht, reagiert oft irgendwann.</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ist kein Angriff auf den anderen. Es ist die Beschreibung einer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b w:val="0"/>
          <w:i/>
          <w:sz w:val="220"/>
        </w:rPr>
        <w:t>Wenn ich genug gebe, muss er nicht gehen.</w:t>
      </w:r>
    </w:p>
    <w:p>
      <w:pPr>
        <w:spacing w:after="120" w:before="0"/>
        <w:jc w:val="both"/>
      </w:pPr>
      <w:r>
        <w:rPr>
          <w:b w:val="0"/>
          <w:i/>
          <w:sz w:val="220"/>
        </w:rPr>
        <w:t>Wenn ich keine Ansprüche stelle, bin ich sicher.</w:t>
      </w:r>
    </w:p>
    <w:p>
      <w:pPr>
        <w:spacing w:after="120" w:before="0"/>
        <w:jc w:val="both"/>
      </w:pPr>
      <w:r>
        <w:rPr>
          <w:b w:val="0"/>
          <w:i/>
          <w:sz w:val="220"/>
        </w:rPr>
        <w:t>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Ich fragte: „Und wann bist du für dich da?“</w:t>
      </w:r>
    </w:p>
    <w:p>
      <w:pPr>
        <w:spacing w:after="120" w:before="0"/>
        <w:jc w:val="both"/>
      </w:pPr>
      <w:r>
        <w:rPr>
          <w:rFonts w:ascii="Georgia" w:cs="Georgia" w:eastAsia="Georgia" w:hAnsi="Georgia"/>
          <w:b w:val="false"/>
          <w:bCs w:val="false"/>
          <w:color w:val="2C2C2C"/>
          <w:sz w:val="220"/>
          <w:szCs w:val="220"/>
        </w:rPr>
        <w:t>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b w:val="0"/>
          <w:sz w:val="220"/>
        </w:rPr>
        <w:t xml:space="preserve">Aber der Unterschied ist entscheidend: </w:t>
      </w:r>
      <w:r>
        <w:rPr>
          <w:b w:val="0"/>
          <w:i/>
          <w:sz w:val="220"/>
        </w:rPr>
        <w:t>weil du willst</w:t>
      </w:r>
      <w:r>
        <w:rPr>
          <w:b w:val="0"/>
          <w:sz w:val="220"/>
        </w:rPr>
        <w:t xml:space="preserve">, nicht </w:t>
      </w:r>
      <w:r>
        <w:rPr>
          <w:b w:val="0"/>
          <w:i/>
          <w:sz w:val="220"/>
        </w:rPr>
        <w:t>weil du fürchtest, was passiert, wenn du es nicht tust</w:t>
      </w:r>
      <w:r>
        <w:rPr>
          <w:b w:val="0"/>
          <w:sz w:val="220"/>
        </w:rPr>
        <w: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180"/>
        <w:jc w:val="left"/>
      </w:pPr>
      <w:r>
        <w:rPr>
          <w:rFonts w:ascii="Georgia" w:cs="Georgia" w:eastAsia="Georgia" w:hAnsi="Georgia"/>
          <w:b/>
          <w:bCs w:val="false"/>
          <w:color w:val="C0848A"/>
          <w:sz w:val="340"/>
          <w:szCs w:val="340"/>
        </w:rPr>
        <w:t>Dein kostenloser Bonus zum Buch</w:t>
      </w:r>
    </w:p>
    <w:p>
      <w:pPr>
        <w:spacing w:after="60" w:before="0"/>
        <w:jc w:val="both"/>
      </w:pPr>
      <w:r>
        <w:rPr>
          <w:rFonts w:ascii="Georgia" w:cs="Georgia" w:eastAsia="Georgia" w:hAnsi="Georgia"/>
          <w:b w:val="false"/>
          <w:bCs w:val="false"/>
          <w:color w:val="2C2C2C"/>
          <w:sz w:val="220"/>
          <w:szCs w:val="220"/>
        </w:rPr>
        <w:t>Du kennst diese Momente: Nach einem Gespräch bist du leer, obwohl nichts offen eskaliert ist. Du hast zugehört, getragen und dich selbst wieder zurückgestellt.</w:t>
      </w:r>
    </w:p>
    <w:p>
      <w:pPr>
        <w:spacing w:after="60" w:before="0"/>
        <w:jc w:val="both"/>
      </w:pPr>
      <w:r>
        <w:rPr>
          <w:rFonts w:ascii="Georgia" w:cs="Georgia" w:eastAsia="Georgia" w:hAnsi="Georgia"/>
          <w:b w:val="false"/>
          <w:bCs w:val="false"/>
          <w:color w:val="2C2C2C"/>
          <w:sz w:val="220"/>
          <w:szCs w:val="220"/>
        </w:rPr>
        <w:t>Das kostenlose Begleit-PDF hilft dir, früher zu erkennen, was dir Kraft nimmt, wo du dich selbst übergehst und welche Grenze jetzt wichtig ist.</w:t>
      </w:r>
    </w:p>
    <w:p>
      <w:pPr>
        <w:spacing w:after="60" w:before="0"/>
        <w:jc w:val="both"/>
      </w:pPr>
      <w:r>
        <w:rPr>
          <w:rFonts w:ascii="Georgia" w:cs="Georgia" w:eastAsia="Georgia" w:hAnsi="Georgia"/>
          <w:b w:val="false"/>
          <w:bCs w:val="false"/>
          <w:color w:val="2C2C2C"/>
          <w:sz w:val="220"/>
          <w:szCs w:val="220"/>
        </w:rPr>
        <w:t>Du musst nicht warten, bis eine Beziehung dich völlig erschöpft, bevor du dich selbst ernst nimmst.</w:t>
      </w:r>
    </w:p>
    <w:p>
      <w:pPr>
        <w:spacing w:after="60" w:before="0"/>
        <w:jc w:val="both"/>
      </w:pPr>
      <w:r>
        <w:rPr>
          <w:rFonts w:ascii="Georgia" w:cs="Georgia" w:eastAsia="Georgia" w:hAnsi="Georgia"/>
          <w:b w:val="false"/>
          <w:bCs w:val="false"/>
          <w:color w:val="2C2C2C"/>
          <w:sz w:val="220"/>
          <w:szCs w:val="220"/>
        </w:rPr>
        <w:t>Scanne den QR-Code oder öffne den folgenden Link:</w:t>
      </w:r>
    </w:p>
    <w:p>
      <w:pPr>
        <w:jc w:val="center"/>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buch3-qr-freebie.png"/>
                    <pic:cNvPicPr/>
                  </pic:nvPicPr>
                  <pic:blipFill>
                    <a:blip r:embed="rId10"/>
                    <a:stretch>
                      <a:fillRect/>
                    </a:stretch>
                  </pic:blipFill>
                  <pic:spPr>
                    <a:xfrm>
                      <a:off x="0" y="0"/>
                      <a:ext cx="1620000" cy="1620000"/>
                    </a:xfrm>
                    <a:prstGeom prst="rect"/>
                  </pic:spPr>
                </pic:pic>
              </a:graphicData>
            </a:graphic>
          </wp:inline>
        </w:drawing>
      </w:r>
    </w:p>
    <w:p>
      <w:pPr>
        <w:spacing w:after="60" w:before="0"/>
        <w:jc w:val="both"/>
      </w:pPr>
      <w:r>
        <w:rPr>
          <w:rFonts w:ascii="Georgia" w:cs="Georgia" w:eastAsia="Georgia" w:hAnsi="Georgia"/>
          <w:b w:val="false"/>
          <w:bCs w:val="false"/>
          <w:color w:val="2C2C2C"/>
          <w:sz w:val="220"/>
          <w:szCs w:val="220"/>
        </w:rPr>
        <w:t>https://beyondlimitsnow25.mytentary.com/p/bJFYAi</w:t>
      </w:r>
    </w:p>
    <w:p>
      <w:pPr>
        <w:spacing w:after="60" w:before="0"/>
        <w:jc w:val="both"/>
      </w:pPr>
      <w:r>
        <w:rPr>
          <w:rFonts w:ascii="Georgia" w:cs="Georgia" w:eastAsia="Georgia" w:hAnsi="Georgia"/>
          <w:b w:val="false"/>
          <w:bCs w:val="false"/>
          <w:color w:val="2C2C2C"/>
          <w:sz w:val="220"/>
          <w:szCs w:val="220"/>
        </w:rPr>
        <w:t>Mit der Anmeldung erhältst du auch E-Mails von Petra Tanner mit Impulsen und Neuigkeiten zu ihren Büchern. Eine Abmeldung ist jederzeit möglich.</w:t>
      </w:r>
    </w:p>
    <w:p>
      <w:pPr>
        <w:spacing w:after="60" w:before="0"/>
        <w:jc w:val="both"/>
      </w:pPr>
      <w:r>
        <w:rPr>
          <w:rFonts w:ascii="Georgia" w:cs="Georgia" w:eastAsia="Georgia" w:hAnsi="Georgia"/>
          <w:b/>
          <w:bCs w:val="false"/>
          <w:color w:val="2C2C2C"/>
          <w:sz w:val="220"/>
          <w:szCs w:val="220"/>
        </w:rPr>
        <w:t>Petra Tanner</w:t>
      </w:r>
    </w:p>
    <w:p>
      <w:pPr>
        <w:spacing w:after="120" w:before="0"/>
        <w:jc w:val="both"/>
      </w:pPr>
      <w:r>
        <w:rPr>
          <w:rFonts w:ascii="Georgia" w:cs="Georgia" w:eastAsia="Georgia" w:hAnsi="Georgia"/>
          <w:b w:val="0"/>
          <w:bCs w:val="false"/>
          <w:color w:val="2C2C2C"/>
          <w:sz w:val="220"/>
          <w:szCs w:val="220"/>
        </w:rPr>
        <w:t>Autorin und Mentorin</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Autorin und Mentorin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Arbeit als Mentorin bietet sie unter dem Namen Safe to Thrive Einzel-Mentorings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Safe to Thrive Einzelmentoring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„Wenn Beziehungen erschöpfen – Das Journal“, mit Reflexionsfragen und Schreibraum zu jedem Kapitel. Erhältlich ebenfalls bei Amazon.</w:t>
      </w:r>
      <w:r>
        <w:rPr>
          <w:rFonts w:ascii="Georgia" w:cs="Georgia" w:eastAsia="Georgia" w:hAnsi="Georgia"/>
          <w:b/>
          <w:bCs/>
          <w:color w:val="2C2C2C"/>
          <w:sz w:val="220"/>
          <w:szCs w:val="220"/>
        </w:rPr>
      </w:r>
    </w:p>
    <w:p>
      <w:pPr>
        <w:pageBreakBefore/>
        <w:spacing w:after="280" w:before="720"/>
        <w:jc w:val="left"/>
      </w:pPr>
      <w:r>
        <w:rPr>
          <w:rFonts w:ascii="Georgia" w:cs="Georgia" w:eastAsia="Georgia" w:hAnsi="Georgia"/>
          <w:b w:val="false"/>
          <w:bCs w:val="false"/>
          <w:color w:val="C0848A"/>
          <w:sz w:val="340"/>
          <w:szCs w:val="340"/>
        </w:rPr>
        <w:t xml:space="preserve">Meine anderen Bücher</w:t>
      </w:r>
    </w:p>
    <w:p>
      <w:pPr>
        <w:spacing w:after="120" w:before="0"/>
        <w:jc w:val="both"/>
      </w:pPr>
      <w:r>
        <w:rPr>
          <w:rFonts w:ascii="Georgia" w:cs="Georgia" w:eastAsia="Georgia" w:hAnsi="Georgia"/>
          <w:b w:val="false"/>
          <w:bCs w:val="false"/>
          <w:color w:val="2C2C2C"/>
          <w:sz w:val="220"/>
          <w:szCs w:val="220"/>
        </w:rPr>
        <w:t xml:space="preserve">Wenn dich dieses Buch berührt hat, findest du hier weitere Bücher aus der Safe-to-Thrive-Reihe:</w:t>
      </w:r>
    </w:p>
    <w:p>
      <w:pPr>
        <w:spacing w:after="120" w:before="400"/>
      </w:pPr>
      <w:r>
        <w:rPr>
          <w:rFonts w:ascii="Georgia" w:cs="Georgia" w:eastAsia="Georgia" w:hAnsi="Georgia"/>
          <w:b/>
          <w:bCs/>
          <w:color w:val="2C2C2C"/>
          <w:sz w:val="230"/>
          <w:szCs w:val="230"/>
        </w:rPr>
        <w:t xml:space="preserve">Das schlechte Gewissen</w:t>
      </w:r>
    </w:p>
    <w:p>
      <w:pPr>
        <w:spacing w:after="120" w:before="0"/>
        <w:jc w:val="both"/>
      </w:pPr>
      <w:r>
        <w:rPr>
          <w:rFonts w:ascii="Georgia" w:cs="Georgia" w:eastAsia="Georgia" w:hAnsi="Georgia"/>
          <w:b w:val="false"/>
          <w:bCs w:val="false"/>
          <w:color w:val="2C2C2C"/>
          <w:sz w:val="220"/>
          <w:szCs w:val="220"/>
        </w:rPr>
        <w:t xml:space="preserve">Warum du dich immer schuldig fühlst, und wie du damit aufhörst.</w:t>
      </w:r>
    </w:p>
    <w:p>
      <w:pPr>
        <w:spacing w:after="120" w:before="400"/>
      </w:pPr>
      <w:r>
        <w:rPr>
          <w:rFonts w:ascii="Georgia" w:cs="Georgia" w:eastAsia="Georgia" w:hAnsi="Georgia"/>
          <w:b/>
          <w:bCs/>
          <w:color w:val="2C2C2C"/>
          <w:sz w:val="230"/>
          <w:szCs w:val="230"/>
        </w:rPr>
        <w:t xml:space="preserve">Niemand hat dich gefragt, wie es dir geht</w:t>
      </w:r>
    </w:p>
    <w:p>
      <w:pPr>
        <w:spacing w:after="120" w:before="0"/>
        <w:jc w:val="both"/>
      </w:pPr>
      <w:r>
        <w:rPr>
          <w:rFonts w:ascii="Georgia" w:cs="Georgia" w:eastAsia="Georgia" w:hAnsi="Georgia"/>
          <w:b w:val="false"/>
          <w:bCs w:val="false"/>
          <w:color w:val="2C2C2C"/>
          <w:sz w:val="220"/>
          <w:szCs w:val="220"/>
        </w:rPr>
        <w:t xml:space="preserve">Für alle, die nie gefragt wurden, was sie eigentlich wollen.</w:t>
      </w:r>
    </w:p>
    <w:p>
      <w:pPr>
        <w:spacing w:after="120" w:before="400"/>
      </w:pPr>
      <w:r>
        <w:rPr>
          <w:rFonts w:ascii="Georgia" w:cs="Georgia" w:eastAsia="Georgia" w:hAnsi="Georgia"/>
          <w:b/>
          <w:bCs/>
          <w:color w:val="2C2C2C"/>
          <w:sz w:val="230"/>
          <w:szCs w:val="230"/>
        </w:rPr>
        <w:t xml:space="preserve">Ich bin so müde. Und niemand fragt mich warum</w:t>
      </w:r>
    </w:p>
    <w:p>
      <w:pPr>
        <w:spacing w:after="120" w:before="0"/>
        <w:jc w:val="both"/>
      </w:pPr>
      <w:r>
        <w:rPr>
          <w:rFonts w:ascii="Georgia" w:cs="Georgia" w:eastAsia="Georgia" w:hAnsi="Georgia"/>
          <w:b w:val="false"/>
          <w:bCs w:val="false"/>
          <w:color w:val="2C2C2C"/>
          <w:sz w:val="220"/>
          <w:szCs w:val="220"/>
        </w:rPr>
        <w:t xml:space="preserve">Über das Funktions-Ich: wenn du für alle stark bist und dich dabei verlierst.</w:t>
      </w:r>
    </w:p>
    <w:p>
      <w:pPr>
        <w:spacing w:after="120" w:before="0"/>
        <w:jc w:val="both"/>
      </w:pPr>
      <w:r>
        <w:rPr>
          <w:rFonts w:ascii="Georgia" w:cs="Georgia" w:eastAsia="Georgia" w:hAnsi="Georgia"/>
          <w:b w:val="false"/>
          <w:bCs w:val="false"/>
          <w:color w:val="2C2C2C"/>
          <w:sz w:val="220"/>
          <w:szCs w:val="220"/>
        </w:rPr>
        <w:t xml:space="preserve">Alle Bücher erhältlich als Taschenbuch und eBook. Mehr dazu: info.safetothrive@gmail.com</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Autorin und Mentorin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