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HABE</w:t>
      </w:r>
    </w:p>
    <w:p w14:paraId="5A926F38" w14:textId="77777777" w:rsidR="00027020" w:rsidRDefault="00000000">
      <w:pPr>
        <w:jc w:val="center"/>
        <w:rPr>
          <w:rFonts w:hint="eastAsia"/>
        </w:rPr>
      </w:pPr>
      <w:r>
        <w:rPr>
          <w:sz w:val="48"/>
        </w:rPr>
        <w:t>NIE GELERNT,</w:t>
      </w:r>
    </w:p>
    <w:p w14:paraId="3EC1A231" w14:textId="77777777" w:rsidR="00027020" w:rsidRDefault="00000000">
      <w:pPr>
        <w:jc w:val="center"/>
        <w:rPr>
          <w:rFonts w:hint="eastAsia"/>
        </w:rPr>
      </w:pPr>
      <w:r>
        <w:rPr>
          <w:sz w:val="48"/>
        </w:rPr>
        <w:t>AN MICH ZU DENKEN</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Wie du aus dem Muster des Selbstvergessens aussteigst, Grenzen setzt und wieder für dich selbst da bist</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Es lernt jemand zu.</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„Das darf ich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Das Funktions-Ich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