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424F" w:rsidRPr="005C6ED3" w:rsidRDefault="003E7C40" w:rsidP="00194322">
      <w:pPr>
        <w:jc w:val="center"/>
        <w:rPr>
          <w:rFonts w:ascii="Sansation" w:hAnsi="Sansation"/>
          <w:color w:val="4B494F"/>
          <w:sz w:val="200"/>
          <w:szCs w:val="144"/>
          <w:lang w:val="fr-FR"/>
        </w:rPr>
      </w:pPr>
      <w:r w:rsidRPr="005E03CC">
        <w:rPr>
          <w:rFonts w:ascii="Sansation" w:hAnsi="Sansation"/>
          <w:color w:val="F15F4C"/>
          <w:sz w:val="144"/>
          <w:szCs w:val="144"/>
          <w:lang w:val="fr-FR"/>
        </w:rPr>
        <w:t>FREQUEN</w:t>
      </w:r>
      <w:r w:rsidRPr="005E03CC">
        <w:rPr>
          <w:rFonts w:ascii="Sansation" w:hAnsi="Sansation"/>
          <w:color w:val="4B494F"/>
          <w:sz w:val="144"/>
          <w:szCs w:val="144"/>
          <w:lang w:val="fr-FR"/>
        </w:rPr>
        <w:t>STAT</w:t>
      </w:r>
      <w:r w:rsidR="005C6ED3">
        <w:rPr>
          <w:rFonts w:ascii="Sansation" w:hAnsi="Sansation"/>
          <w:color w:val="4B494F"/>
          <w:sz w:val="144"/>
          <w:szCs w:val="144"/>
          <w:lang w:val="fr-FR"/>
        </w:rPr>
        <w:br/>
      </w:r>
      <w:r w:rsidR="005C6ED3" w:rsidRPr="005C6ED3">
        <w:rPr>
          <w:rFonts w:ascii="Sansation" w:hAnsi="Sansation"/>
          <w:color w:val="4B494F"/>
          <w:sz w:val="44"/>
          <w:szCs w:val="36"/>
          <w:lang w:val="fr-FR"/>
        </w:rPr>
        <w:t>Système d’analyse des comportements clients</w:t>
      </w:r>
    </w:p>
    <w:p w:rsidR="008148C6" w:rsidRPr="009F23D5" w:rsidRDefault="008148C6" w:rsidP="00194322">
      <w:pPr>
        <w:jc w:val="center"/>
        <w:rPr>
          <w:rFonts w:ascii="Sansation" w:hAnsi="Sansation"/>
          <w:color w:val="F15F4C"/>
          <w:sz w:val="144"/>
          <w:szCs w:val="144"/>
          <w:lang w:val="fr-FR"/>
        </w:rPr>
      </w:pPr>
    </w:p>
    <w:p w:rsidR="008754CA" w:rsidRPr="008148C6" w:rsidRDefault="00DE332A" w:rsidP="0097231C">
      <w:pPr>
        <w:jc w:val="center"/>
        <w:rPr>
          <w:rFonts w:ascii="Sansation" w:hAnsi="Sansation"/>
          <w:color w:val="4B494F"/>
          <w:sz w:val="48"/>
          <w:szCs w:val="48"/>
          <w:lang w:val="fr-FR"/>
        </w:rPr>
        <w:sectPr w:rsidR="008754CA" w:rsidRPr="008148C6" w:rsidSect="00194322">
          <w:pgSz w:w="12240" w:h="15840" w:code="122"/>
          <w:pgMar w:top="1418" w:right="0" w:bottom="1418" w:left="0" w:header="720" w:footer="720" w:gutter="0"/>
          <w:cols w:space="720"/>
          <w:vAlign w:val="center"/>
          <w:docGrid w:linePitch="360"/>
        </w:sectPr>
      </w:pPr>
      <w:r>
        <w:rPr>
          <w:rFonts w:ascii="Sansation" w:hAnsi="Sansation"/>
          <w:color w:val="4B494F"/>
          <w:sz w:val="48"/>
          <w:szCs w:val="48"/>
          <w:lang w:val="fr-FR"/>
        </w:rPr>
        <w:t>EXEMPLE</w:t>
      </w:r>
      <w:r w:rsidR="008148C6">
        <w:rPr>
          <w:rFonts w:ascii="Sansation" w:hAnsi="Sansation"/>
          <w:color w:val="4B494F"/>
          <w:sz w:val="48"/>
          <w:szCs w:val="48"/>
          <w:lang w:val="fr-FR"/>
        </w:rPr>
        <w:br/>
        <w:t>RAPPORT D’</w:t>
      </w:r>
      <w:r>
        <w:rPr>
          <w:rFonts w:ascii="Sansation" w:hAnsi="Sansation"/>
          <w:color w:val="4B494F"/>
          <w:sz w:val="48"/>
          <w:szCs w:val="48"/>
          <w:lang w:val="fr-FR"/>
        </w:rPr>
        <w:t>ANALYSE</w:t>
      </w:r>
    </w:p>
    <w:p w:rsidR="0097231C" w:rsidRDefault="0097231C" w:rsidP="00A438FF">
      <w:pPr>
        <w:pStyle w:val="fstitre"/>
      </w:pPr>
      <w:r w:rsidRPr="0097231C">
        <w:lastRenderedPageBreak/>
        <w:t>OBJET DU RAPPORT</w:t>
      </w:r>
    </w:p>
    <w:p w:rsidR="00BF0137" w:rsidRDefault="00BF0137" w:rsidP="00284189">
      <w:pPr>
        <w:ind w:firstLine="720"/>
        <w:jc w:val="both"/>
        <w:rPr>
          <w:sz w:val="32"/>
          <w:szCs w:val="32"/>
          <w:lang w:val="fr-FR"/>
        </w:rPr>
      </w:pPr>
    </w:p>
    <w:p w:rsidR="0097231C" w:rsidRDefault="0097231C" w:rsidP="00284189">
      <w:pPr>
        <w:ind w:firstLine="720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Ce rapport est un exemple vous permettant de comprendre la pertinence et l’intérêt de notre solution lors de l’implantation d’un nouve</w:t>
      </w:r>
      <w:r w:rsidR="00284189">
        <w:rPr>
          <w:sz w:val="32"/>
          <w:szCs w:val="32"/>
          <w:lang w:val="fr-FR"/>
        </w:rPr>
        <w:t xml:space="preserve">au magasin. </w:t>
      </w:r>
    </w:p>
    <w:p w:rsidR="0097231C" w:rsidRDefault="0097231C" w:rsidP="0097231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L’emplacement étudié</w:t>
      </w:r>
      <w:r w:rsidR="00B4062A">
        <w:rPr>
          <w:sz w:val="32"/>
          <w:szCs w:val="32"/>
          <w:lang w:val="fr-FR"/>
        </w:rPr>
        <w:t xml:space="preserve"> est un magasin </w:t>
      </w:r>
      <w:r>
        <w:rPr>
          <w:sz w:val="32"/>
          <w:szCs w:val="32"/>
          <w:lang w:val="fr-FR"/>
        </w:rPr>
        <w:t>localisé à l’adresse :</w:t>
      </w:r>
    </w:p>
    <w:p w:rsidR="00BF0137" w:rsidRDefault="00BF0137" w:rsidP="0097231C">
      <w:pPr>
        <w:rPr>
          <w:sz w:val="32"/>
          <w:szCs w:val="32"/>
          <w:lang w:val="fr-FR"/>
        </w:rPr>
      </w:pPr>
    </w:p>
    <w:p w:rsidR="00F60D55" w:rsidRDefault="00F60D55" w:rsidP="00F60D55">
      <w:pPr>
        <w:jc w:val="center"/>
        <w:rPr>
          <w:color w:val="548DD4" w:themeColor="text2" w:themeTint="99"/>
          <w:sz w:val="32"/>
          <w:szCs w:val="32"/>
          <w:lang w:val="fr-FR"/>
        </w:rPr>
      </w:pPr>
      <w:r w:rsidRPr="00F60D55">
        <w:rPr>
          <w:color w:val="548DD4" w:themeColor="text2" w:themeTint="99"/>
          <w:sz w:val="32"/>
          <w:szCs w:val="32"/>
          <w:lang w:val="fr-FR"/>
        </w:rPr>
        <w:t>Place Etienne Marcel</w:t>
      </w:r>
      <w:r w:rsidRPr="00F60D55">
        <w:rPr>
          <w:color w:val="548DD4" w:themeColor="text2" w:themeTint="99"/>
          <w:sz w:val="32"/>
          <w:szCs w:val="32"/>
          <w:lang w:val="fr-FR"/>
        </w:rPr>
        <w:br/>
        <w:t>78180 Montigny le Bretonneux</w:t>
      </w:r>
    </w:p>
    <w:p w:rsidR="00BF0137" w:rsidRPr="00F60D55" w:rsidRDefault="00BF0137" w:rsidP="00F60D55">
      <w:pPr>
        <w:jc w:val="center"/>
        <w:rPr>
          <w:color w:val="548DD4" w:themeColor="text2" w:themeTint="99"/>
          <w:sz w:val="32"/>
          <w:szCs w:val="32"/>
          <w:lang w:val="fr-FR"/>
        </w:rPr>
      </w:pPr>
    </w:p>
    <w:p w:rsidR="00A438FF" w:rsidRDefault="00284189" w:rsidP="00284189">
      <w:pPr>
        <w:ind w:firstLine="720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Nous avons exploité</w:t>
      </w:r>
      <w:r w:rsidR="0097231C">
        <w:rPr>
          <w:sz w:val="32"/>
          <w:szCs w:val="32"/>
          <w:lang w:val="fr-FR"/>
        </w:rPr>
        <w:t xml:space="preserve"> notre technologie sur une durée de trois jours</w:t>
      </w:r>
      <w:r>
        <w:rPr>
          <w:sz w:val="32"/>
          <w:szCs w:val="32"/>
          <w:lang w:val="fr-FR"/>
        </w:rPr>
        <w:t>. Nous avons installé notre box</w:t>
      </w:r>
      <w:r w:rsidR="0097231C">
        <w:rPr>
          <w:sz w:val="32"/>
          <w:szCs w:val="32"/>
          <w:lang w:val="fr-FR"/>
        </w:rPr>
        <w:t xml:space="preserve"> à l’adresse indiquée ci-dessus et l’avons récupéré trois jours plus tard. Nous utilisons un système de détection des Smartphones afin d’identifier le nombre de passants. Un numéro unique étant assigné à chaque passant, nous pouvons reconnaître un passant déjà </w:t>
      </w:r>
      <w:r>
        <w:rPr>
          <w:sz w:val="32"/>
          <w:szCs w:val="32"/>
          <w:lang w:val="fr-FR"/>
        </w:rPr>
        <w:t>compté</w:t>
      </w:r>
      <w:r w:rsidR="0097231C">
        <w:rPr>
          <w:sz w:val="32"/>
          <w:szCs w:val="32"/>
          <w:lang w:val="fr-FR"/>
        </w:rPr>
        <w:t>.</w:t>
      </w:r>
    </w:p>
    <w:p w:rsidR="00887B37" w:rsidRDefault="00887B37" w:rsidP="0097231C">
      <w:pPr>
        <w:rPr>
          <w:sz w:val="32"/>
          <w:szCs w:val="32"/>
          <w:lang w:val="fr-FR"/>
        </w:rPr>
      </w:pPr>
    </w:p>
    <w:tbl>
      <w:tblPr>
        <w:tblW w:w="9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887B37" w:rsidRPr="00887B37" w:rsidTr="00297F88">
        <w:trPr>
          <w:trHeight w:val="421"/>
        </w:trPr>
        <w:tc>
          <w:tcPr>
            <w:tcW w:w="233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887B37" w:rsidRPr="00887B37" w:rsidRDefault="00887B37" w:rsidP="00297F8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366092"/>
                <w:lang w:val="fr-FR" w:eastAsia="fr-FR"/>
              </w:rPr>
            </w:pPr>
            <w:r w:rsidRPr="00887B37">
              <w:rPr>
                <w:rFonts w:ascii="Arial" w:eastAsia="Times New Roman" w:hAnsi="Arial"/>
                <w:b/>
                <w:bCs/>
                <w:color w:val="366092"/>
                <w:lang w:val="fr-FR" w:eastAsia="fr-FR"/>
              </w:rPr>
              <w:t>Jour</w:t>
            </w:r>
          </w:p>
        </w:tc>
        <w:tc>
          <w:tcPr>
            <w:tcW w:w="233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887B37" w:rsidRPr="00887B37" w:rsidRDefault="00887B37" w:rsidP="00297F8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366092"/>
                <w:lang w:val="fr-FR" w:eastAsia="fr-FR"/>
              </w:rPr>
            </w:pPr>
            <w:r w:rsidRPr="00887B37">
              <w:rPr>
                <w:rFonts w:ascii="Arial" w:eastAsia="Times New Roman" w:hAnsi="Arial"/>
                <w:b/>
                <w:bCs/>
                <w:color w:val="366092"/>
                <w:lang w:val="fr-FR" w:eastAsia="fr-FR"/>
              </w:rPr>
              <w:t>Durée</w:t>
            </w:r>
          </w:p>
        </w:tc>
        <w:tc>
          <w:tcPr>
            <w:tcW w:w="233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887B37" w:rsidRPr="00887B37" w:rsidRDefault="00887B37" w:rsidP="00297F8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366092"/>
                <w:lang w:val="fr-FR" w:eastAsia="fr-FR"/>
              </w:rPr>
            </w:pPr>
            <w:r w:rsidRPr="00887B37">
              <w:rPr>
                <w:rFonts w:ascii="Arial" w:eastAsia="Times New Roman" w:hAnsi="Arial"/>
                <w:b/>
                <w:bCs/>
                <w:color w:val="366092"/>
                <w:lang w:val="fr-FR" w:eastAsia="fr-FR"/>
              </w:rPr>
              <w:t>Début</w:t>
            </w:r>
          </w:p>
        </w:tc>
        <w:tc>
          <w:tcPr>
            <w:tcW w:w="233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887B37" w:rsidRPr="00887B37" w:rsidRDefault="00887B37" w:rsidP="00297F8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366092"/>
                <w:lang w:val="fr-FR" w:eastAsia="fr-FR"/>
              </w:rPr>
            </w:pPr>
            <w:r w:rsidRPr="00887B37">
              <w:rPr>
                <w:rFonts w:ascii="Arial" w:eastAsia="Times New Roman" w:hAnsi="Arial"/>
                <w:b/>
                <w:bCs/>
                <w:color w:val="366092"/>
                <w:lang w:val="fr-FR" w:eastAsia="fr-FR"/>
              </w:rPr>
              <w:t>Fin</w:t>
            </w:r>
          </w:p>
        </w:tc>
      </w:tr>
      <w:tr w:rsidR="00887B37" w:rsidRPr="00887B37" w:rsidTr="00887B37">
        <w:trPr>
          <w:trHeight w:val="4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887B37" w:rsidRPr="00887B37" w:rsidRDefault="00887B37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 w:rsidRPr="00887B37">
              <w:rPr>
                <w:rFonts w:ascii="Arial" w:eastAsia="Times New Roman" w:hAnsi="Arial"/>
                <w:color w:val="366092"/>
                <w:lang w:val="fr-FR" w:eastAsia="fr-FR"/>
              </w:rPr>
              <w:t>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887B37" w:rsidRPr="00887B37" w:rsidRDefault="00284189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14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887B37" w:rsidRPr="00887B37" w:rsidRDefault="004F1F2B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7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887B37" w:rsidRPr="00887B37" w:rsidRDefault="00284189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21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</w:tr>
      <w:tr w:rsidR="00887B37" w:rsidRPr="00887B37" w:rsidTr="00887B37">
        <w:trPr>
          <w:trHeight w:val="4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B37" w:rsidRPr="00887B37" w:rsidRDefault="00887B37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 w:rsidRPr="00887B37">
              <w:rPr>
                <w:rFonts w:ascii="Arial" w:eastAsia="Times New Roman" w:hAnsi="Arial"/>
                <w:color w:val="366092"/>
                <w:lang w:val="fr-FR" w:eastAsia="fr-FR"/>
              </w:rPr>
              <w:t>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B37" w:rsidRPr="00887B37" w:rsidRDefault="00284189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14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B37" w:rsidRPr="00887B37" w:rsidRDefault="004F1F2B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7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B37" w:rsidRPr="00887B37" w:rsidRDefault="00284189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21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</w:tr>
      <w:tr w:rsidR="00887B37" w:rsidRPr="00887B37" w:rsidTr="00887B37">
        <w:trPr>
          <w:trHeight w:val="421"/>
        </w:trPr>
        <w:tc>
          <w:tcPr>
            <w:tcW w:w="233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center"/>
            <w:hideMark/>
          </w:tcPr>
          <w:p w:rsidR="00887B37" w:rsidRPr="00887B37" w:rsidRDefault="00887B37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 w:rsidRPr="00887B37">
              <w:rPr>
                <w:rFonts w:ascii="Arial" w:eastAsia="Times New Roman" w:hAnsi="Arial"/>
                <w:color w:val="366092"/>
                <w:lang w:val="fr-FR" w:eastAsia="fr-FR"/>
              </w:rPr>
              <w:t>3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center"/>
            <w:hideMark/>
          </w:tcPr>
          <w:p w:rsidR="00887B37" w:rsidRPr="00887B37" w:rsidRDefault="00284189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14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center"/>
            <w:hideMark/>
          </w:tcPr>
          <w:p w:rsidR="00887B37" w:rsidRPr="00887B37" w:rsidRDefault="004F1F2B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7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center"/>
            <w:hideMark/>
          </w:tcPr>
          <w:p w:rsidR="00887B37" w:rsidRPr="00887B37" w:rsidRDefault="00284189" w:rsidP="00887B37">
            <w:pPr>
              <w:spacing w:after="0" w:line="240" w:lineRule="auto"/>
              <w:jc w:val="center"/>
              <w:rPr>
                <w:rFonts w:ascii="Arial" w:eastAsia="Times New Roman" w:hAnsi="Arial"/>
                <w:color w:val="366092"/>
                <w:lang w:val="fr-FR" w:eastAsia="fr-FR"/>
              </w:rPr>
            </w:pPr>
            <w:r>
              <w:rPr>
                <w:rFonts w:ascii="Arial" w:eastAsia="Times New Roman" w:hAnsi="Arial"/>
                <w:color w:val="366092"/>
                <w:lang w:val="fr-FR" w:eastAsia="fr-FR"/>
              </w:rPr>
              <w:t>21</w:t>
            </w:r>
            <w:r w:rsidR="00887B37" w:rsidRPr="00887B37">
              <w:rPr>
                <w:rFonts w:ascii="Arial" w:eastAsia="Times New Roman" w:hAnsi="Arial"/>
                <w:color w:val="366092"/>
                <w:lang w:val="fr-FR" w:eastAsia="fr-FR"/>
              </w:rPr>
              <w:t>h</w:t>
            </w:r>
          </w:p>
        </w:tc>
      </w:tr>
    </w:tbl>
    <w:p w:rsidR="00A13CB7" w:rsidRDefault="00A438FF" w:rsidP="00A438FF">
      <w:pPr>
        <w:pStyle w:val="fstitre"/>
        <w:sectPr w:rsidR="00A13CB7" w:rsidSect="0098424F">
          <w:pgSz w:w="12240" w:h="15840" w:code="122"/>
          <w:pgMar w:top="1418" w:right="1418" w:bottom="1418" w:left="1418" w:header="720" w:footer="720" w:gutter="0"/>
          <w:cols w:space="720"/>
          <w:docGrid w:linePitch="360"/>
        </w:sectPr>
      </w:pPr>
      <w:r>
        <w:br w:type="page"/>
      </w:r>
    </w:p>
    <w:p w:rsidR="0097231C" w:rsidRDefault="00A438FF" w:rsidP="00A438FF">
      <w:pPr>
        <w:pStyle w:val="fstitre"/>
      </w:pPr>
      <w:r>
        <w:lastRenderedPageBreak/>
        <w:t>RESULTATS DE L’ETUDE</w:t>
      </w:r>
    </w:p>
    <w:p w:rsidR="00297F88" w:rsidRDefault="00297F88" w:rsidP="00A438FF">
      <w:pPr>
        <w:pStyle w:val="fstitre"/>
      </w:pPr>
    </w:p>
    <w:p w:rsidR="00297F88" w:rsidRPr="00A13CB7" w:rsidRDefault="00A13CB7" w:rsidP="00DA543E">
      <w:pPr>
        <w:pStyle w:val="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3FEA94AD" wp14:editId="25568059">
            <wp:simplePos x="0" y="0"/>
            <wp:positionH relativeFrom="column">
              <wp:posOffset>-367030</wp:posOffset>
            </wp:positionH>
            <wp:positionV relativeFrom="paragraph">
              <wp:posOffset>589915</wp:posOffset>
            </wp:positionV>
            <wp:extent cx="8620125" cy="4743450"/>
            <wp:effectExtent l="0" t="0" r="0" b="0"/>
            <wp:wrapNone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F88" w:rsidRPr="00A13CB7">
        <w:rPr>
          <w:lang w:val="fr-FR"/>
        </w:rPr>
        <w:t>Résultat global:</w:t>
      </w:r>
    </w:p>
    <w:p w:rsidR="00A13CB7" w:rsidRDefault="00A13CB7">
      <w:pPr>
        <w:spacing w:after="0" w:line="240" w:lineRule="auto"/>
        <w:rPr>
          <w:lang w:val="fr-FR"/>
        </w:rPr>
        <w:sectPr w:rsidR="00A13CB7" w:rsidSect="00A13CB7">
          <w:pgSz w:w="15840" w:h="12240" w:orient="landscape" w:code="122"/>
          <w:pgMar w:top="1418" w:right="1418" w:bottom="1418" w:left="1418" w:header="720" w:footer="720" w:gutter="0"/>
          <w:cols w:space="720"/>
          <w:docGrid w:linePitch="360"/>
        </w:sectPr>
      </w:pPr>
    </w:p>
    <w:p w:rsidR="00D85CF5" w:rsidRDefault="0019040E" w:rsidP="00DA543E">
      <w:pPr>
        <w:pStyle w:val="Titre"/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6F46D69B" wp14:editId="0BA3EDCD">
            <wp:simplePos x="0" y="0"/>
            <wp:positionH relativeFrom="column">
              <wp:posOffset>1804670</wp:posOffset>
            </wp:positionH>
            <wp:positionV relativeFrom="paragraph">
              <wp:posOffset>633095</wp:posOffset>
            </wp:positionV>
            <wp:extent cx="4724400" cy="2743200"/>
            <wp:effectExtent l="0" t="0" r="0" b="0"/>
            <wp:wrapNone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300AA1C3" wp14:editId="22EC930E">
            <wp:simplePos x="0" y="0"/>
            <wp:positionH relativeFrom="column">
              <wp:posOffset>-1329055</wp:posOffset>
            </wp:positionH>
            <wp:positionV relativeFrom="paragraph">
              <wp:posOffset>575945</wp:posOffset>
            </wp:positionV>
            <wp:extent cx="4572000" cy="2743200"/>
            <wp:effectExtent l="0" t="0" r="0" b="0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43E">
        <w:rPr>
          <w:lang w:val="fr-FR"/>
        </w:rPr>
        <w:t>Taux de retour</w:t>
      </w:r>
      <w:r w:rsidR="00DE332A">
        <w:rPr>
          <w:lang w:val="fr-FR"/>
        </w:rPr>
        <w:t>s</w:t>
      </w:r>
      <w:r w:rsidR="00DA543E">
        <w:rPr>
          <w:lang w:val="fr-FR"/>
        </w:rPr>
        <w:t> :</w:t>
      </w:r>
    </w:p>
    <w:p w:rsidR="000C53C3" w:rsidRDefault="0019040E" w:rsidP="00DA543E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 wp14:anchorId="42A720E4" wp14:editId="20A5A7AB">
            <wp:simplePos x="0" y="0"/>
            <wp:positionH relativeFrom="column">
              <wp:posOffset>5090795</wp:posOffset>
            </wp:positionH>
            <wp:positionV relativeFrom="paragraph">
              <wp:posOffset>10795</wp:posOffset>
            </wp:positionV>
            <wp:extent cx="4572000" cy="2743200"/>
            <wp:effectExtent l="0" t="0" r="0" b="0"/>
            <wp:wrapNone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19040E" w:rsidP="000C53C3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39B63730" wp14:editId="1E700E39">
            <wp:simplePos x="0" y="0"/>
            <wp:positionH relativeFrom="column">
              <wp:posOffset>1366520</wp:posOffset>
            </wp:positionH>
            <wp:positionV relativeFrom="paragraph">
              <wp:posOffset>93345</wp:posOffset>
            </wp:positionV>
            <wp:extent cx="5581650" cy="3400425"/>
            <wp:effectExtent l="0" t="0" r="0" b="0"/>
            <wp:wrapNone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Pr="000C53C3" w:rsidRDefault="000C53C3" w:rsidP="000C53C3">
      <w:pPr>
        <w:rPr>
          <w:lang w:val="fr-FR"/>
        </w:rPr>
      </w:pPr>
    </w:p>
    <w:p w:rsidR="000C53C3" w:rsidRDefault="000C53C3" w:rsidP="000C53C3">
      <w:pPr>
        <w:tabs>
          <w:tab w:val="left" w:pos="5640"/>
        </w:tabs>
        <w:rPr>
          <w:lang w:val="fr-FR"/>
        </w:rPr>
        <w:sectPr w:rsidR="000C53C3" w:rsidSect="007535E4">
          <w:pgSz w:w="15840" w:h="12240" w:orient="landscape" w:code="122"/>
          <w:pgMar w:top="1418" w:right="1418" w:bottom="1418" w:left="1418" w:header="720" w:footer="720" w:gutter="0"/>
          <w:cols w:space="720"/>
          <w:docGrid w:linePitch="360"/>
        </w:sectPr>
      </w:pPr>
    </w:p>
    <w:p w:rsidR="00DA543E" w:rsidRDefault="004D1644" w:rsidP="004D1644">
      <w:pPr>
        <w:pStyle w:val="Titre"/>
        <w:rPr>
          <w:lang w:val="fr-FR"/>
        </w:rPr>
      </w:pPr>
      <w:r>
        <w:rPr>
          <w:lang w:val="fr-FR"/>
        </w:rPr>
        <w:lastRenderedPageBreak/>
        <w:t>Horaires</w:t>
      </w:r>
    </w:p>
    <w:p w:rsidR="007402A7" w:rsidRDefault="004D1644" w:rsidP="000C53C3">
      <w:pPr>
        <w:tabs>
          <w:tab w:val="left" w:pos="5640"/>
        </w:tabs>
        <w:rPr>
          <w:color w:val="548DD4" w:themeColor="text2" w:themeTint="99"/>
          <w:sz w:val="28"/>
          <w:szCs w:val="28"/>
          <w:lang w:val="fr-FR"/>
        </w:rPr>
      </w:pPr>
      <w:r w:rsidRPr="004D1644">
        <w:rPr>
          <w:noProof/>
          <w:color w:val="548DD4" w:themeColor="text2" w:themeTint="99"/>
          <w:sz w:val="28"/>
          <w:szCs w:val="28"/>
          <w:lang w:val="fr-FR" w:eastAsia="fr-FR"/>
        </w:rPr>
        <w:drawing>
          <wp:anchor distT="0" distB="0" distL="114300" distR="114300" simplePos="0" relativeHeight="251668480" behindDoc="0" locked="0" layoutInCell="1" allowOverlap="1" wp14:anchorId="38972DEB" wp14:editId="1AC95109">
            <wp:simplePos x="0" y="0"/>
            <wp:positionH relativeFrom="column">
              <wp:posOffset>-605155</wp:posOffset>
            </wp:positionH>
            <wp:positionV relativeFrom="paragraph">
              <wp:posOffset>541655</wp:posOffset>
            </wp:positionV>
            <wp:extent cx="9496425" cy="5133975"/>
            <wp:effectExtent l="0" t="0" r="0" b="0"/>
            <wp:wrapNone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644">
        <w:rPr>
          <w:color w:val="548DD4" w:themeColor="text2" w:themeTint="99"/>
          <w:sz w:val="28"/>
          <w:szCs w:val="28"/>
          <w:lang w:val="fr-FR"/>
        </w:rPr>
        <w:t>Pic d’affluence : 19h</w:t>
      </w:r>
    </w:p>
    <w:p w:rsidR="007402A7" w:rsidRDefault="007402A7">
      <w:pPr>
        <w:spacing w:after="0" w:line="240" w:lineRule="auto"/>
        <w:rPr>
          <w:color w:val="548DD4" w:themeColor="text2" w:themeTint="99"/>
          <w:sz w:val="28"/>
          <w:szCs w:val="28"/>
          <w:lang w:val="fr-FR"/>
        </w:rPr>
      </w:pPr>
      <w:r>
        <w:rPr>
          <w:color w:val="548DD4" w:themeColor="text2" w:themeTint="99"/>
          <w:sz w:val="28"/>
          <w:szCs w:val="28"/>
          <w:lang w:val="fr-FR"/>
        </w:rPr>
        <w:br w:type="page"/>
      </w:r>
    </w:p>
    <w:p w:rsidR="007402A7" w:rsidRDefault="007402A7" w:rsidP="007402A7">
      <w:pPr>
        <w:pStyle w:val="Titre"/>
        <w:rPr>
          <w:lang w:val="fr-FR"/>
        </w:rPr>
        <w:sectPr w:rsidR="007402A7" w:rsidSect="004D1644">
          <w:pgSz w:w="15840" w:h="12240" w:orient="landscape" w:code="122"/>
          <w:pgMar w:top="1418" w:right="1418" w:bottom="1418" w:left="1418" w:header="720" w:footer="720" w:gutter="0"/>
          <w:cols w:space="720"/>
          <w:docGrid w:linePitch="360"/>
        </w:sectPr>
      </w:pPr>
    </w:p>
    <w:p w:rsidR="004D1644" w:rsidRDefault="007402A7" w:rsidP="007402A7">
      <w:pPr>
        <w:pStyle w:val="Titre"/>
        <w:rPr>
          <w:lang w:val="fr-FR"/>
        </w:rPr>
      </w:pPr>
      <w:r>
        <w:rPr>
          <w:lang w:val="fr-FR"/>
        </w:rPr>
        <w:lastRenderedPageBreak/>
        <w:t>Notre avis</w:t>
      </w:r>
    </w:p>
    <w:p w:rsidR="0089544B" w:rsidRDefault="007402A7" w:rsidP="00DE332A">
      <w:pPr>
        <w:ind w:firstLine="720"/>
        <w:jc w:val="both"/>
        <w:rPr>
          <w:sz w:val="32"/>
          <w:szCs w:val="32"/>
          <w:lang w:val="fr-FR"/>
        </w:rPr>
      </w:pPr>
      <w:r w:rsidRPr="007402A7">
        <w:rPr>
          <w:sz w:val="32"/>
          <w:szCs w:val="32"/>
          <w:lang w:val="fr-FR"/>
        </w:rPr>
        <w:t>Toutes les données</w:t>
      </w:r>
      <w:r w:rsidR="00DE332A">
        <w:rPr>
          <w:sz w:val="32"/>
          <w:szCs w:val="32"/>
          <w:lang w:val="fr-FR"/>
        </w:rPr>
        <w:t xml:space="preserve"> fournies précédemment vont vous</w:t>
      </w:r>
      <w:r w:rsidRPr="007402A7">
        <w:rPr>
          <w:sz w:val="32"/>
          <w:szCs w:val="32"/>
          <w:lang w:val="fr-FR"/>
        </w:rPr>
        <w:t xml:space="preserve"> permettre de choisir précisément votre emplacement en estimant le passage devant la boutique. Ces statistiques peuvent être effectué</w:t>
      </w:r>
      <w:r w:rsidR="00DE332A">
        <w:rPr>
          <w:sz w:val="32"/>
          <w:szCs w:val="32"/>
          <w:lang w:val="fr-FR"/>
        </w:rPr>
        <w:t>e</w:t>
      </w:r>
      <w:r w:rsidRPr="007402A7">
        <w:rPr>
          <w:sz w:val="32"/>
          <w:szCs w:val="32"/>
          <w:lang w:val="fr-FR"/>
        </w:rPr>
        <w:t>s sur une période plus longue afin d’obtenir de</w:t>
      </w:r>
      <w:r w:rsidR="00DE332A">
        <w:rPr>
          <w:sz w:val="32"/>
          <w:szCs w:val="32"/>
          <w:lang w:val="fr-FR"/>
        </w:rPr>
        <w:t>s</w:t>
      </w:r>
      <w:r w:rsidRPr="007402A7">
        <w:rPr>
          <w:sz w:val="32"/>
          <w:szCs w:val="32"/>
          <w:lang w:val="fr-FR"/>
        </w:rPr>
        <w:t xml:space="preserve"> résultats plus fiables. </w:t>
      </w:r>
    </w:p>
    <w:p w:rsidR="007402A7" w:rsidRDefault="007402A7" w:rsidP="00DE332A">
      <w:pPr>
        <w:ind w:firstLine="720"/>
        <w:jc w:val="both"/>
        <w:rPr>
          <w:sz w:val="32"/>
          <w:szCs w:val="32"/>
          <w:lang w:val="fr-FR"/>
        </w:rPr>
      </w:pPr>
      <w:r w:rsidRPr="007402A7">
        <w:rPr>
          <w:sz w:val="32"/>
          <w:szCs w:val="32"/>
          <w:lang w:val="fr-FR"/>
        </w:rPr>
        <w:t>Pour cet exemple, nous avons sélectionné seulement trois jours. Afin de vous aider</w:t>
      </w:r>
      <w:r w:rsidR="00DE332A">
        <w:rPr>
          <w:sz w:val="32"/>
          <w:szCs w:val="32"/>
          <w:lang w:val="fr-FR"/>
        </w:rPr>
        <w:t>,</w:t>
      </w:r>
      <w:r w:rsidRPr="007402A7">
        <w:rPr>
          <w:sz w:val="32"/>
          <w:szCs w:val="32"/>
          <w:lang w:val="fr-FR"/>
        </w:rPr>
        <w:t xml:space="preserve"> nous partageons avec vous notre avis sur l’emplacement.</w:t>
      </w:r>
    </w:p>
    <w:p w:rsidR="000A478E" w:rsidRPr="007402A7" w:rsidRDefault="000A478E" w:rsidP="000A478E">
      <w:pPr>
        <w:ind w:firstLine="720"/>
        <w:rPr>
          <w:sz w:val="32"/>
          <w:szCs w:val="32"/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686425" cy="36576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402A7" w:rsidRDefault="007402A7" w:rsidP="007402A7">
      <w:pPr>
        <w:jc w:val="center"/>
        <w:rPr>
          <w:lang w:val="fr-FR"/>
        </w:rPr>
      </w:pPr>
    </w:p>
    <w:p w:rsidR="009F23D5" w:rsidRDefault="007402A7" w:rsidP="0089544B">
      <w:pPr>
        <w:rPr>
          <w:sz w:val="32"/>
          <w:szCs w:val="32"/>
          <w:lang w:val="fr-FR"/>
        </w:rPr>
      </w:pPr>
      <w:bookmarkStart w:id="0" w:name="_GoBack"/>
      <w:bookmarkEnd w:id="0"/>
      <w:r w:rsidRPr="007402A7">
        <w:rPr>
          <w:sz w:val="32"/>
          <w:szCs w:val="32"/>
          <w:lang w:val="fr-FR"/>
        </w:rPr>
        <w:t xml:space="preserve">Cet emplacement semble </w:t>
      </w:r>
      <w:r w:rsidR="000A478E">
        <w:rPr>
          <w:sz w:val="32"/>
          <w:szCs w:val="32"/>
          <w:lang w:val="fr-FR"/>
        </w:rPr>
        <w:t xml:space="preserve">donc </w:t>
      </w:r>
      <w:r w:rsidRPr="007402A7">
        <w:rPr>
          <w:sz w:val="32"/>
          <w:szCs w:val="32"/>
          <w:lang w:val="fr-FR"/>
        </w:rPr>
        <w:t xml:space="preserve">prometteur car l’affluence piétonne </w:t>
      </w:r>
      <w:r w:rsidR="000A478E">
        <w:rPr>
          <w:sz w:val="32"/>
          <w:szCs w:val="32"/>
          <w:lang w:val="fr-FR"/>
        </w:rPr>
        <w:t xml:space="preserve">y </w:t>
      </w:r>
      <w:r w:rsidRPr="007402A7">
        <w:rPr>
          <w:sz w:val="32"/>
          <w:szCs w:val="32"/>
          <w:lang w:val="fr-FR"/>
        </w:rPr>
        <w:t xml:space="preserve">est </w:t>
      </w:r>
      <w:r w:rsidR="000A478E">
        <w:rPr>
          <w:sz w:val="32"/>
          <w:szCs w:val="32"/>
          <w:lang w:val="fr-FR"/>
        </w:rPr>
        <w:t>importante, et le retour des clients est fréquent</w:t>
      </w:r>
      <w:r w:rsidRPr="007402A7">
        <w:rPr>
          <w:sz w:val="32"/>
          <w:szCs w:val="32"/>
          <w:lang w:val="fr-FR"/>
        </w:rPr>
        <w:t>.</w:t>
      </w:r>
    </w:p>
    <w:p w:rsidR="009F23D5" w:rsidRDefault="009F23D5" w:rsidP="009F23D5">
      <w:pPr>
        <w:jc w:val="center"/>
        <w:rPr>
          <w:sz w:val="32"/>
          <w:szCs w:val="32"/>
          <w:lang w:val="fr-FR"/>
        </w:rPr>
        <w:sectPr w:rsidR="009F23D5" w:rsidSect="007402A7">
          <w:pgSz w:w="12240" w:h="15840" w:code="122"/>
          <w:pgMar w:top="1418" w:right="1418" w:bottom="1418" w:left="1418" w:header="720" w:footer="720" w:gutter="0"/>
          <w:cols w:space="720"/>
          <w:docGrid w:linePitch="360"/>
        </w:sectPr>
      </w:pPr>
      <w:r>
        <w:rPr>
          <w:sz w:val="32"/>
          <w:szCs w:val="32"/>
          <w:lang w:val="fr-FR"/>
        </w:rPr>
        <w:br w:type="page"/>
      </w:r>
    </w:p>
    <w:p w:rsidR="009F23D5" w:rsidRPr="009F23D5" w:rsidRDefault="009F23D5" w:rsidP="00EF2414">
      <w:pPr>
        <w:jc w:val="center"/>
        <w:rPr>
          <w:rFonts w:ascii="Sansation" w:hAnsi="Sansation"/>
          <w:color w:val="F15F4C"/>
          <w:sz w:val="144"/>
          <w:szCs w:val="144"/>
          <w:lang w:val="fr-FR"/>
        </w:rPr>
      </w:pPr>
      <w:r w:rsidRPr="00FC606E">
        <w:rPr>
          <w:rFonts w:ascii="Sansation" w:hAnsi="Sansation"/>
          <w:color w:val="F15F4C"/>
          <w:sz w:val="144"/>
          <w:szCs w:val="144"/>
          <w:lang w:val="fr-FR"/>
        </w:rPr>
        <w:lastRenderedPageBreak/>
        <w:t>FREQUEN</w:t>
      </w:r>
      <w:r w:rsidR="00EF2414">
        <w:rPr>
          <w:rFonts w:ascii="Sansation" w:hAnsi="Sansation"/>
          <w:color w:val="4B494F"/>
          <w:sz w:val="144"/>
          <w:szCs w:val="144"/>
          <w:lang w:val="fr-FR"/>
        </w:rPr>
        <w:t>STAT</w:t>
      </w:r>
    </w:p>
    <w:sectPr w:rsidR="009F23D5" w:rsidRPr="009F23D5" w:rsidSect="00EF2414">
      <w:pgSz w:w="12240" w:h="15840" w:code="122"/>
      <w:pgMar w:top="1418" w:right="0" w:bottom="1418" w:left="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2E4" w:rsidRDefault="003342E4" w:rsidP="007535E4">
      <w:pPr>
        <w:spacing w:after="0" w:line="240" w:lineRule="auto"/>
      </w:pPr>
      <w:r>
        <w:separator/>
      </w:r>
    </w:p>
  </w:endnote>
  <w:endnote w:type="continuationSeparator" w:id="0">
    <w:p w:rsidR="003342E4" w:rsidRDefault="003342E4" w:rsidP="0075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2E4" w:rsidRDefault="003342E4" w:rsidP="007535E4">
      <w:pPr>
        <w:spacing w:after="0" w:line="240" w:lineRule="auto"/>
      </w:pPr>
      <w:r>
        <w:separator/>
      </w:r>
    </w:p>
  </w:footnote>
  <w:footnote w:type="continuationSeparator" w:id="0">
    <w:p w:rsidR="003342E4" w:rsidRDefault="003342E4" w:rsidP="00753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40"/>
    <w:rsid w:val="00077402"/>
    <w:rsid w:val="000A478E"/>
    <w:rsid w:val="000C53C3"/>
    <w:rsid w:val="0019040E"/>
    <w:rsid w:val="00194322"/>
    <w:rsid w:val="001E2098"/>
    <w:rsid w:val="00251EFD"/>
    <w:rsid w:val="00284189"/>
    <w:rsid w:val="00297F88"/>
    <w:rsid w:val="003342E4"/>
    <w:rsid w:val="003E7C40"/>
    <w:rsid w:val="004B59F8"/>
    <w:rsid w:val="004D1644"/>
    <w:rsid w:val="004F1F2B"/>
    <w:rsid w:val="00525124"/>
    <w:rsid w:val="005964A8"/>
    <w:rsid w:val="005C6ED3"/>
    <w:rsid w:val="005E03CC"/>
    <w:rsid w:val="00707266"/>
    <w:rsid w:val="007402A7"/>
    <w:rsid w:val="007535E4"/>
    <w:rsid w:val="00760C28"/>
    <w:rsid w:val="008148C6"/>
    <w:rsid w:val="008754CA"/>
    <w:rsid w:val="00887B37"/>
    <w:rsid w:val="0089544B"/>
    <w:rsid w:val="0097231C"/>
    <w:rsid w:val="0098424F"/>
    <w:rsid w:val="009F23D5"/>
    <w:rsid w:val="00A13CB7"/>
    <w:rsid w:val="00A438FF"/>
    <w:rsid w:val="00B243F4"/>
    <w:rsid w:val="00B31260"/>
    <w:rsid w:val="00B4062A"/>
    <w:rsid w:val="00B51F56"/>
    <w:rsid w:val="00BF0137"/>
    <w:rsid w:val="00D85CF5"/>
    <w:rsid w:val="00DA543E"/>
    <w:rsid w:val="00DE332A"/>
    <w:rsid w:val="00E3369D"/>
    <w:rsid w:val="00E35613"/>
    <w:rsid w:val="00EF2414"/>
    <w:rsid w:val="00F60D55"/>
    <w:rsid w:val="00F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424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7C40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3E7C40"/>
    <w:rPr>
      <w:rFonts w:eastAsia="Times New Roman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7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E7C40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link w:val="Titre1"/>
    <w:uiPriority w:val="9"/>
    <w:rsid w:val="0098424F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fstitre">
    <w:name w:val="fs_titre"/>
    <w:basedOn w:val="Normal"/>
    <w:link w:val="fstitreCar"/>
    <w:qFormat/>
    <w:rsid w:val="00A438FF"/>
    <w:pPr>
      <w:jc w:val="center"/>
    </w:pPr>
    <w:rPr>
      <w:color w:val="F15F4C"/>
      <w:sz w:val="48"/>
      <w:szCs w:val="48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297F88"/>
    <w:rPr>
      <w:b/>
      <w:bCs/>
      <w:sz w:val="20"/>
      <w:szCs w:val="20"/>
    </w:rPr>
  </w:style>
  <w:style w:type="character" w:customStyle="1" w:styleId="fstitreCar">
    <w:name w:val="fs_titre Car"/>
    <w:link w:val="fstitre"/>
    <w:rsid w:val="00A438FF"/>
    <w:rPr>
      <w:color w:val="F15F4C"/>
      <w:sz w:val="48"/>
      <w:szCs w:val="4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DA54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753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5E4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753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5E4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424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7C40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3E7C40"/>
    <w:rPr>
      <w:rFonts w:eastAsia="Times New Roman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7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E7C40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link w:val="Titre1"/>
    <w:uiPriority w:val="9"/>
    <w:rsid w:val="0098424F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fstitre">
    <w:name w:val="fs_titre"/>
    <w:basedOn w:val="Normal"/>
    <w:link w:val="fstitreCar"/>
    <w:qFormat/>
    <w:rsid w:val="00A438FF"/>
    <w:pPr>
      <w:jc w:val="center"/>
    </w:pPr>
    <w:rPr>
      <w:color w:val="F15F4C"/>
      <w:sz w:val="48"/>
      <w:szCs w:val="48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297F88"/>
    <w:rPr>
      <w:b/>
      <w:bCs/>
      <w:sz w:val="20"/>
      <w:szCs w:val="20"/>
    </w:rPr>
  </w:style>
  <w:style w:type="character" w:customStyle="1" w:styleId="fstitreCar">
    <w:name w:val="fs_titre Car"/>
    <w:link w:val="fstitre"/>
    <w:rsid w:val="00A438FF"/>
    <w:rPr>
      <w:color w:val="F15F4C"/>
      <w:sz w:val="48"/>
      <w:szCs w:val="4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DA54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753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5E4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753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5E4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S:\Mes%20documents\T&#233;l&#233;chargements\frequenst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S:\Mes%20documents\T&#233;l&#233;chargements\frequenst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S:\Mes%20documents\T&#233;l&#233;chargements\frequenst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S:\Mes%20documents\T&#233;l&#233;chargements\frequenst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S:\Mes%20documents\T&#233;l&#233;chargements\frequensta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S:\Mes%20documents\T&#233;l&#233;chargements\frequensta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&#233;reng&#232;re\realitix\git\tracker-frontend\rapport\frequen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Détections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Nombre de passages</c:v>
          </c:tx>
          <c:invertIfNegative val="0"/>
          <c:cat>
            <c:strRef>
              <c:f>'Nombre de detection'!$B$4:$B$7</c:f>
              <c:strCache>
                <c:ptCount val="4"/>
                <c:pt idx="0">
                  <c:v>Jour 1</c:v>
                </c:pt>
                <c:pt idx="1">
                  <c:v>Jour 2</c:v>
                </c:pt>
                <c:pt idx="2">
                  <c:v>Jour 3</c:v>
                </c:pt>
                <c:pt idx="3">
                  <c:v>Total</c:v>
                </c:pt>
              </c:strCache>
            </c:strRef>
          </c:cat>
          <c:val>
            <c:numRef>
              <c:f>'Nombre de detection'!$C$4:$C$7</c:f>
              <c:numCache>
                <c:formatCode>General</c:formatCode>
                <c:ptCount val="4"/>
                <c:pt idx="0">
                  <c:v>4236</c:v>
                </c:pt>
                <c:pt idx="1">
                  <c:v>4875</c:v>
                </c:pt>
                <c:pt idx="2">
                  <c:v>3698</c:v>
                </c:pt>
                <c:pt idx="3">
                  <c:v>12809</c:v>
                </c:pt>
              </c:numCache>
            </c:numRef>
          </c:val>
        </c:ser>
        <c:ser>
          <c:idx val="1"/>
          <c:order val="1"/>
          <c:tx>
            <c:v>Uniques</c:v>
          </c:tx>
          <c:invertIfNegative val="0"/>
          <c:cat>
            <c:strRef>
              <c:f>'Nombre de detection'!$B$4:$B$7</c:f>
              <c:strCache>
                <c:ptCount val="4"/>
                <c:pt idx="0">
                  <c:v>Jour 1</c:v>
                </c:pt>
                <c:pt idx="1">
                  <c:v>Jour 2</c:v>
                </c:pt>
                <c:pt idx="2">
                  <c:v>Jour 3</c:v>
                </c:pt>
                <c:pt idx="3">
                  <c:v>Total</c:v>
                </c:pt>
              </c:strCache>
            </c:strRef>
          </c:cat>
          <c:val>
            <c:numRef>
              <c:f>'Nombre de detection'!$D$4:$D$7</c:f>
              <c:numCache>
                <c:formatCode>General</c:formatCode>
                <c:ptCount val="4"/>
                <c:pt idx="0">
                  <c:v>3120</c:v>
                </c:pt>
                <c:pt idx="1">
                  <c:v>3566</c:v>
                </c:pt>
                <c:pt idx="2">
                  <c:v>2985</c:v>
                </c:pt>
                <c:pt idx="3">
                  <c:v>9671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8118272"/>
        <c:axId val="78640256"/>
      </c:barChart>
      <c:catAx>
        <c:axId val="78118272"/>
        <c:scaling>
          <c:orientation val="minMax"/>
        </c:scaling>
        <c:delete val="0"/>
        <c:axPos val="b"/>
        <c:majorTickMark val="none"/>
        <c:minorTickMark val="none"/>
        <c:tickLblPos val="nextTo"/>
        <c:crossAx val="78640256"/>
        <c:crosses val="autoZero"/>
        <c:auto val="1"/>
        <c:lblAlgn val="ctr"/>
        <c:lblOffset val="100"/>
        <c:noMultiLvlLbl val="0"/>
      </c:catAx>
      <c:valAx>
        <c:axId val="786402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détections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811827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>
                <a:solidFill>
                  <a:schemeClr val="tx2">
                    <a:lumMod val="60000"/>
                    <a:lumOff val="40000"/>
                  </a:schemeClr>
                </a:solidFill>
              </a:rPr>
              <a:t>Jour</a:t>
            </a:r>
            <a:r>
              <a:rPr lang="fr-FR" baseline="0">
                <a:solidFill>
                  <a:schemeClr val="tx2">
                    <a:lumMod val="60000"/>
                    <a:lumOff val="40000"/>
                  </a:schemeClr>
                </a:solidFill>
              </a:rPr>
              <a:t> 2</a:t>
            </a:r>
            <a:endParaRPr lang="fr-FR">
              <a:solidFill>
                <a:schemeClr val="tx2">
                  <a:lumMod val="60000"/>
                  <a:lumOff val="40000"/>
                </a:schemeClr>
              </a:solidFill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'Taux de retour'!$F$8:$F$9</c:f>
              <c:strCache>
                <c:ptCount val="2"/>
                <c:pt idx="0">
                  <c:v>Première visite</c:v>
                </c:pt>
                <c:pt idx="1">
                  <c:v>Retour</c:v>
                </c:pt>
              </c:strCache>
            </c:strRef>
          </c:cat>
          <c:val>
            <c:numRef>
              <c:f>'Taux de retour'!$G$8:$G$9</c:f>
              <c:numCache>
                <c:formatCode>General</c:formatCode>
                <c:ptCount val="2"/>
                <c:pt idx="0">
                  <c:v>91.8</c:v>
                </c:pt>
                <c:pt idx="1">
                  <c:v>8.1999999999999993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>
                <a:solidFill>
                  <a:schemeClr val="tx2">
                    <a:lumMod val="60000"/>
                    <a:lumOff val="40000"/>
                  </a:schemeClr>
                </a:solidFill>
              </a:rPr>
              <a:t>Jour 1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'Taux de retour'!$F$6:$F$7</c:f>
              <c:strCache>
                <c:ptCount val="2"/>
                <c:pt idx="0">
                  <c:v>Première visite</c:v>
                </c:pt>
                <c:pt idx="1">
                  <c:v>Retour</c:v>
                </c:pt>
              </c:strCache>
            </c:strRef>
          </c:cat>
          <c:val>
            <c:numRef>
              <c:f>'Taux de retour'!$G$6:$G$7</c:f>
              <c:numCache>
                <c:formatCode>General</c:formatCode>
                <c:ptCount val="2"/>
                <c:pt idx="0">
                  <c:v>87.3</c:v>
                </c:pt>
                <c:pt idx="1">
                  <c:v>12.7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>
                <a:solidFill>
                  <a:schemeClr val="tx2">
                    <a:lumMod val="60000"/>
                    <a:lumOff val="40000"/>
                  </a:schemeClr>
                </a:solidFill>
              </a:rPr>
              <a:t>Jour</a:t>
            </a:r>
            <a:r>
              <a:rPr lang="fr-FR" baseline="0">
                <a:solidFill>
                  <a:schemeClr val="tx2">
                    <a:lumMod val="60000"/>
                    <a:lumOff val="40000"/>
                  </a:schemeClr>
                </a:solidFill>
              </a:rPr>
              <a:t> 3</a:t>
            </a:r>
            <a:endParaRPr lang="fr-FR">
              <a:solidFill>
                <a:schemeClr val="tx2">
                  <a:lumMod val="60000"/>
                  <a:lumOff val="40000"/>
                </a:schemeClr>
              </a:solidFill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'Taux de retour'!$F$10:$F$11</c:f>
              <c:strCache>
                <c:ptCount val="2"/>
                <c:pt idx="0">
                  <c:v>Première visite</c:v>
                </c:pt>
                <c:pt idx="1">
                  <c:v>Retour</c:v>
                </c:pt>
              </c:strCache>
            </c:strRef>
          </c:cat>
          <c:val>
            <c:numRef>
              <c:f>'Taux de retour'!$G$10:$G$11</c:f>
              <c:numCache>
                <c:formatCode>General</c:formatCode>
                <c:ptCount val="2"/>
                <c:pt idx="0">
                  <c:v>93.7</c:v>
                </c:pt>
                <c:pt idx="1">
                  <c:v>6.3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u="none">
                <a:solidFill>
                  <a:schemeClr val="tx2">
                    <a:lumMod val="60000"/>
                    <a:lumOff val="40000"/>
                  </a:schemeClr>
                </a:solidFill>
              </a:rPr>
              <a:t>Moyenne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1"/>
            <c:bubble3D val="0"/>
            <c:explosion val="16"/>
          </c:dPt>
          <c:dLbls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'Taux de retour'!$F$12:$F$13</c:f>
              <c:strCache>
                <c:ptCount val="2"/>
                <c:pt idx="0">
                  <c:v>Première visite</c:v>
                </c:pt>
                <c:pt idx="1">
                  <c:v>Retour</c:v>
                </c:pt>
              </c:strCache>
            </c:strRef>
          </c:cat>
          <c:val>
            <c:numRef>
              <c:f>'Taux de retour'!$G$12:$G$13</c:f>
              <c:numCache>
                <c:formatCode>General</c:formatCode>
                <c:ptCount val="2"/>
                <c:pt idx="0">
                  <c:v>91</c:v>
                </c:pt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horaires!$C$4</c:f>
              <c:strCache>
                <c:ptCount val="1"/>
                <c:pt idx="0">
                  <c:v>Jour 1</c:v>
                </c:pt>
              </c:strCache>
            </c:strRef>
          </c:tx>
          <c:invertIfNegative val="0"/>
          <c:cat>
            <c:numRef>
              <c:f>horaires!$B$5:$B$18</c:f>
              <c:numCache>
                <c:formatCode>h:mm</c:formatCode>
                <c:ptCount val="14"/>
                <c:pt idx="0">
                  <c:v>0.29166666666666702</c:v>
                </c:pt>
                <c:pt idx="1">
                  <c:v>0.33333333333333298</c:v>
                </c:pt>
                <c:pt idx="2">
                  <c:v>0.375</c:v>
                </c:pt>
                <c:pt idx="3">
                  <c:v>0.41666666666666702</c:v>
                </c:pt>
                <c:pt idx="4">
                  <c:v>0.45833333333333298</c:v>
                </c:pt>
                <c:pt idx="5">
                  <c:v>0.5</c:v>
                </c:pt>
                <c:pt idx="6">
                  <c:v>0.54166666666666696</c:v>
                </c:pt>
                <c:pt idx="7">
                  <c:v>0.58333333333333304</c:v>
                </c:pt>
                <c:pt idx="8">
                  <c:v>0.625</c:v>
                </c:pt>
                <c:pt idx="9">
                  <c:v>0.66666666666666696</c:v>
                </c:pt>
                <c:pt idx="10">
                  <c:v>0.70833333333333304</c:v>
                </c:pt>
                <c:pt idx="11">
                  <c:v>0.75</c:v>
                </c:pt>
                <c:pt idx="12">
                  <c:v>0.79166666666666696</c:v>
                </c:pt>
                <c:pt idx="13">
                  <c:v>0.83333333333333304</c:v>
                </c:pt>
              </c:numCache>
            </c:numRef>
          </c:cat>
          <c:val>
            <c:numRef>
              <c:f>horaires!$C$5:$C$18</c:f>
              <c:numCache>
                <c:formatCode>General</c:formatCode>
                <c:ptCount val="14"/>
                <c:pt idx="0">
                  <c:v>168</c:v>
                </c:pt>
                <c:pt idx="1">
                  <c:v>369</c:v>
                </c:pt>
                <c:pt idx="2">
                  <c:v>504</c:v>
                </c:pt>
                <c:pt idx="3">
                  <c:v>499</c:v>
                </c:pt>
                <c:pt idx="4">
                  <c:v>168</c:v>
                </c:pt>
                <c:pt idx="5">
                  <c:v>240</c:v>
                </c:pt>
                <c:pt idx="6">
                  <c:v>287</c:v>
                </c:pt>
                <c:pt idx="7">
                  <c:v>314</c:v>
                </c:pt>
                <c:pt idx="8">
                  <c:v>184</c:v>
                </c:pt>
                <c:pt idx="9">
                  <c:v>147</c:v>
                </c:pt>
                <c:pt idx="10">
                  <c:v>235</c:v>
                </c:pt>
                <c:pt idx="11">
                  <c:v>393</c:v>
                </c:pt>
                <c:pt idx="12">
                  <c:v>499</c:v>
                </c:pt>
                <c:pt idx="13">
                  <c:v>221</c:v>
                </c:pt>
              </c:numCache>
            </c:numRef>
          </c:val>
        </c:ser>
        <c:ser>
          <c:idx val="1"/>
          <c:order val="1"/>
          <c:tx>
            <c:strRef>
              <c:f>horaires!$D$4</c:f>
              <c:strCache>
                <c:ptCount val="1"/>
                <c:pt idx="0">
                  <c:v>Jour 2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numRef>
              <c:f>horaires!$B$5:$B$18</c:f>
              <c:numCache>
                <c:formatCode>h:mm</c:formatCode>
                <c:ptCount val="14"/>
                <c:pt idx="0">
                  <c:v>0.29166666666666702</c:v>
                </c:pt>
                <c:pt idx="1">
                  <c:v>0.33333333333333298</c:v>
                </c:pt>
                <c:pt idx="2">
                  <c:v>0.375</c:v>
                </c:pt>
                <c:pt idx="3">
                  <c:v>0.41666666666666702</c:v>
                </c:pt>
                <c:pt idx="4">
                  <c:v>0.45833333333333298</c:v>
                </c:pt>
                <c:pt idx="5">
                  <c:v>0.5</c:v>
                </c:pt>
                <c:pt idx="6">
                  <c:v>0.54166666666666696</c:v>
                </c:pt>
                <c:pt idx="7">
                  <c:v>0.58333333333333304</c:v>
                </c:pt>
                <c:pt idx="8">
                  <c:v>0.625</c:v>
                </c:pt>
                <c:pt idx="9">
                  <c:v>0.66666666666666696</c:v>
                </c:pt>
                <c:pt idx="10">
                  <c:v>0.70833333333333304</c:v>
                </c:pt>
                <c:pt idx="11">
                  <c:v>0.75</c:v>
                </c:pt>
                <c:pt idx="12">
                  <c:v>0.79166666666666696</c:v>
                </c:pt>
                <c:pt idx="13">
                  <c:v>0.83333333333333304</c:v>
                </c:pt>
              </c:numCache>
            </c:numRef>
          </c:cat>
          <c:val>
            <c:numRef>
              <c:f>horaires!$D$5:$D$18</c:f>
              <c:numCache>
                <c:formatCode>General</c:formatCode>
                <c:ptCount val="14"/>
                <c:pt idx="0">
                  <c:v>214</c:v>
                </c:pt>
                <c:pt idx="1">
                  <c:v>390</c:v>
                </c:pt>
                <c:pt idx="2">
                  <c:v>527</c:v>
                </c:pt>
                <c:pt idx="3">
                  <c:v>474</c:v>
                </c:pt>
                <c:pt idx="4">
                  <c:v>214</c:v>
                </c:pt>
                <c:pt idx="5">
                  <c:v>279</c:v>
                </c:pt>
                <c:pt idx="6">
                  <c:v>371</c:v>
                </c:pt>
                <c:pt idx="7">
                  <c:v>365</c:v>
                </c:pt>
                <c:pt idx="8">
                  <c:v>195</c:v>
                </c:pt>
                <c:pt idx="9">
                  <c:v>171</c:v>
                </c:pt>
                <c:pt idx="10">
                  <c:v>273</c:v>
                </c:pt>
                <c:pt idx="11">
                  <c:v>558</c:v>
                </c:pt>
                <c:pt idx="12">
                  <c:v>580</c:v>
                </c:pt>
                <c:pt idx="13">
                  <c:v>257</c:v>
                </c:pt>
              </c:numCache>
            </c:numRef>
          </c:val>
        </c:ser>
        <c:ser>
          <c:idx val="2"/>
          <c:order val="2"/>
          <c:tx>
            <c:strRef>
              <c:f>horaires!$E$4</c:f>
              <c:strCache>
                <c:ptCount val="1"/>
                <c:pt idx="0">
                  <c:v>Jour 3</c:v>
                </c:pt>
              </c:strCache>
            </c:strRef>
          </c:tx>
          <c:invertIfNegative val="0"/>
          <c:cat>
            <c:numRef>
              <c:f>horaires!$B$5:$B$18</c:f>
              <c:numCache>
                <c:formatCode>h:mm</c:formatCode>
                <c:ptCount val="14"/>
                <c:pt idx="0">
                  <c:v>0.29166666666666702</c:v>
                </c:pt>
                <c:pt idx="1">
                  <c:v>0.33333333333333298</c:v>
                </c:pt>
                <c:pt idx="2">
                  <c:v>0.375</c:v>
                </c:pt>
                <c:pt idx="3">
                  <c:v>0.41666666666666702</c:v>
                </c:pt>
                <c:pt idx="4">
                  <c:v>0.45833333333333298</c:v>
                </c:pt>
                <c:pt idx="5">
                  <c:v>0.5</c:v>
                </c:pt>
                <c:pt idx="6">
                  <c:v>0.54166666666666696</c:v>
                </c:pt>
                <c:pt idx="7">
                  <c:v>0.58333333333333304</c:v>
                </c:pt>
                <c:pt idx="8">
                  <c:v>0.625</c:v>
                </c:pt>
                <c:pt idx="9">
                  <c:v>0.66666666666666696</c:v>
                </c:pt>
                <c:pt idx="10">
                  <c:v>0.70833333333333304</c:v>
                </c:pt>
                <c:pt idx="11">
                  <c:v>0.75</c:v>
                </c:pt>
                <c:pt idx="12">
                  <c:v>0.79166666666666696</c:v>
                </c:pt>
                <c:pt idx="13">
                  <c:v>0.83333333333333304</c:v>
                </c:pt>
              </c:numCache>
            </c:numRef>
          </c:cat>
          <c:val>
            <c:numRef>
              <c:f>horaires!$E$5:$E$18</c:f>
              <c:numCache>
                <c:formatCode>General</c:formatCode>
                <c:ptCount val="14"/>
                <c:pt idx="0">
                  <c:v>137</c:v>
                </c:pt>
                <c:pt idx="1">
                  <c:v>274</c:v>
                </c:pt>
                <c:pt idx="2">
                  <c:v>457</c:v>
                </c:pt>
                <c:pt idx="3">
                  <c:v>370</c:v>
                </c:pt>
                <c:pt idx="4">
                  <c:v>137</c:v>
                </c:pt>
                <c:pt idx="5">
                  <c:v>178</c:v>
                </c:pt>
                <c:pt idx="6">
                  <c:v>260</c:v>
                </c:pt>
                <c:pt idx="7">
                  <c:v>284</c:v>
                </c:pt>
                <c:pt idx="8">
                  <c:v>152</c:v>
                </c:pt>
                <c:pt idx="9">
                  <c:v>121</c:v>
                </c:pt>
                <c:pt idx="10">
                  <c:v>213</c:v>
                </c:pt>
                <c:pt idx="11">
                  <c:v>356</c:v>
                </c:pt>
                <c:pt idx="12">
                  <c:v>553</c:v>
                </c:pt>
                <c:pt idx="13">
                  <c:v>201</c:v>
                </c:pt>
              </c:numCache>
            </c:numRef>
          </c:val>
        </c:ser>
        <c:ser>
          <c:idx val="3"/>
          <c:order val="3"/>
          <c:tx>
            <c:strRef>
              <c:f>horaires!$F$4</c:f>
              <c:strCache>
                <c:ptCount val="1"/>
                <c:pt idx="0">
                  <c:v>Moyenne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numRef>
              <c:f>horaires!$B$5:$B$18</c:f>
              <c:numCache>
                <c:formatCode>h:mm</c:formatCode>
                <c:ptCount val="14"/>
                <c:pt idx="0">
                  <c:v>0.29166666666666702</c:v>
                </c:pt>
                <c:pt idx="1">
                  <c:v>0.33333333333333298</c:v>
                </c:pt>
                <c:pt idx="2">
                  <c:v>0.375</c:v>
                </c:pt>
                <c:pt idx="3">
                  <c:v>0.41666666666666702</c:v>
                </c:pt>
                <c:pt idx="4">
                  <c:v>0.45833333333333298</c:v>
                </c:pt>
                <c:pt idx="5">
                  <c:v>0.5</c:v>
                </c:pt>
                <c:pt idx="6">
                  <c:v>0.54166666666666696</c:v>
                </c:pt>
                <c:pt idx="7">
                  <c:v>0.58333333333333304</c:v>
                </c:pt>
                <c:pt idx="8">
                  <c:v>0.625</c:v>
                </c:pt>
                <c:pt idx="9">
                  <c:v>0.66666666666666696</c:v>
                </c:pt>
                <c:pt idx="10">
                  <c:v>0.70833333333333304</c:v>
                </c:pt>
                <c:pt idx="11">
                  <c:v>0.75</c:v>
                </c:pt>
                <c:pt idx="12">
                  <c:v>0.79166666666666696</c:v>
                </c:pt>
                <c:pt idx="13">
                  <c:v>0.83333333333333304</c:v>
                </c:pt>
              </c:numCache>
            </c:numRef>
          </c:cat>
          <c:val>
            <c:numRef>
              <c:f>horaires!$F$5:$F$18</c:f>
              <c:numCache>
                <c:formatCode>General</c:formatCode>
                <c:ptCount val="14"/>
                <c:pt idx="0">
                  <c:v>173</c:v>
                </c:pt>
                <c:pt idx="1">
                  <c:v>344.33333333333331</c:v>
                </c:pt>
                <c:pt idx="2">
                  <c:v>496</c:v>
                </c:pt>
                <c:pt idx="3">
                  <c:v>447.66666666666669</c:v>
                </c:pt>
                <c:pt idx="4">
                  <c:v>173</c:v>
                </c:pt>
                <c:pt idx="5">
                  <c:v>232.33333333333334</c:v>
                </c:pt>
                <c:pt idx="6">
                  <c:v>306</c:v>
                </c:pt>
                <c:pt idx="7">
                  <c:v>321</c:v>
                </c:pt>
                <c:pt idx="8">
                  <c:v>177</c:v>
                </c:pt>
                <c:pt idx="9">
                  <c:v>146.33333333333334</c:v>
                </c:pt>
                <c:pt idx="10">
                  <c:v>240.33333333333334</c:v>
                </c:pt>
                <c:pt idx="11">
                  <c:v>435.66666666666669</c:v>
                </c:pt>
                <c:pt idx="12">
                  <c:v>544</c:v>
                </c:pt>
                <c:pt idx="13">
                  <c:v>226.33333333333334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0597376"/>
        <c:axId val="80598912"/>
      </c:barChart>
      <c:catAx>
        <c:axId val="80597376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crossAx val="80598912"/>
        <c:crosses val="autoZero"/>
        <c:auto val="1"/>
        <c:lblAlgn val="ctr"/>
        <c:lblOffset val="100"/>
        <c:noMultiLvlLbl val="0"/>
      </c:catAx>
      <c:valAx>
        <c:axId val="805989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détections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05973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Avis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Note!$C$4</c:f>
              <c:strCache>
                <c:ptCount val="1"/>
                <c:pt idx="0">
                  <c:v>Note</c:v>
                </c:pt>
              </c:strCache>
            </c:strRef>
          </c:tx>
          <c:invertIfNegative val="0"/>
          <c:cat>
            <c:strRef>
              <c:f>Note!$B$5:$B$7</c:f>
              <c:strCache>
                <c:ptCount val="3"/>
                <c:pt idx="0">
                  <c:v>Affluence</c:v>
                </c:pt>
                <c:pt idx="1">
                  <c:v>Retour client</c:v>
                </c:pt>
                <c:pt idx="2">
                  <c:v>Avis global</c:v>
                </c:pt>
              </c:strCache>
            </c:strRef>
          </c:cat>
          <c:val>
            <c:numRef>
              <c:f>Note!$C$5:$C$7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271808"/>
        <c:axId val="81277696"/>
      </c:barChart>
      <c:catAx>
        <c:axId val="81271808"/>
        <c:scaling>
          <c:orientation val="minMax"/>
        </c:scaling>
        <c:delete val="0"/>
        <c:axPos val="b"/>
        <c:majorTickMark val="out"/>
        <c:minorTickMark val="none"/>
        <c:tickLblPos val="nextTo"/>
        <c:crossAx val="81277696"/>
        <c:crosses val="autoZero"/>
        <c:auto val="1"/>
        <c:lblAlgn val="ctr"/>
        <c:lblOffset val="100"/>
        <c:noMultiLvlLbl val="0"/>
      </c:catAx>
      <c:valAx>
        <c:axId val="81277696"/>
        <c:scaling>
          <c:orientation val="minMax"/>
          <c:max val="1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271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3B311-27E5-4A57-9102-2FFBBDFC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Jean-Sebastien BEVILACQUA</dc:creator>
  <cp:lastModifiedBy>Bérengère</cp:lastModifiedBy>
  <cp:revision>30</cp:revision>
  <cp:lastPrinted>2014-05-29T17:03:00Z</cp:lastPrinted>
  <dcterms:created xsi:type="dcterms:W3CDTF">2014-05-27T08:58:00Z</dcterms:created>
  <dcterms:modified xsi:type="dcterms:W3CDTF">2014-05-29T17:03:00Z</dcterms:modified>
</cp:coreProperties>
</file>