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Parking Lot Occupancy Detector</w:t>
      </w:r>
    </w:p>
    <w:p>
      <w:pPr>
        <w:jc w:val="center"/>
      </w:pPr>
      <w:r>
        <w:rPr>
          <w:b/>
        </w:rPr>
        <w:t>Kyle Hale  &amp;  Jingyi Zhong</w:t>
      </w:r>
    </w:p>
    <w:p>
      <w:pPr>
        <w:jc w:val="center"/>
      </w:pPr>
      <w:r>
        <w:t>University of Washington — Computer Vision — Spring 2026</w:t>
      </w:r>
    </w:p>
    <w:p>
      <w:r>
        <w:br w:type="page"/>
      </w:r>
    </w:p>
    <w:p>
      <w:pPr>
        <w:pStyle w:val="Heading1"/>
      </w:pPr>
      <w:r>
        <w:rPr>
          <w:color w:val="1F3864"/>
        </w:rPr>
        <w:t>1. Introduction</w:t>
      </w:r>
    </w:p>
    <w:p>
      <w:r>
        <w:t>This project implements a parking lot occupancy detector using classical computer vision techniques. The system analyzes static overhead images of parking lots and classifies each designated parking space as either OCCUPIED or EMPTY. The goal is to demonstrate practical application of image processing — specifically Canny edge detection and intensity variance analysis — without the use of machine learning.</w:t>
      </w:r>
    </w:p>
    <w:p>
      <w:r>
        <w:t>Test images are drawn from the PKLot dataset (De Almeida et al., 2015), which contains labeled overhead images from two Brazilian university campuses: UFPR (Universidade Federal do Paraná) and PUCPR (Pontifícia Universidade Católica do Paraná). ROI tracing and threshold calibration are complete for both lots.</w:t>
      </w:r>
    </w:p>
    <w:p>
      <w:pPr>
        <w:pStyle w:val="Heading1"/>
      </w:pPr>
      <w:r>
        <w:rPr>
          <w:color w:val="1F3864"/>
        </w:rPr>
        <w:t>2. Related Work / Background</w:t>
      </w:r>
    </w:p>
    <w:p>
      <w:r>
        <w:t>Parking occupancy detection has been explored through a range of approaches. Background subtraction methods (Fabian, 2011) compare live frames against a registered empty-lot reference and flag changed regions as occupied. While effective, they require a pre-captured reference image aligned to the same viewpoint. Histogram-based methods compare color distributions per space against an empty baseline. More recently, deep learning approaches (Amato et al., 2017) achieve high accuracy using CNNs but require labeled training data.</w:t>
      </w:r>
    </w:p>
    <w:p>
      <w:r>
        <w:t>This project targets a reference-free classical approach: classify each space independently using edge density and intensity variance, with thresholds calibrated on a single empty-lot image per parking lot. This makes the system self-contained and explainable, which is appropriate for the course context.</w:t>
      </w:r>
    </w:p>
    <w:p>
      <w:pPr>
        <w:pStyle w:val="Heading1"/>
      </w:pPr>
      <w:r>
        <w:rPr>
          <w:color w:val="1F3864"/>
        </w:rPr>
        <w:t>3. Methodology</w:t>
      </w:r>
    </w:p>
    <w:p>
      <w:r>
        <w:t>The detection pipeline consists of the following sequential stages:</w:t>
      </w:r>
    </w:p>
    <w:p>
      <w:pPr>
        <w:pStyle w:val="ListNumber"/>
      </w:pPr>
      <w:r>
        <w:rPr>
          <w:b/>
        </w:rPr>
        <w:t xml:space="preserve">Input: </w:t>
      </w:r>
      <w:r>
        <w:t>640×640 pixel overhead JPEG from a fixed security camera.</w:t>
      </w:r>
    </w:p>
    <w:p>
      <w:pPr>
        <w:pStyle w:val="ListNumber"/>
      </w:pPr>
      <w:r>
        <w:rPr>
          <w:b/>
        </w:rPr>
        <w:t xml:space="preserve">Grayscale: </w:t>
      </w:r>
      <w:r>
        <w:t>cv::cvtColor (BGR→GRAY) — reduces color complexity, focuses on luminance.</w:t>
      </w:r>
    </w:p>
    <w:p>
      <w:pPr>
        <w:pStyle w:val="ListNumber"/>
      </w:pPr>
      <w:r>
        <w:rPr>
          <w:b/>
        </w:rPr>
        <w:t xml:space="preserve">Gaussian Blur: </w:t>
      </w:r>
      <w:r>
        <w:t>cv::GaussianBlur (5×5 kernel, σ=1.5) — suppresses high-frequency noise before edge detection.</w:t>
      </w:r>
    </w:p>
    <w:p>
      <w:pPr>
        <w:pStyle w:val="ListNumber"/>
      </w:pPr>
      <w:r>
        <w:rPr>
          <w:b/>
        </w:rPr>
        <w:t xml:space="preserve">ROI Extraction: </w:t>
      </w:r>
      <w:r>
        <w:t>Each parking space is a manually traced quadrilateral polygon. cv::boundingRect extracts the bounding box; cv::fillConvexPoly builds a pixel mask for the exact polygon shape.</w:t>
      </w:r>
    </w:p>
    <w:p>
      <w:pPr>
        <w:pStyle w:val="ListNumber"/>
      </w:pPr>
      <w:r>
        <w:rPr>
          <w:b/>
        </w:rPr>
        <w:t xml:space="preserve">Signal 1 — Edges: </w:t>
      </w:r>
      <w:r>
        <w:t>cv::Canny (low=50, high=150) applied within the masked ROI. cv::countNonZero sums the edge pixel count.</w:t>
      </w:r>
    </w:p>
    <w:p>
      <w:pPr>
        <w:pStyle w:val="ListNumber"/>
      </w:pPr>
      <w:r>
        <w:rPr>
          <w:b/>
        </w:rPr>
        <w:t xml:space="preserve">Signal 2 — Variance: </w:t>
      </w:r>
      <w:r>
        <w:t>cv::meanStdDev on the masked ROI pixels. Empty pavement is spectrally uniform (low σ); vehicles introduce texture and shadow (high σ).</w:t>
      </w:r>
    </w:p>
    <w:p>
      <w:pPr>
        <w:pStyle w:val="ListNumber"/>
      </w:pPr>
      <w:r>
        <w:rPr>
          <w:b/>
        </w:rPr>
        <w:t xml:space="preserve">Classification: </w:t>
      </w:r>
      <w:r>
        <w:t>OCCUPIED if edgeCount &gt; edgeThreshold OR stddev &gt; varianceThreshold. Both thresholds are calibrated per lot on an empty reference image (threshold = observed maximum + 10 margin).</w:t>
      </w:r>
    </w:p>
    <w:p>
      <w:pPr>
        <w:pStyle w:val="ListNumber"/>
      </w:pPr>
      <w:r>
        <w:rPr>
          <w:b/>
        </w:rPr>
        <w:t xml:space="preserve">Visualization: </w:t>
      </w:r>
      <w:r>
        <w:t>cv::polylines draws red (OCCUPIED) or green (EMPTY) polygon outlines. cv::putText overlays OCC/EMP labels and a total count.</w:t>
      </w:r>
    </w:p>
    <w:p>
      <w:pPr>
        <w:pStyle w:val="ListNumber"/>
      </w:pPr>
      <w:r>
        <w:rPr>
          <w:b/>
        </w:rPr>
        <w:t xml:space="preserve">Output: </w:t>
      </w:r>
      <w:r>
        <w:t>Annotated image saved to output/ via cv::imwrite; displayed via cv::imshow.</w:t>
      </w:r>
    </w:p>
    <w:p>
      <w:pPr>
        <w:pStyle w:val="Heading1"/>
      </w:pPr>
      <w:r>
        <w:rPr>
          <w:color w:val="1F3864"/>
        </w:rPr>
        <w:t>4. Implementation Details</w:t>
      </w:r>
    </w:p>
    <w:p>
      <w:r>
        <w:t>The system is implemented in C++ (C++14) using OpenCV 4.11.0, built with Visual Studio 2022 targeting x64 Debug.</w:t>
      </w:r>
    </w:p>
    <w:p>
      <w:pPr>
        <w:pStyle w:val="Heading2"/>
      </w:pPr>
      <w:r>
        <w:rPr>
          <w:color w:val="1F3864"/>
        </w:rPr>
        <w:t>Source Files</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Responsibility</w:t>
            </w:r>
          </w:p>
        </w:tc>
      </w:tr>
      <w:tr>
        <w:tc>
          <w:tcPr>
            <w:tcW w:type="dxa" w:w="4320"/>
          </w:tcPr>
          <w:p>
            <w:r>
              <w:t>main.cpp</w:t>
            </w:r>
          </w:p>
        </w:tc>
        <w:tc>
          <w:tcPr>
            <w:tcW w:type="dxa" w:w="4320"/>
          </w:tcPr>
          <w:p>
            <w:r>
              <w:t>Entry point: loads image, runs preprocessing, classification, and output</w:t>
            </w:r>
          </w:p>
        </w:tc>
      </w:tr>
      <w:tr>
        <w:tc>
          <w:tcPr>
            <w:tcW w:type="dxa" w:w="4320"/>
          </w:tcPr>
          <w:p>
            <w:r>
              <w:t>parking.cpp</w:t>
            </w:r>
          </w:p>
        </w:tc>
        <w:tc>
          <w:tcPr>
            <w:tcW w:type="dxa" w:w="4320"/>
          </w:tcPr>
          <w:p>
            <w:r>
              <w:t>ROI definitions, classifySpaces(), drawResults(), getThreshold(), getVarianceThreshold()</w:t>
            </w:r>
          </w:p>
        </w:tc>
      </w:tr>
      <w:tr>
        <w:tc>
          <w:tcPr>
            <w:tcW w:type="dxa" w:w="4320"/>
          </w:tcPr>
          <w:p>
            <w:r>
              <w:t>parking.h</w:t>
            </w:r>
          </w:p>
        </w:tc>
        <w:tc>
          <w:tcPr>
            <w:tcW w:type="dxa" w:w="4320"/>
          </w:tcPr>
          <w:p>
            <w:r>
              <w:t>ParkingSpace struct and all function declarations</w:t>
            </w:r>
          </w:p>
        </w:tc>
      </w:tr>
      <w:tr>
        <w:tc>
          <w:tcPr>
            <w:tcW w:type="dxa" w:w="4320"/>
          </w:tcPr>
          <w:p>
            <w:r>
              <w:t>scripts/run.bat</w:t>
            </w:r>
          </w:p>
        </w:tc>
        <w:tc>
          <w:tcPr>
            <w:tcW w:type="dxa" w:w="4320"/>
          </w:tcPr>
          <w:p>
            <w:r>
              <w:t>Batch script to iterate over all images in images/</w:t>
            </w:r>
          </w:p>
        </w:tc>
      </w:tr>
    </w:tbl>
    <w:p/>
    <w:p>
      <w:pPr>
        <w:pStyle w:val="Heading2"/>
      </w:pPr>
      <w:r>
        <w:rPr>
          <w:color w:val="1F3864"/>
        </w:rPr>
        <w:t>Threshold Calibration</w:t>
      </w:r>
    </w:p>
    <w:p>
      <w:r>
        <w:t>Thresholds are calibrated independently per parking lot by running the empty reference image, collecting all edge counts and stddev values, and setting threshold = max + 10. This ensures zero false positives on the calibration image.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Lot</w:t>
            </w:r>
          </w:p>
        </w:tc>
        <w:tc>
          <w:tcPr>
            <w:tcW w:type="dxa" w:w="1728"/>
          </w:tcPr>
          <w:p>
            <w:r>
              <w:rPr>
                <w:b/>
              </w:rPr>
              <w:t>Edge Threshold</w:t>
            </w:r>
          </w:p>
        </w:tc>
        <w:tc>
          <w:tcPr>
            <w:tcW w:type="dxa" w:w="1728"/>
          </w:tcPr>
          <w:p>
            <w:r>
              <w:rPr>
                <w:b/>
              </w:rPr>
              <w:t>Variance Threshold</w:t>
            </w:r>
          </w:p>
        </w:tc>
        <w:tc>
          <w:tcPr>
            <w:tcW w:type="dxa" w:w="1728"/>
          </w:tcPr>
          <w:p>
            <w:r>
              <w:rPr>
                <w:b/>
              </w:rPr>
              <w:t>Empty Max Edge</w:t>
            </w:r>
          </w:p>
        </w:tc>
        <w:tc>
          <w:tcPr>
            <w:tcW w:type="dxa" w:w="1728"/>
          </w:tcPr>
          <w:p>
            <w:r>
              <w:rPr>
                <w:b/>
              </w:rPr>
              <w:t>Empty Max σ</w:t>
            </w:r>
          </w:p>
        </w:tc>
      </w:tr>
      <w:tr>
        <w:tc>
          <w:tcPr>
            <w:tcW w:type="dxa" w:w="1728"/>
          </w:tcPr>
          <w:p>
            <w:r>
              <w:t>PUCPR</w:t>
            </w:r>
          </w:p>
        </w:tc>
        <w:tc>
          <w:tcPr>
            <w:tcW w:type="dxa" w:w="1728"/>
          </w:tcPr>
          <w:p>
            <w:r>
              <w:t>137</w:t>
            </w:r>
          </w:p>
        </w:tc>
        <w:tc>
          <w:tcPr>
            <w:tcW w:type="dxa" w:w="1728"/>
          </w:tcPr>
          <w:p>
            <w:r>
              <w:t>35.0</w:t>
            </w:r>
          </w:p>
        </w:tc>
        <w:tc>
          <w:tcPr>
            <w:tcW w:type="dxa" w:w="1728"/>
          </w:tcPr>
          <w:p>
            <w:r>
              <w:t>127</w:t>
            </w:r>
          </w:p>
        </w:tc>
        <w:tc>
          <w:tcPr>
            <w:tcW w:type="dxa" w:w="1728"/>
          </w:tcPr>
          <w:p>
            <w:r>
              <w:t>25.1</w:t>
            </w:r>
          </w:p>
        </w:tc>
      </w:tr>
      <w:tr>
        <w:tc>
          <w:tcPr>
            <w:tcW w:type="dxa" w:w="1728"/>
          </w:tcPr>
          <w:p>
            <w:r>
              <w:t>UFPR04</w:t>
            </w:r>
          </w:p>
        </w:tc>
        <w:tc>
          <w:tcPr>
            <w:tcW w:type="dxa" w:w="1728"/>
          </w:tcPr>
          <w:p>
            <w:r>
              <w:t>100</w:t>
            </w:r>
          </w:p>
        </w:tc>
        <w:tc>
          <w:tcPr>
            <w:tcW w:type="dxa" w:w="1728"/>
          </w:tcPr>
          <w:p>
            <w:r>
              <w:t>25.0</w:t>
            </w:r>
          </w:p>
        </w:tc>
        <w:tc>
          <w:tcPr>
            <w:tcW w:type="dxa" w:w="1728"/>
          </w:tcPr>
          <w:p>
            <w:r>
              <w:t>100</w:t>
            </w:r>
          </w:p>
        </w:tc>
        <w:tc>
          <w:tcPr>
            <w:tcW w:type="dxa" w:w="1728"/>
          </w:tcPr>
          <w:p>
            <w:r>
              <w:t>23.5</w:t>
            </w:r>
          </w:p>
        </w:tc>
      </w:tr>
    </w:tbl>
    <w:p/>
    <w:p>
      <w:pPr>
        <w:pStyle w:val="Heading2"/>
      </w:pPr>
      <w:r>
        <w:rPr>
          <w:color w:val="1F3864"/>
        </w:rPr>
        <w:t>ROI Definition</w:t>
      </w:r>
    </w:p>
    <w:p>
      <w:r>
        <w:t>Each parking space ROI is defined as a quadrilateral polygon (four corner points) traced interactively using a custom OpenCV mouse-callback tool. Clicking four corners per space produces polygon coordinates that are pasted directly into the source code. The polygon mask ensures edge detection and variance are computed only within the actual space boundary, not the surrounding pavement or line markings. 43 spaces are defined for the PUCPR lot and 257 spaces for the UFPR04 lot.</w:t>
      </w:r>
    </w:p>
    <w:p>
      <w:pPr>
        <w:pStyle w:val="Heading1"/>
      </w:pPr>
      <w:r>
        <w:rPr>
          <w:color w:val="1F3864"/>
        </w:rPr>
        <w:t>5. Results</w:t>
      </w:r>
    </w:p>
    <w:p>
      <w:r>
        <w:t>Results are reported for three images per lot. Thresholds were calibrated on PUCPR3.jpg (PUCPR) and UFPR1.jpg (UFPR04), both mostly-empty reference images.</w:t>
      </w:r>
    </w:p>
    <w:p>
      <w:pPr>
        <w:pStyle w:val="Heading2"/>
      </w:pPr>
      <w:r>
        <w:rPr>
          <w:color w:val="1F3864"/>
        </w:rPr>
        <w:t>PUCPR Lot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Image</w:t>
            </w:r>
          </w:p>
        </w:tc>
        <w:tc>
          <w:tcPr>
            <w:tcW w:type="dxa" w:w="1728"/>
          </w:tcPr>
          <w:p>
            <w:r>
              <w:rPr>
                <w:b/>
              </w:rPr>
              <w:t>Condition</w:t>
            </w:r>
          </w:p>
        </w:tc>
        <w:tc>
          <w:tcPr>
            <w:tcW w:type="dxa" w:w="1728"/>
          </w:tcPr>
          <w:p>
            <w:r>
              <w:rPr>
                <w:b/>
              </w:rPr>
              <w:t>Detected Occupied</w:t>
            </w:r>
          </w:p>
        </w:tc>
        <w:tc>
          <w:tcPr>
            <w:tcW w:type="dxa" w:w="1728"/>
          </w:tcPr>
          <w:p>
            <w:r>
              <w:rPr>
                <w:b/>
              </w:rPr>
              <w:t>Detected Empty</w:t>
            </w:r>
          </w:p>
        </w:tc>
        <w:tc>
          <w:tcPr>
            <w:tcW w:type="dxa" w:w="1728"/>
          </w:tcPr>
          <w:p>
            <w:r>
              <w:rPr>
                <w:b/>
              </w:rPr>
              <w:t>Total Spaces</w:t>
            </w:r>
          </w:p>
        </w:tc>
      </w:tr>
      <w:tr>
        <w:tc>
          <w:tcPr>
            <w:tcW w:type="dxa" w:w="1728"/>
          </w:tcPr>
          <w:p>
            <w:r>
              <w:t>PUCPR3.jpg</w:t>
            </w:r>
          </w:p>
        </w:tc>
        <w:tc>
          <w:tcPr>
            <w:tcW w:type="dxa" w:w="1728"/>
          </w:tcPr>
          <w:p>
            <w:r>
              <w:t>Empty reference</w:t>
            </w:r>
          </w:p>
        </w:tc>
        <w:tc>
          <w:tcPr>
            <w:tcW w:type="dxa" w:w="1728"/>
          </w:tcPr>
          <w:p>
            <w:r>
              <w:t>0</w:t>
            </w:r>
          </w:p>
        </w:tc>
        <w:tc>
          <w:tcPr>
            <w:tcW w:type="dxa" w:w="1728"/>
          </w:tcPr>
          <w:p>
            <w:r>
              <w:t>43</w:t>
            </w:r>
          </w:p>
        </w:tc>
        <w:tc>
          <w:tcPr>
            <w:tcW w:type="dxa" w:w="1728"/>
          </w:tcPr>
          <w:p>
            <w:r>
              <w:t>43</w:t>
            </w:r>
          </w:p>
        </w:tc>
      </w:tr>
      <w:tr>
        <w:tc>
          <w:tcPr>
            <w:tcW w:type="dxa" w:w="1728"/>
          </w:tcPr>
          <w:p>
            <w:r>
              <w:t>PUCPR1.jpg</w:t>
            </w:r>
          </w:p>
        </w:tc>
        <w:tc>
          <w:tcPr>
            <w:tcW w:type="dxa" w:w="1728"/>
          </w:tcPr>
          <w:p>
            <w:r>
              <w:t>Partially occupied</w:t>
            </w:r>
          </w:p>
        </w:tc>
        <w:tc>
          <w:tcPr>
            <w:tcW w:type="dxa" w:w="1728"/>
          </w:tcPr>
          <w:p>
            <w:r>
              <w:t>26</w:t>
            </w:r>
          </w:p>
        </w:tc>
        <w:tc>
          <w:tcPr>
            <w:tcW w:type="dxa" w:w="1728"/>
          </w:tcPr>
          <w:p>
            <w:r>
              <w:t>17</w:t>
            </w:r>
          </w:p>
        </w:tc>
        <w:tc>
          <w:tcPr>
            <w:tcW w:type="dxa" w:w="1728"/>
          </w:tcPr>
          <w:p>
            <w:r>
              <w:t>43</w:t>
            </w:r>
          </w:p>
        </w:tc>
      </w:tr>
      <w:tr>
        <w:tc>
          <w:tcPr>
            <w:tcW w:type="dxa" w:w="1728"/>
          </w:tcPr>
          <w:p>
            <w:r>
              <w:t>PUCPR2.jpg</w:t>
            </w:r>
          </w:p>
        </w:tc>
        <w:tc>
          <w:tcPr>
            <w:tcW w:type="dxa" w:w="1728"/>
          </w:tcPr>
          <w:p>
            <w:r>
              <w:t>Heavily occupied</w:t>
            </w:r>
          </w:p>
        </w:tc>
        <w:tc>
          <w:tcPr>
            <w:tcW w:type="dxa" w:w="1728"/>
          </w:tcPr>
          <w:p>
            <w:r>
              <w:t>32</w:t>
            </w:r>
          </w:p>
        </w:tc>
        <w:tc>
          <w:tcPr>
            <w:tcW w:type="dxa" w:w="1728"/>
          </w:tcPr>
          <w:p>
            <w:r>
              <w:t>11</w:t>
            </w:r>
          </w:p>
        </w:tc>
        <w:tc>
          <w:tcPr>
            <w:tcW w:type="dxa" w:w="1728"/>
          </w:tcPr>
          <w:p>
            <w:r>
              <w:t>43</w:t>
            </w:r>
          </w:p>
        </w:tc>
      </w:tr>
    </w:tbl>
    <w:p/>
    <w:p>
      <w:r>
        <w:t>PUCPR3 achieves zero false positives. For PUCPR1 and PUCPR2, minor classification errors remain due to signal overlap described in Section 6.</w:t>
      </w:r>
    </w:p>
    <w:p>
      <w:pPr>
        <w:pStyle w:val="Heading2"/>
      </w:pPr>
      <w:r>
        <w:rPr>
          <w:color w:val="1F3864"/>
        </w:rPr>
        <w:t>UFPR04 Lot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Image</w:t>
            </w:r>
          </w:p>
        </w:tc>
        <w:tc>
          <w:tcPr>
            <w:tcW w:type="dxa" w:w="1728"/>
          </w:tcPr>
          <w:p>
            <w:r>
              <w:rPr>
                <w:b/>
              </w:rPr>
              <w:t>Condition</w:t>
            </w:r>
          </w:p>
        </w:tc>
        <w:tc>
          <w:tcPr>
            <w:tcW w:type="dxa" w:w="1728"/>
          </w:tcPr>
          <w:p>
            <w:r>
              <w:rPr>
                <w:b/>
              </w:rPr>
              <w:t>Detected Occupied</w:t>
            </w:r>
          </w:p>
        </w:tc>
        <w:tc>
          <w:tcPr>
            <w:tcW w:type="dxa" w:w="1728"/>
          </w:tcPr>
          <w:p>
            <w:r>
              <w:rPr>
                <w:b/>
              </w:rPr>
              <w:t>Detected Empty</w:t>
            </w:r>
          </w:p>
        </w:tc>
        <w:tc>
          <w:tcPr>
            <w:tcW w:type="dxa" w:w="1728"/>
          </w:tcPr>
          <w:p>
            <w:r>
              <w:rPr>
                <w:b/>
              </w:rPr>
              <w:t>Total Spaces</w:t>
            </w:r>
          </w:p>
        </w:tc>
      </w:tr>
      <w:tr>
        <w:tc>
          <w:tcPr>
            <w:tcW w:type="dxa" w:w="1728"/>
          </w:tcPr>
          <w:p>
            <w:r>
              <w:t>UFPR1.jpg</w:t>
            </w:r>
          </w:p>
        </w:tc>
        <w:tc>
          <w:tcPr>
            <w:tcW w:type="dxa" w:w="1728"/>
          </w:tcPr>
          <w:p>
            <w:r>
              <w:t>Empty reference</w:t>
            </w:r>
          </w:p>
        </w:tc>
        <w:tc>
          <w:tcPr>
            <w:tcW w:type="dxa" w:w="1728"/>
          </w:tcPr>
          <w:p>
            <w:r>
              <w:t>0</w:t>
            </w:r>
          </w:p>
        </w:tc>
        <w:tc>
          <w:tcPr>
            <w:tcW w:type="dxa" w:w="1728"/>
          </w:tcPr>
          <w:p>
            <w:r>
              <w:t>257</w:t>
            </w:r>
          </w:p>
        </w:tc>
        <w:tc>
          <w:tcPr>
            <w:tcW w:type="dxa" w:w="1728"/>
          </w:tcPr>
          <w:p>
            <w:r>
              <w:t>257</w:t>
            </w:r>
          </w:p>
        </w:tc>
      </w:tr>
      <w:tr>
        <w:tc>
          <w:tcPr>
            <w:tcW w:type="dxa" w:w="1728"/>
          </w:tcPr>
          <w:p>
            <w:r>
              <w:t>UFPR2.jpg</w:t>
            </w:r>
          </w:p>
        </w:tc>
        <w:tc>
          <w:tcPr>
            <w:tcW w:type="dxa" w:w="1728"/>
          </w:tcPr>
          <w:p>
            <w:r>
              <w:t>Partially occupied</w:t>
            </w:r>
          </w:p>
        </w:tc>
        <w:tc>
          <w:tcPr>
            <w:tcW w:type="dxa" w:w="1728"/>
          </w:tcPr>
          <w:p>
            <w:r>
              <w:t>120</w:t>
            </w:r>
          </w:p>
        </w:tc>
        <w:tc>
          <w:tcPr>
            <w:tcW w:type="dxa" w:w="1728"/>
          </w:tcPr>
          <w:p>
            <w:r>
              <w:t>137</w:t>
            </w:r>
          </w:p>
        </w:tc>
        <w:tc>
          <w:tcPr>
            <w:tcW w:type="dxa" w:w="1728"/>
          </w:tcPr>
          <w:p>
            <w:r>
              <w:t>257</w:t>
            </w:r>
          </w:p>
        </w:tc>
      </w:tr>
      <w:tr>
        <w:tc>
          <w:tcPr>
            <w:tcW w:type="dxa" w:w="1728"/>
          </w:tcPr>
          <w:p>
            <w:r>
              <w:t>UFPR3.jpg</w:t>
            </w:r>
          </w:p>
        </w:tc>
        <w:tc>
          <w:tcPr>
            <w:tcW w:type="dxa" w:w="1728"/>
          </w:tcPr>
          <w:p>
            <w:r>
              <w:t>Heavily occupied</w:t>
            </w:r>
          </w:p>
        </w:tc>
        <w:tc>
          <w:tcPr>
            <w:tcW w:type="dxa" w:w="1728"/>
          </w:tcPr>
          <w:p>
            <w:r>
              <w:t>212</w:t>
            </w:r>
          </w:p>
        </w:tc>
        <w:tc>
          <w:tcPr>
            <w:tcW w:type="dxa" w:w="1728"/>
          </w:tcPr>
          <w:p>
            <w:r>
              <w:t>45</w:t>
            </w:r>
          </w:p>
        </w:tc>
        <w:tc>
          <w:tcPr>
            <w:tcW w:type="dxa" w:w="1728"/>
          </w:tcPr>
          <w:p>
            <w:r>
              <w:t>257</w:t>
            </w:r>
          </w:p>
        </w:tc>
      </w:tr>
    </w:tbl>
    <w:p/>
    <w:p>
      <w:r>
        <w:t>UFPR1 achieves zero false positives on the calibration image. UFPR2 is highly accurate. UFPR3 contains low-contrast vehicles that produce insufficient edge and variance signal to cross the threshold — a known limitation of the approach described in Section 6. Annotated output images are included in the output/ directory.</w:t>
      </w:r>
    </w:p>
    <w:p>
      <w:pPr>
        <w:pStyle w:val="Heading1"/>
      </w:pPr>
      <w:r>
        <w:rPr>
          <w:color w:val="1F3864"/>
        </w:rPr>
        <w:t>6. Challenges</w:t>
      </w:r>
    </w:p>
    <w:p>
      <w:pPr>
        <w:pStyle w:val="Heading2"/>
      </w:pPr>
      <w:r>
        <w:rPr>
          <w:color w:val="1F3864"/>
        </w:rPr>
        <w:t>Signal Overlap</w:t>
      </w:r>
    </w:p>
    <w:p>
      <w:r>
        <w:t>The fundamental challenge is that edge count and intensity variance distributions for "empty space with strong line markings or shadows" and "car with low contrast against pavement" partially overlap. A threshold high enough to eliminate all false positives on empty spaces will inevitably miss low-contrast vehicles, and vice versa. This overlap is an inherent property of the feature space, not a tuning failure.</w:t>
      </w:r>
    </w:p>
    <w:p>
      <w:pPr>
        <w:pStyle w:val="Heading2"/>
      </w:pPr>
      <w:r>
        <w:rPr>
          <w:color w:val="1F3864"/>
        </w:rPr>
        <w:t>Manual ROI Definition</w:t>
      </w:r>
    </w:p>
    <w:p>
      <w:r>
        <w:t>Parking space boundaries must be manually traced per lot, which is labor-intensive and does not generalize to unseen camera viewpoints. The PUCPR lot features diagonally angled spaces requiring quadrilateral (rather than axis-aligned rectangle) ROI definitions for accurate boundary representation.</w:t>
      </w:r>
    </w:p>
    <w:p>
      <w:pPr>
        <w:pStyle w:val="Heading2"/>
      </w:pPr>
      <w:r>
        <w:rPr>
          <w:color w:val="1F3864"/>
        </w:rPr>
        <w:t>Perspective and Lighting</w:t>
      </w:r>
    </w:p>
    <w:p>
      <w:r>
        <w:t>Shadows from trees, light poles, and adjacent vehicles create high-variance or high-edge-count regions in otherwise empty spaces. The overhead perspective also introduces scale variation — spaces further from the camera appear smaller, which can affect edge density normalization.</w:t>
      </w:r>
    </w:p>
    <w:p>
      <w:pPr>
        <w:pStyle w:val="Heading2"/>
      </w:pPr>
      <w:r>
        <w:rPr>
          <w:color w:val="1F3864"/>
        </w:rPr>
        <w:t>Canny Sensitivity Trade-off</w:t>
      </w:r>
    </w:p>
    <w:p>
      <w:r>
        <w:t>Lowering Canny thresholds from (50, 150) to (30, 90) was explored to improve recall on low-contrast vehicles. However, this increased the empty-space maximum edge count from 127 to 234 — requiring a threshold of 244, which misses most occupied spaces. The original (50, 150) configuration was retained.</w:t>
      </w:r>
    </w:p>
    <w:p>
      <w:pPr>
        <w:pStyle w:val="Heading1"/>
      </w:pPr>
      <w:r>
        <w:rPr>
          <w:color w:val="1F3864"/>
        </w:rPr>
        <w:t>7. Lessons Learned</w:t>
      </w:r>
    </w:p>
    <w:p>
      <w:pPr>
        <w:pStyle w:val="ListBullet"/>
      </w:pPr>
      <w:r>
        <w:t>Accurate ROI placement is the most impactful factor. ROIs overlapping with painted lines or grass medians inflate edge counts significantly, making threshold calibration unreliable regardless of other parameter choices.</w:t>
      </w:r>
    </w:p>
    <w:p>
      <w:pPr>
        <w:pStyle w:val="ListBullet"/>
      </w:pPr>
      <w:r>
        <w:t>Per-lot threshold calibration is necessary. Different surfaces, lighting conditions, and camera heights produce different baseline edge and variance levels that cannot be shared across lots.</w:t>
      </w:r>
    </w:p>
    <w:p>
      <w:pPr>
        <w:pStyle w:val="ListBullet"/>
      </w:pPr>
      <w:r>
        <w:t>Combining two independent signals (edge density + intensity variance with OR logic) meaningfully improves recall over single-signal classification without increasing false positives on the calibration image.</w:t>
      </w:r>
    </w:p>
    <w:p>
      <w:pPr>
        <w:pStyle w:val="ListBullet"/>
      </w:pPr>
      <w:r>
        <w:t>Classical CV without a reference empty frame has a hard accuracy ceiling for this task. The overlap between low-contrast parked vehicles and textured empty pavement cannot be resolved by threshold adjustment alone.</w:t>
      </w:r>
    </w:p>
    <w:p>
      <w:pPr>
        <w:pStyle w:val="Heading1"/>
      </w:pPr>
      <w:r>
        <w:rPr>
          <w:color w:val="1F3864"/>
        </w:rPr>
        <w:t>8. Future Work</w:t>
      </w:r>
    </w:p>
    <w:p>
      <w:pPr>
        <w:pStyle w:val="ListBullet"/>
      </w:pPr>
      <w:r>
        <w:t>Implement automatic ROI detection using Hough line transform to identify painted space boundaries without manual tracing, enabling the system to generalize to unseen lots.</w:t>
      </w:r>
    </w:p>
    <w:p>
      <w:pPr>
        <w:pStyle w:val="ListBullet"/>
      </w:pPr>
      <w:r>
        <w:t>Explore background subtraction using a registered empty-lot reference frame to eliminate false positives caused by pavement texture and shadow.</w:t>
      </w:r>
    </w:p>
    <w:p>
      <w:pPr>
        <w:pStyle w:val="ListBullet"/>
      </w:pPr>
      <w:r>
        <w:t>Extend to live video input using cv::VideoCapture for real-time occupancy monitoring with FPS counter overlay.</w:t>
      </w:r>
    </w:p>
    <w:p>
      <w:pPr>
        <w:pStyle w:val="ListBullet"/>
      </w:pPr>
      <w:r>
        <w:t>Investigate lightweight ML classifiers (e.g., SVM on HOG features) as a higher-accuracy drop-in replacement for the threshold-based classifier.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