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b/>
          <w:color w:val="17345C"/>
          <w:sz w:val="52"/>
        </w:rPr>
        <w:t>PCF GLB VIEWERS AND CONVERTER</w:t>
      </w:r>
    </w:p>
    <w:p>
      <w:pPr>
        <w:jc w:val="center"/>
      </w:pPr>
      <w:r>
        <w:rPr>
          <w:b/>
          <w:color w:val="2B5F97"/>
          <w:sz w:val="36"/>
        </w:rPr>
        <w:t>Core Specification Master</w:t>
      </w:r>
    </w:p>
    <w:p>
      <w:pPr>
        <w:jc w:val="center"/>
      </w:pPr>
      <w:r>
        <w:rPr>
          <w:color w:val="4B5563"/>
          <w:sz w:val="22"/>
        </w:rPr>
        <w:t>Repository-derived architectural specification based on the supplied source snapshot</w:t>
      </w:r>
    </w:p>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2381"/>
            <w:shd w:fill="EAF2FA"/>
          </w:tcPr>
          <w:p>
            <w:r>
              <w:rPr>
                <w:b/>
                <w:color w:val="17345C"/>
              </w:rPr>
              <w:t>Field</w:t>
            </w:r>
          </w:p>
        </w:tc>
        <w:tc>
          <w:tcPr>
            <w:tcW w:type="dxa" w:w="6406"/>
            <w:shd w:fill="EAF2FA"/>
          </w:tcPr>
          <w:p>
            <w:r>
              <w:rPr>
                <w:b/>
                <w:color w:val="17345C"/>
              </w:rPr>
              <w:t>Value</w:t>
            </w:r>
          </w:p>
        </w:tc>
      </w:tr>
      <w:tr>
        <w:tc>
          <w:tcPr>
            <w:tcW w:type="dxa" w:w="2381"/>
            <w:vAlign w:val="center"/>
          </w:tcPr>
          <w:p>
            <w:r>
              <w:t>Project</w:t>
            </w:r>
          </w:p>
        </w:tc>
        <w:tc>
          <w:tcPr>
            <w:tcW w:type="dxa" w:w="6406"/>
            <w:vAlign w:val="center"/>
          </w:tcPr>
          <w:p>
            <w:r>
              <w:t>GLB Viewers and PCF GLB converter</w:t>
            </w:r>
          </w:p>
        </w:tc>
      </w:tr>
      <w:tr>
        <w:tc>
          <w:tcPr>
            <w:tcW w:type="dxa" w:w="2381"/>
            <w:vAlign w:val="center"/>
          </w:tcPr>
          <w:p>
            <w:r>
              <w:t>Document purpose</w:t>
            </w:r>
          </w:p>
        </w:tc>
        <w:tc>
          <w:tcPr>
            <w:tcW w:type="dxa" w:w="6406"/>
            <w:vAlign w:val="center"/>
          </w:tcPr>
          <w:p>
            <w:r>
              <w:t>Master specification to govern architecture, module boundaries, data contracts, and future enhancements across the full project.</w:t>
            </w:r>
          </w:p>
        </w:tc>
      </w:tr>
      <w:tr>
        <w:tc>
          <w:tcPr>
            <w:tcW w:type="dxa" w:w="2381"/>
            <w:vAlign w:val="center"/>
          </w:tcPr>
          <w:p>
            <w:r>
              <w:t>Source basis</w:t>
            </w:r>
          </w:p>
        </w:tc>
        <w:tc>
          <w:tcPr>
            <w:tcW w:type="dxa" w:w="6406"/>
            <w:vAlign w:val="center"/>
          </w:tcPr>
          <w:p>
            <w:r>
              <w:t>Repository snapshot from `GLB_Viewers_and_PCF_GLB_converter.zip` reviewed directly from source code.</w:t>
            </w:r>
          </w:p>
        </w:tc>
      </w:tr>
      <w:tr>
        <w:tc>
          <w:tcPr>
            <w:tcW w:type="dxa" w:w="2381"/>
            <w:vAlign w:val="center"/>
          </w:tcPr>
          <w:p>
            <w:r>
              <w:t>Document stance</w:t>
            </w:r>
          </w:p>
        </w:tc>
        <w:tc>
          <w:tcPr>
            <w:tcW w:type="dxa" w:w="6406"/>
            <w:vAlign w:val="center"/>
          </w:tcPr>
          <w:p>
            <w:r>
              <w:t>Describes both the implemented current state and the intended governing rules that future work should follow.</w:t>
            </w:r>
          </w:p>
        </w:tc>
      </w:tr>
      <w:tr>
        <w:tc>
          <w:tcPr>
            <w:tcW w:type="dxa" w:w="2381"/>
            <w:vAlign w:val="center"/>
          </w:tcPr>
          <w:p>
            <w:r>
              <w:t>Revision date</w:t>
            </w:r>
          </w:p>
        </w:tc>
        <w:tc>
          <w:tcPr>
            <w:tcW w:type="dxa" w:w="6406"/>
            <w:vAlign w:val="center"/>
          </w:tcPr>
          <w:p>
            <w:r>
              <w:t>2026-04-21</w:t>
            </w:r>
          </w:p>
        </w:tc>
      </w:tr>
    </w:tbl>
    <w:p/>
    <w:p>
      <w:r>
        <w:drawing>
          <wp:inline xmlns:a="http://schemas.openxmlformats.org/drawingml/2006/main" xmlns:pic="http://schemas.openxmlformats.org/drawingml/2006/picture">
            <wp:extent cx="6048000" cy="3360000"/>
            <wp:docPr id="1" name="Picture 1"/>
            <wp:cNvGraphicFramePr>
              <a:graphicFrameLocks noChangeAspect="1"/>
            </wp:cNvGraphicFramePr>
            <a:graphic>
              <a:graphicData uri="http://schemas.openxmlformats.org/drawingml/2006/picture">
                <pic:pic>
                  <pic:nvPicPr>
                    <pic:cNvPr id="0" name="core_architecture_flow.png"/>
                    <pic:cNvPicPr/>
                  </pic:nvPicPr>
                  <pic:blipFill>
                    <a:blip r:embed="rId11"/>
                    <a:stretch>
                      <a:fillRect/>
                    </a:stretch>
                  </pic:blipFill>
                  <pic:spPr>
                    <a:xfrm>
                      <a:off x="0" y="0"/>
                      <a:ext cx="6048000" cy="3360000"/>
                    </a:xfrm>
                    <a:prstGeom prst="rect"/>
                  </pic:spPr>
                </pic:pic>
              </a:graphicData>
            </a:graphic>
          </wp:inline>
        </w:drawing>
      </w:r>
    </w:p>
    <w:p>
      <w:pPr>
        <w:jc w:val="center"/>
      </w:pPr>
      <w:r>
        <w:rPr>
          <w:i/>
          <w:color w:val="6B7280"/>
          <w:sz w:val="18"/>
        </w:rPr>
        <w:t>Figure 1. Canonical end-to-end architecture extracted from current source organization.</w:t>
      </w:r>
    </w:p>
    <w:p>
      <w:r>
        <w:br w:type="page"/>
      </w:r>
    </w:p>
    <w:p>
      <w:pPr>
        <w:pStyle w:val="Heading1"/>
        <w:spacing w:before="0" w:after="80"/>
      </w:pPr>
      <w:r>
        <w:rPr>
          <w:b w:val="0"/>
          <w:i w:val="0"/>
        </w:rPr>
        <w:t>1. Executive summary</w:t>
      </w:r>
    </w:p>
    <w:p>
      <w:pPr>
        <w:spacing w:before="0" w:after="80"/>
      </w:pPr>
      <w:r>
        <w:rPr>
          <w:b w:val="0"/>
          <w:i w:val="0"/>
        </w:rPr>
        <w:t>This repository is best understood as a browser-hosted engineering workbench rather than a single viewer. Its implemented center of gravity is a static web application that can parse piping data from multiple sources, normalize it into a canonical `.pcfx` representation, render and inspect that geometry in Three.js, and convert between PCF, PCFX, and GLB. In parallel, the repository contains advanced and editor-style GLB modules plus a dormant CAESAR/reporting subsystem that is not currently exposed in the main navigation.</w:t>
      </w:r>
    </w:p>
    <w:p>
      <w:pPr>
        <w:spacing w:before="0" w:after="80"/>
      </w:pPr>
      <w:r>
        <w:rPr>
          <w:b w:val="0"/>
          <w:i w:val="0"/>
        </w:rPr>
        <w:t>The most important architectural fact visible in the code is the emergence of PCFX as the canonical boundary object. The strongest long-term path for the project is therefore: source-specific parse and cleanup → canonical PCFX document → viewer/editor/export adapters. This document formalizes that rule and turns the source snapshot into a stable master specification for the whole codebase.</w:t>
      </w:r>
    </w:p>
    <w:tbl>
      <w:tblPr>
        <w:tblStyle w:val="TableGrid"/>
        <w:tblW w:type="auto" w:w="0"/>
        <w:jc w:val="center"/>
        <w:tblLook w:firstColumn="1" w:firstRow="1" w:lastColumn="0" w:lastRow="0" w:noHBand="0" w:noVBand="1" w:val="04A0"/>
        <w:tblBorders>
          <w:top w:val="single" w:sz="6" w:space="0" w:color="C7D8EA"/>
          <w:left w:val="single" w:sz="6" w:space="0" w:color="C7D8EA"/>
          <w:bottom w:val="single" w:sz="6" w:space="0" w:color="C7D8EA"/>
          <w:right w:val="single" w:sz="6" w:space="0" w:color="C7D8EA"/>
          <w:insideH w:val="single" w:sz="6" w:space="0" w:color="C7D8EA"/>
          <w:insideV w:val="single" w:sz="6" w:space="0" w:color="C7D8EA"/>
        </w:tblBorders>
      </w:tblPr>
      <w:tblGrid>
        <w:gridCol w:w="9752"/>
      </w:tblGrid>
      <w:tr>
        <w:tc>
          <w:tcPr>
            <w:tcW w:type="dxa" w:w="9752"/>
            <w:shd w:fill="F4F8FC"/>
          </w:tcPr>
          <w:p>
            <w:r>
              <w:rPr>
                <w:b/>
                <w:color w:val="17345C"/>
              </w:rPr>
              <w:t>Master direction</w:t>
            </w:r>
          </w:p>
          <w:p>
            <w:pPr>
              <w:spacing w:after="0"/>
            </w:pPr>
            <w:r>
              <w:t>Treat the current repository as one product family with multiple surfaces, but only one canonical engineering data core. PCFX is that core. Everything else—raw CAESAR imports, PCF text, viewer-component objects, and embedded GLB metadata—should be adapters around it.</w:t>
            </w:r>
          </w:p>
        </w:tc>
      </w:tr>
    </w:tbl>
    <w:p/>
    <w:p>
      <w:pPr>
        <w:pStyle w:val="Heading1"/>
        <w:spacing w:before="0" w:after="80"/>
      </w:pPr>
      <w:r>
        <w:rPr>
          <w:b w:val="0"/>
          <w:i w:val="0"/>
        </w:rPr>
        <w:t>2. Repository baseline and scope</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38"/>
        <w:gridCol w:w="2438"/>
        <w:gridCol w:w="2438"/>
        <w:gridCol w:w="2438"/>
      </w:tblGrid>
      <w:tr>
        <w:tc>
          <w:tcPr>
            <w:tcW w:type="dxa" w:w="1814"/>
            <w:shd w:fill="EAF2FA"/>
            <w:vAlign w:val="center"/>
          </w:tcPr>
          <w:p>
            <w:r>
              <w:rPr>
                <w:b/>
                <w:color w:val="17345C"/>
              </w:rPr>
              <w:t>Area</w:t>
            </w:r>
          </w:p>
        </w:tc>
        <w:tc>
          <w:tcPr>
            <w:tcW w:type="dxa" w:w="907"/>
            <w:shd w:fill="EAF2FA"/>
            <w:vAlign w:val="center"/>
          </w:tcPr>
          <w:p>
            <w:r>
              <w:rPr>
                <w:b/>
                <w:color w:val="17345C"/>
              </w:rPr>
              <w:t>Files</w:t>
            </w:r>
          </w:p>
        </w:tc>
        <w:tc>
          <w:tcPr>
            <w:tcW w:type="dxa" w:w="1361"/>
            <w:shd w:fill="EAF2FA"/>
            <w:vAlign w:val="center"/>
          </w:tcPr>
          <w:p>
            <w:r>
              <w:rPr>
                <w:b/>
                <w:color w:val="17345C"/>
              </w:rPr>
              <w:t>Approx. lines</w:t>
            </w:r>
          </w:p>
        </w:tc>
        <w:tc>
          <w:tcPr>
            <w:tcW w:type="dxa" w:w="5102"/>
            <w:shd w:fill="EAF2FA"/>
            <w:vAlign w:val="center"/>
          </w:tcPr>
          <w:p>
            <w:r>
              <w:rPr>
                <w:b/>
                <w:color w:val="17345C"/>
              </w:rPr>
              <w:t>Role in system</w:t>
            </w:r>
          </w:p>
        </w:tc>
      </w:tr>
      <w:tr>
        <w:tc>
          <w:tcPr>
            <w:tcW w:type="dxa" w:w="1814"/>
            <w:vAlign w:val="center"/>
          </w:tcPr>
          <w:p>
            <w:r>
              <w:t>viewer/core</w:t>
            </w:r>
          </w:p>
        </w:tc>
        <w:tc>
          <w:tcPr>
            <w:tcW w:type="dxa" w:w="907"/>
            <w:vAlign w:val="center"/>
          </w:tcPr>
          <w:p>
            <w:r>
              <w:t>6</w:t>
            </w:r>
          </w:p>
        </w:tc>
        <w:tc>
          <w:tcPr>
            <w:tcW w:type="dxa" w:w="1361"/>
            <w:vAlign w:val="center"/>
          </w:tcPr>
          <w:p>
            <w:r>
              <w:t>993</w:t>
            </w:r>
          </w:p>
        </w:tc>
        <w:tc>
          <w:tcPr>
            <w:tcW w:type="dxa" w:w="5102"/>
            <w:vAlign w:val="center"/>
          </w:tcPr>
          <w:p>
            <w:r>
              <w:t>Bootstrap, app state, logger, settings, event bus, line-list integration</w:t>
            </w:r>
          </w:p>
        </w:tc>
      </w:tr>
      <w:tr>
        <w:tc>
          <w:tcPr>
            <w:tcW w:type="dxa" w:w="1814"/>
            <w:vAlign w:val="center"/>
          </w:tcPr>
          <w:p>
            <w:r>
              <w:t>viewer/tabs</w:t>
            </w:r>
          </w:p>
        </w:tc>
        <w:tc>
          <w:tcPr>
            <w:tcW w:type="dxa" w:w="907"/>
            <w:vAlign w:val="center"/>
          </w:tcPr>
          <w:p>
            <w:r>
              <w:t>16</w:t>
            </w:r>
          </w:p>
        </w:tc>
        <w:tc>
          <w:tcPr>
            <w:tcW w:type="dxa" w:w="1361"/>
            <w:vAlign w:val="center"/>
          </w:tcPr>
          <w:p>
            <w:r>
              <w:t>6181</w:t>
            </w:r>
          </w:p>
        </w:tc>
        <w:tc>
          <w:tcPr>
            <w:tcW w:type="dxa" w:w="5102"/>
            <w:vAlign w:val="center"/>
          </w:tcPr>
          <w:p>
            <w:r>
              <w:t>Mounted and dormant UI tabs for viewer, conversion, reporting, config, calculators</w:t>
            </w:r>
          </w:p>
        </w:tc>
      </w:tr>
      <w:tr>
        <w:tc>
          <w:tcPr>
            <w:tcW w:type="dxa" w:w="1814"/>
            <w:vAlign w:val="center"/>
          </w:tcPr>
          <w:p>
            <w:r>
              <w:t>viewer/parser</w:t>
            </w:r>
          </w:p>
        </w:tc>
        <w:tc>
          <w:tcPr>
            <w:tcW w:type="dxa" w:w="907"/>
            <w:vAlign w:val="center"/>
          </w:tcPr>
          <w:p>
            <w:r>
              <w:t>19</w:t>
            </w:r>
          </w:p>
        </w:tc>
        <w:tc>
          <w:tcPr>
            <w:tcW w:type="dxa" w:w="1361"/>
            <w:vAlign w:val="center"/>
          </w:tcPr>
          <w:p>
            <w:r>
              <w:t>4099</w:t>
            </w:r>
          </w:p>
        </w:tc>
        <w:tc>
          <w:tcPr>
            <w:tcW w:type="dxa" w:w="5102"/>
            <w:vAlign w:val="center"/>
          </w:tcPr>
          <w:p>
            <w:r>
              <w:t>ACCDB, CAESAR neutral/XML/PDF parsers plus XML graph/support helpers</w:t>
            </w:r>
          </w:p>
        </w:tc>
      </w:tr>
      <w:tr>
        <w:tc>
          <w:tcPr>
            <w:tcW w:type="dxa" w:w="1814"/>
            <w:vAlign w:val="center"/>
          </w:tcPr>
          <w:p>
            <w:r>
              <w:t>viewer/pcfx</w:t>
            </w:r>
          </w:p>
        </w:tc>
        <w:tc>
          <w:tcPr>
            <w:tcW w:type="dxa" w:w="907"/>
            <w:vAlign w:val="center"/>
          </w:tcPr>
          <w:p>
            <w:r>
              <w:t>4</w:t>
            </w:r>
          </w:p>
        </w:tc>
        <w:tc>
          <w:tcPr>
            <w:tcW w:type="dxa" w:w="1361"/>
            <w:vAlign w:val="center"/>
          </w:tcPr>
          <w:p>
            <w:r>
              <w:t>1065</w:t>
            </w:r>
          </w:p>
        </w:tc>
        <w:tc>
          <w:tcPr>
            <w:tcW w:type="dxa" w:w="5102"/>
            <w:vAlign w:val="center"/>
          </w:tcPr>
          <w:p>
            <w:r>
              <w:t>Canonical schema, file I/O, PCF adapter, GLB adapter</w:t>
            </w:r>
          </w:p>
        </w:tc>
      </w:tr>
      <w:tr>
        <w:tc>
          <w:tcPr>
            <w:tcW w:type="dxa" w:w="1814"/>
            <w:vAlign w:val="center"/>
          </w:tcPr>
          <w:p>
            <w:r>
              <w:t>viewer/js/pcf2glb</w:t>
            </w:r>
          </w:p>
        </w:tc>
        <w:tc>
          <w:tcPr>
            <w:tcW w:type="dxa" w:w="907"/>
            <w:vAlign w:val="center"/>
          </w:tcPr>
          <w:p>
            <w:r>
              <w:t>47</w:t>
            </w:r>
          </w:p>
        </w:tc>
        <w:tc>
          <w:tcPr>
            <w:tcW w:type="dxa" w:w="1361"/>
            <w:vAlign w:val="center"/>
          </w:tcPr>
          <w:p>
            <w:r>
              <w:t>6649</w:t>
            </w:r>
          </w:p>
        </w:tc>
        <w:tc>
          <w:tcPr>
            <w:tcW w:type="dxa" w:w="5102"/>
            <w:vAlign w:val="center"/>
          </w:tcPr>
          <w:p>
            <w:r>
              <w:t>Advanced viewer, exporter, editor runtimes, GLB builders, import orchestrator</w:t>
            </w:r>
          </w:p>
        </w:tc>
      </w:tr>
      <w:tr>
        <w:tc>
          <w:tcPr>
            <w:tcW w:type="dxa" w:w="1814"/>
            <w:vAlign w:val="center"/>
          </w:tcPr>
          <w:p>
            <w:r>
              <w:t>viewer/calc</w:t>
            </w:r>
          </w:p>
        </w:tc>
        <w:tc>
          <w:tcPr>
            <w:tcW w:type="dxa" w:w="907"/>
            <w:vAlign w:val="center"/>
          </w:tcPr>
          <w:p>
            <w:r>
              <w:t>26</w:t>
            </w:r>
          </w:p>
        </w:tc>
        <w:tc>
          <w:tcPr>
            <w:tcW w:type="dxa" w:w="1361"/>
            <w:vAlign w:val="center"/>
          </w:tcPr>
          <w:p>
            <w:r>
              <w:t>1245</w:t>
            </w:r>
          </w:p>
        </w:tc>
        <w:tc>
          <w:tcPr>
            <w:tcW w:type="dxa" w:w="5102"/>
            <w:vAlign w:val="center"/>
          </w:tcPr>
          <w:p>
            <w:r>
              <w:t>Calculation engine, formulas, SVG outputs, benchmark scaffolding</w:t>
            </w:r>
          </w:p>
        </w:tc>
      </w:tr>
      <w:tr>
        <w:tc>
          <w:tcPr>
            <w:tcW w:type="dxa" w:w="1814"/>
            <w:vAlign w:val="center"/>
          </w:tcPr>
          <w:p>
            <w:r>
              <w:t>viewer/styles</w:t>
            </w:r>
          </w:p>
        </w:tc>
        <w:tc>
          <w:tcPr>
            <w:tcW w:type="dxa" w:w="907"/>
            <w:vAlign w:val="center"/>
          </w:tcPr>
          <w:p>
            <w:r>
              <w:t>6</w:t>
            </w:r>
          </w:p>
        </w:tc>
        <w:tc>
          <w:tcPr>
            <w:tcW w:type="dxa" w:w="1361"/>
            <w:vAlign w:val="center"/>
          </w:tcPr>
          <w:p>
            <w:r>
              <w:t>2076</w:t>
            </w:r>
          </w:p>
        </w:tc>
        <w:tc>
          <w:tcPr>
            <w:tcW w:type="dxa" w:w="5102"/>
            <w:vAlign w:val="center"/>
          </w:tcPr>
          <w:p>
            <w:r>
              <w:t>Base, tab, table, debug, viewer, print styling</w:t>
            </w:r>
          </w:p>
        </w:tc>
      </w:tr>
      <w:tr>
        <w:tc>
          <w:tcPr>
            <w:tcW w:type="dxa" w:w="1814"/>
            <w:vAlign w:val="center"/>
          </w:tcPr>
          <w:p>
            <w:r>
              <w:t>viewer/debug</w:t>
            </w:r>
          </w:p>
        </w:tc>
        <w:tc>
          <w:tcPr>
            <w:tcW w:type="dxa" w:w="907"/>
            <w:vAlign w:val="center"/>
          </w:tcPr>
          <w:p>
            <w:r>
              <w:t>2</w:t>
            </w:r>
          </w:p>
        </w:tc>
        <w:tc>
          <w:tcPr>
            <w:tcW w:type="dxa" w:w="1361"/>
            <w:vAlign w:val="center"/>
          </w:tcPr>
          <w:p>
            <w:r>
              <w:t>542</w:t>
            </w:r>
          </w:p>
        </w:tc>
        <w:tc>
          <w:tcPr>
            <w:tcW w:type="dxa" w:w="5102"/>
            <w:vAlign w:val="center"/>
          </w:tcPr>
          <w:p>
            <w:r>
              <w:t>Developer debug window and support trace utilities</w:t>
            </w:r>
          </w:p>
        </w:tc>
      </w:tr>
      <w:tr>
        <w:tc>
          <w:tcPr>
            <w:tcW w:type="dxa" w:w="1814"/>
            <w:vAlign w:val="center"/>
          </w:tcPr>
          <w:p>
            <w:r>
              <w:t>viewer/utils + pcf-builder + data</w:t>
            </w:r>
          </w:p>
        </w:tc>
        <w:tc>
          <w:tcPr>
            <w:tcW w:type="dxa" w:w="907"/>
            <w:vAlign w:val="center"/>
          </w:tcPr>
          <w:p>
            <w:r>
              <w:t>13</w:t>
            </w:r>
          </w:p>
        </w:tc>
        <w:tc>
          <w:tcPr>
            <w:tcW w:type="dxa" w:w="1361"/>
            <w:vAlign w:val="center"/>
          </w:tcPr>
          <w:p>
            <w:r>
              <w:t>1837</w:t>
            </w:r>
          </w:p>
        </w:tc>
        <w:tc>
          <w:tcPr>
            <w:tcW w:type="dxa" w:w="5102"/>
            <w:vAlign w:val="center"/>
          </w:tcPr>
          <w:p>
            <w:r>
              <w:t>Transformation helpers, serializers, static report data</w:t>
            </w:r>
          </w:p>
        </w:tc>
      </w:tr>
    </w:tbl>
    <w:p/>
    <w:p>
      <w:pPr>
        <w:spacing w:before="0" w:after="120"/>
      </w:pPr>
      <w:r>
        <w:rPr>
          <w:b w:val="0"/>
          <w:i w:val="0"/>
        </w:rPr>
        <w:t>Repository scope includes production-visible features, development-only features, and latent legacy modules. The master specification must therefore separate current runtime surface from code present for future or historical use.</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51"/>
        <w:gridCol w:w="3251"/>
        <w:gridCol w:w="3251"/>
      </w:tblGrid>
      <w:tr>
        <w:tc>
          <w:tcPr>
            <w:tcW w:type="dxa" w:w="1701"/>
            <w:shd w:fill="EAF2FA"/>
            <w:vAlign w:val="center"/>
          </w:tcPr>
          <w:p>
            <w:r>
              <w:rPr>
                <w:b/>
                <w:color w:val="17345C"/>
              </w:rPr>
              <w:t>Surface</w:t>
            </w:r>
          </w:p>
        </w:tc>
        <w:tc>
          <w:tcPr>
            <w:tcW w:type="dxa" w:w="1587"/>
            <w:shd w:fill="EAF2FA"/>
            <w:vAlign w:val="center"/>
          </w:tcPr>
          <w:p>
            <w:r>
              <w:rPr>
                <w:b/>
                <w:color w:val="17345C"/>
              </w:rPr>
              <w:t>Exposure</w:t>
            </w:r>
          </w:p>
        </w:tc>
        <w:tc>
          <w:tcPr>
            <w:tcW w:type="dxa" w:w="5669"/>
            <w:shd w:fill="EAF2FA"/>
            <w:vAlign w:val="center"/>
          </w:tcPr>
          <w:p>
            <w:r>
              <w:rPr>
                <w:b/>
                <w:color w:val="17345C"/>
              </w:rPr>
              <w:t>Specification note</w:t>
            </w:r>
          </w:p>
        </w:tc>
      </w:tr>
      <w:tr>
        <w:tc>
          <w:tcPr>
            <w:tcW w:type="dxa" w:w="1701"/>
            <w:vAlign w:val="center"/>
          </w:tcPr>
          <w:p>
            <w:r>
              <w:t>3D Viewer</w:t>
            </w:r>
          </w:p>
        </w:tc>
        <w:tc>
          <w:tcPr>
            <w:tcW w:type="dxa" w:w="1587"/>
            <w:vAlign w:val="center"/>
          </w:tcPr>
          <w:p>
            <w:r>
              <w:t>Production-visible</w:t>
            </w:r>
          </w:p>
        </w:tc>
        <w:tc>
          <w:tcPr>
            <w:tcW w:type="dxa" w:w="5669"/>
            <w:vAlign w:val="center"/>
          </w:tcPr>
          <w:p>
            <w:r>
              <w:t>Primary engineering viewer; file import, viewer config, toolbar, overlays, measurement, sectioning, component panel.</w:t>
            </w:r>
          </w:p>
        </w:tc>
      </w:tr>
      <w:tr>
        <w:tc>
          <w:tcPr>
            <w:tcW w:type="dxa" w:w="1701"/>
            <w:vAlign w:val="center"/>
          </w:tcPr>
          <w:p>
            <w:r>
              <w:t>Advanced GLB Viewer</w:t>
            </w:r>
          </w:p>
        </w:tc>
        <w:tc>
          <w:tcPr>
            <w:tcW w:type="dxa" w:w="1587"/>
            <w:vAlign w:val="center"/>
          </w:tcPr>
          <w:p>
            <w:r>
              <w:t>Dev-only on localhost</w:t>
            </w:r>
          </w:p>
        </w:tc>
        <w:tc>
          <w:tcPr>
            <w:tcW w:type="dxa" w:w="5669"/>
            <w:vAlign w:val="center"/>
          </w:tcPr>
          <w:p>
            <w:r>
              <w:t>Standalone advanced vanilla Three.js workspace for GLB/PCF loading and mock scenes.</w:t>
            </w:r>
          </w:p>
        </w:tc>
      </w:tr>
      <w:tr>
        <w:tc>
          <w:tcPr>
            <w:tcW w:type="dxa" w:w="1701"/>
            <w:vAlign w:val="center"/>
          </w:tcPr>
          <w:p>
            <w:r>
              <w:t>PCF↔PCFX↔GLB</w:t>
            </w:r>
          </w:p>
        </w:tc>
        <w:tc>
          <w:tcPr>
            <w:tcW w:type="dxa" w:w="1587"/>
            <w:vAlign w:val="center"/>
          </w:tcPr>
          <w:p>
            <w:r>
              <w:t>Production-visible</w:t>
            </w:r>
          </w:p>
        </w:tc>
        <w:tc>
          <w:tcPr>
            <w:tcW w:type="dxa" w:w="5669"/>
            <w:vAlign w:val="center"/>
          </w:tcPr>
          <w:p>
            <w:r>
              <w:t>Format conversion workspace with preview scene, settings, diagnostics, and download actions.</w:t>
            </w:r>
          </w:p>
        </w:tc>
      </w:tr>
      <w:tr>
        <w:tc>
          <w:tcPr>
            <w:tcW w:type="dxa" w:w="1701"/>
            <w:vAlign w:val="center"/>
          </w:tcPr>
          <w:p>
            <w:r>
              <w:t>summary / input / supports / stress / nozzle / logs / linelist / misc-calc / debug</w:t>
            </w:r>
          </w:p>
        </w:tc>
        <w:tc>
          <w:tcPr>
            <w:tcW w:type="dxa" w:w="1587"/>
            <w:vAlign w:val="center"/>
          </w:tcPr>
          <w:p>
            <w:r>
              <w:t>Present in repo, not mounted by current main app</w:t>
            </w:r>
          </w:p>
        </w:tc>
        <w:tc>
          <w:tcPr>
            <w:tcW w:type="dxa" w:w="5669"/>
            <w:vAlign w:val="center"/>
          </w:tcPr>
          <w:p>
            <w:r>
              <w:t>Legacy or dormant analysis/reporting UI from earlier CAESAR-focused workflow.</w:t>
            </w:r>
          </w:p>
        </w:tc>
      </w:tr>
    </w:tbl>
    <w:p/>
    <w:p>
      <w:pPr>
        <w:pStyle w:val="Heading1"/>
        <w:spacing w:before="0" w:after="80"/>
      </w:pPr>
      <w:r>
        <w:rPr>
          <w:b w:val="0"/>
          <w:i w:val="0"/>
        </w:rPr>
        <w:t>3. Product definition</w:t>
      </w:r>
    </w:p>
    <w:p>
      <w:pPr>
        <w:pStyle w:val="ListBullet"/>
        <w:spacing w:after="40"/>
        <w:ind w:left="227"/>
      </w:pPr>
      <w:r>
        <w:rPr>
          <w:b/>
        </w:rPr>
        <w:t xml:space="preserve">Primary product. </w:t>
      </w:r>
      <w:r>
        <w:t>A static engineering viewer and converter for piping geometry and related data.</w:t>
      </w:r>
    </w:p>
    <w:p>
      <w:pPr>
        <w:pStyle w:val="ListBullet"/>
        <w:spacing w:after="40"/>
        <w:ind w:left="227"/>
      </w:pPr>
      <w:r>
        <w:rPr>
          <w:b/>
        </w:rPr>
        <w:t xml:space="preserve">Supported primary workflows. </w:t>
      </w:r>
      <w:r>
        <w:t>Import engineering source data, normalize it, inspect 3D geometry, convert between formats, and preserve metadata for round-trip use.</w:t>
      </w:r>
    </w:p>
    <w:p>
      <w:pPr>
        <w:pStyle w:val="ListBullet"/>
        <w:spacing w:after="40"/>
        <w:ind w:left="227"/>
      </w:pPr>
      <w:r>
        <w:rPr>
          <w:b/>
        </w:rPr>
        <w:t xml:space="preserve">Secondary product family. </w:t>
      </w:r>
      <w:r>
        <w:t>Advanced GLB viewing and editor experiments under `viewer/js/pcf2glb/advanced`, `pro-editor`, and `pro2-editor`.</w:t>
      </w:r>
    </w:p>
    <w:p>
      <w:pPr>
        <w:pStyle w:val="ListBullet"/>
        <w:spacing w:after="40"/>
        <w:ind w:left="227"/>
      </w:pPr>
      <w:r>
        <w:rPr>
          <w:b/>
        </w:rPr>
        <w:t xml:space="preserve">Dormant subsystem. </w:t>
      </w:r>
      <w:r>
        <w:t>Legacy CAESAR-reporting tabs for summary, supports, nozzle, stress, line-list matching, and miscellaneous calculations.</w:t>
      </w:r>
    </w:p>
    <w:p>
      <w:pPr>
        <w:pStyle w:val="Heading1"/>
        <w:spacing w:before="0" w:after="80"/>
      </w:pPr>
      <w:r>
        <w:rPr>
          <w:b w:val="0"/>
          <w:i w:val="0"/>
        </w:rPr>
        <w:t>4. Governing architectural principles</w:t>
      </w:r>
    </w:p>
    <w:p>
      <w:pPr>
        <w:pStyle w:val="ListNumber"/>
        <w:spacing w:after="40"/>
      </w:pPr>
      <w:r>
        <w:t>PCFX SHALL be treated as the canonical interchange model for this repository.</w:t>
      </w:r>
    </w:p>
    <w:p>
      <w:pPr>
        <w:pStyle w:val="ListNumber"/>
        <w:spacing w:after="40"/>
      </w:pPr>
      <w:r>
        <w:t>All source-specific parsing, heuristics, and repair logic SHOULD terminate before the viewer/editor boundary.</w:t>
      </w:r>
    </w:p>
    <w:p>
      <w:pPr>
        <w:pStyle w:val="ListNumber"/>
        <w:spacing w:after="40"/>
      </w:pPr>
      <w:r>
        <w:t>The viewer SHALL consume viewer-component objects derived from canonical items rather than directly depending on raw source formats.</w:t>
      </w:r>
    </w:p>
    <w:p>
      <w:pPr>
        <w:pStyle w:val="ListNumber"/>
        <w:spacing w:after="40"/>
      </w:pPr>
      <w:r>
        <w:t>The project SHALL remain static-hostable: browser-first, no mandatory backend, and GitHub Pages deployable.</w:t>
      </w:r>
    </w:p>
    <w:p>
      <w:pPr>
        <w:pStyle w:val="ListNumber"/>
        <w:spacing w:after="40"/>
      </w:pPr>
      <w:r>
        <w:t>Format conversion MUST preserve traceability through source snapshots, attributes, or embedded metadata whenever possible.</w:t>
      </w:r>
    </w:p>
    <w:p>
      <w:pPr>
        <w:pStyle w:val="ListNumber"/>
        <w:spacing w:after="40"/>
      </w:pPr>
      <w:r>
        <w:t>Incomplete features MUST be documented explicitly instead of implied by UI presence alone.</w:t>
      </w:r>
    </w:p>
    <w:p>
      <w:pPr>
        <w:pStyle w:val="Heading1"/>
        <w:spacing w:before="0" w:after="80"/>
      </w:pPr>
      <w:r>
        <w:rPr>
          <w:b w:val="0"/>
          <w:i w:val="0"/>
        </w:rPr>
        <w:t>5. Deployment and runtime model</w:t>
      </w:r>
    </w:p>
    <w:p>
      <w:pPr>
        <w:spacing w:before="0" w:after="80"/>
      </w:pPr>
      <w:r>
        <w:rPr>
          <w:b w:val="0"/>
          <w:i w:val="0"/>
        </w:rPr>
        <w:t>The application is intentionally browser-first and static-hostable. Root `index.html` redirects to `viewer/index.html`, which bootstraps the app without a build step by using an import map that points to CDN-delivered ES modules. GitHub Pages deployment is implemented in `.github/workflows/Deploy Pages`, which copies `index.html` and the `viewer/` directory into the published site artifact.</w:t>
      </w:r>
    </w:p>
    <w:p>
      <w:pPr>
        <w:pStyle w:val="ListBullet"/>
        <w:spacing w:after="40"/>
        <w:ind w:left="227"/>
      </w:pPr>
      <w:r>
        <w:rPr>
          <w:b/>
        </w:rPr>
        <w:t xml:space="preserve">Hosting model. </w:t>
      </w:r>
      <w:r>
        <w:t>Static file hosting, including GitHub Pages, is a first-class requirement.</w:t>
      </w:r>
    </w:p>
    <w:p>
      <w:pPr>
        <w:pStyle w:val="ListBullet"/>
        <w:spacing w:after="40"/>
        <w:ind w:left="227"/>
      </w:pPr>
      <w:r>
        <w:rPr>
          <w:b/>
        </w:rPr>
        <w:t xml:space="preserve">Bootstrap. </w:t>
      </w:r>
      <w:r>
        <w:t>`viewer/core/app.js` loads sticky state, mounts visible tabs, and optionally enables development diagnostics on localhost.</w:t>
      </w:r>
    </w:p>
    <w:p>
      <w:pPr>
        <w:pStyle w:val="ListBullet"/>
        <w:spacing w:after="40"/>
        <w:ind w:left="227"/>
      </w:pPr>
      <w:r>
        <w:rPr>
          <w:b/>
        </w:rPr>
        <w:t xml:space="preserve">Configuration source. </w:t>
      </w:r>
      <w:r>
        <w:t>Runtime config is a mix of static JSON (`viewer/opt/tab-visibility.json`) and browser `localStorage`.</w:t>
      </w:r>
    </w:p>
    <w:p>
      <w:pPr>
        <w:pStyle w:val="ListBullet"/>
        <w:spacing w:after="40"/>
        <w:ind w:left="227"/>
      </w:pPr>
      <w:r>
        <w:rPr>
          <w:b/>
        </w:rPr>
        <w:t xml:space="preserve">Implication. </w:t>
      </w:r>
      <w:r>
        <w:t>Any future enhancement that requires a server must be optional, because the current architecture assumes a zero-backend path.</w:t>
      </w:r>
    </w:p>
    <w:p>
      <w:pPr>
        <w:pStyle w:val="Heading1"/>
        <w:spacing w:before="0" w:after="80"/>
      </w:pPr>
      <w:r>
        <w:rPr>
          <w:b w:val="0"/>
          <w:i w:val="0"/>
        </w:rPr>
        <w:t>6. Supported inputs and outputs</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1984"/>
            <w:shd w:fill="EAF2FA"/>
            <w:vAlign w:val="center"/>
          </w:tcPr>
          <w:p>
            <w:r>
              <w:rPr>
                <w:b/>
                <w:color w:val="17345C"/>
              </w:rPr>
              <w:t>Format</w:t>
            </w:r>
          </w:p>
        </w:tc>
        <w:tc>
          <w:tcPr>
            <w:tcW w:type="dxa" w:w="6746"/>
            <w:shd w:fill="EAF2FA"/>
            <w:vAlign w:val="center"/>
          </w:tcPr>
          <w:p>
            <w:r>
              <w:rPr>
                <w:b/>
                <w:color w:val="17345C"/>
              </w:rPr>
              <w:t>Implemented role</w:t>
            </w:r>
          </w:p>
        </w:tc>
      </w:tr>
      <w:tr>
        <w:tc>
          <w:tcPr>
            <w:tcW w:type="dxa" w:w="1984"/>
            <w:vAlign w:val="center"/>
          </w:tcPr>
          <w:p>
            <w:r>
              <w:t>ACCDB / MDB</w:t>
            </w:r>
          </w:p>
        </w:tc>
        <w:tc>
          <w:tcPr>
            <w:tcW w:type="dxa" w:w="6746"/>
            <w:vAlign w:val="center"/>
          </w:tcPr>
          <w:p>
            <w:r>
              <w:t>Binary Access database parsed in-browser via `mdb-reader`; may also surface embedded text payloads.</w:t>
            </w:r>
          </w:p>
        </w:tc>
      </w:tr>
      <w:tr>
        <w:tc>
          <w:tcPr>
            <w:tcW w:type="dxa" w:w="1984"/>
            <w:vAlign w:val="center"/>
          </w:tcPr>
          <w:p>
            <w:r>
              <w:t>CAESAR II XML</w:t>
            </w:r>
          </w:p>
        </w:tc>
        <w:tc>
          <w:tcPr>
            <w:tcW w:type="dxa" w:w="6746"/>
            <w:vAlign w:val="center"/>
          </w:tcPr>
          <w:p>
            <w:r>
              <w:t>Parsed by XML section parser; may bypass continuity and build viewer geometry directly for disconnected assemblies.</w:t>
            </w:r>
          </w:p>
        </w:tc>
      </w:tr>
      <w:tr>
        <w:tc>
          <w:tcPr>
            <w:tcW w:type="dxa" w:w="1984"/>
            <w:vAlign w:val="center"/>
          </w:tcPr>
          <w:p>
            <w:r>
              <w:t>CAESAR II neutral text</w:t>
            </w:r>
          </w:p>
        </w:tc>
        <w:tc>
          <w:tcPr>
            <w:tcW w:type="dxa" w:w="6746"/>
            <w:vAlign w:val="center"/>
          </w:tcPr>
          <w:p>
            <w:r>
              <w:t>Parsed by section-based neutral file readers.</w:t>
            </w:r>
          </w:p>
        </w:tc>
      </w:tr>
      <w:tr>
        <w:tc>
          <w:tcPr>
            <w:tcW w:type="dxa" w:w="1984"/>
            <w:vAlign w:val="center"/>
          </w:tcPr>
          <w:p>
            <w:r>
              <w:t>CAESAR II PDF listing text</w:t>
            </w:r>
          </w:p>
        </w:tc>
        <w:tc>
          <w:tcPr>
            <w:tcW w:type="dxa" w:w="6746"/>
            <w:vAlign w:val="center"/>
          </w:tcPr>
          <w:p>
            <w:r>
              <w:t>Parsed into static/derived structures where possible.</w:t>
            </w:r>
          </w:p>
        </w:tc>
      </w:tr>
      <w:tr>
        <w:tc>
          <w:tcPr>
            <w:tcW w:type="dxa" w:w="1984"/>
            <w:vAlign w:val="center"/>
          </w:tcPr>
          <w:p>
            <w:r>
              <w:t>PCF text</w:t>
            </w:r>
          </w:p>
        </w:tc>
        <w:tc>
          <w:tcPr>
            <w:tcW w:type="dxa" w:w="6746"/>
            <w:vAlign w:val="center"/>
          </w:tcPr>
          <w:p>
            <w:r>
              <w:t>Parsed into normalized PCF model, then canonical PCFX, then viewer components.</w:t>
            </w:r>
          </w:p>
        </w:tc>
      </w:tr>
      <w:tr>
        <w:tc>
          <w:tcPr>
            <w:tcW w:type="dxa" w:w="1984"/>
            <w:vAlign w:val="center"/>
          </w:tcPr>
          <w:p>
            <w:r>
              <w:t>GLB / GLTF</w:t>
            </w:r>
          </w:p>
        </w:tc>
        <w:tc>
          <w:tcPr>
            <w:tcW w:type="dxa" w:w="6746"/>
            <w:vAlign w:val="center"/>
          </w:tcPr>
          <w:p>
            <w:r>
              <w:t>Loaded into advanced/editor viewers and round-tripped through embedded PCFX metadata when present.</w:t>
            </w:r>
          </w:p>
        </w:tc>
      </w:tr>
    </w:tbl>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3061"/>
            <w:shd w:fill="EAF2FA"/>
            <w:vAlign w:val="center"/>
          </w:tcPr>
          <w:p>
            <w:r>
              <w:rPr>
                <w:b/>
                <w:color w:val="17345C"/>
              </w:rPr>
              <w:t>Transformation stage</w:t>
            </w:r>
          </w:p>
        </w:tc>
        <w:tc>
          <w:tcPr>
            <w:tcW w:type="dxa" w:w="5669"/>
            <w:shd w:fill="EAF2FA"/>
            <w:vAlign w:val="center"/>
          </w:tcPr>
          <w:p>
            <w:r>
              <w:rPr>
                <w:b/>
                <w:color w:val="17345C"/>
              </w:rPr>
              <w:t>Primary implementation</w:t>
            </w:r>
          </w:p>
        </w:tc>
      </w:tr>
      <w:tr>
        <w:tc>
          <w:tcPr>
            <w:tcW w:type="dxa" w:w="3061"/>
            <w:vAlign w:val="center"/>
          </w:tcPr>
          <w:p>
            <w:r>
              <w:t>Raw source → parsed model</w:t>
            </w:r>
          </w:p>
        </w:tc>
        <w:tc>
          <w:tcPr>
            <w:tcW w:type="dxa" w:w="5669"/>
            <w:vAlign w:val="center"/>
          </w:tcPr>
          <w:p>
            <w:r>
              <w:t>`parseBinaryAccdb()` or `parse()` or `parsePcfText()`</w:t>
            </w:r>
          </w:p>
        </w:tc>
      </w:tr>
      <w:tr>
        <w:tc>
          <w:tcPr>
            <w:tcW w:type="dxa" w:w="3061"/>
            <w:vAlign w:val="center"/>
          </w:tcPr>
          <w:p>
            <w:r>
              <w:t>Parsed model → Universal CSV</w:t>
            </w:r>
          </w:p>
        </w:tc>
        <w:tc>
          <w:tcPr>
            <w:tcW w:type="dxa" w:w="5669"/>
            <w:vAlign w:val="center"/>
          </w:tcPr>
          <w:p>
            <w:r>
              <w:t>`buildUniversalCSV()`</w:t>
            </w:r>
          </w:p>
        </w:tc>
      </w:tr>
      <w:tr>
        <w:tc>
          <w:tcPr>
            <w:tcW w:type="dxa" w:w="3061"/>
            <w:vAlign w:val="center"/>
          </w:tcPr>
          <w:p>
            <w:r>
              <w:t>Universal CSV → PCF continuity segments</w:t>
            </w:r>
          </w:p>
        </w:tc>
        <w:tc>
          <w:tcPr>
            <w:tcW w:type="dxa" w:w="5669"/>
            <w:vAlign w:val="center"/>
          </w:tcPr>
          <w:p>
            <w:r>
              <w:t>`normalizeToPCFWithContinuity()` / related builders</w:t>
            </w:r>
          </w:p>
        </w:tc>
      </w:tr>
      <w:tr>
        <w:tc>
          <w:tcPr>
            <w:tcW w:type="dxa" w:w="3061"/>
            <w:vAlign w:val="center"/>
          </w:tcPr>
          <w:p>
            <w:r>
              <w:t>PCF text → canonical PCFX</w:t>
            </w:r>
          </w:p>
        </w:tc>
        <w:tc>
          <w:tcPr>
            <w:tcW w:type="dxa" w:w="5669"/>
            <w:vAlign w:val="center"/>
          </w:tcPr>
          <w:p>
            <w:r>
              <w:t>`pcfxDocumentFromPcfText()`</w:t>
            </w:r>
          </w:p>
        </w:tc>
      </w:tr>
      <w:tr>
        <w:tc>
          <w:tcPr>
            <w:tcW w:type="dxa" w:w="3061"/>
            <w:vAlign w:val="center"/>
          </w:tcPr>
          <w:p>
            <w:r>
              <w:t>PCFX → viewer components</w:t>
            </w:r>
          </w:p>
        </w:tc>
        <w:tc>
          <w:tcPr>
            <w:tcW w:type="dxa" w:w="5669"/>
            <w:vAlign w:val="center"/>
          </w:tcPr>
          <w:p>
            <w:r>
              <w:t>`viewerComponentFromCanonicalItem()`</w:t>
            </w:r>
          </w:p>
        </w:tc>
      </w:tr>
      <w:tr>
        <w:tc>
          <w:tcPr>
            <w:tcW w:type="dxa" w:w="3061"/>
            <w:vAlign w:val="center"/>
          </w:tcPr>
          <w:p>
            <w:r>
              <w:t>PCFX → GLB scene</w:t>
            </w:r>
          </w:p>
        </w:tc>
        <w:tc>
          <w:tcPr>
            <w:tcW w:type="dxa" w:w="5669"/>
            <w:vAlign w:val="center"/>
          </w:tcPr>
          <w:p>
            <w:r>
              <w:t>`buildGlbSceneFromCanonicalItems()` + GLTF export</w:t>
            </w:r>
          </w:p>
        </w:tc>
      </w:tr>
      <w:tr>
        <w:tc>
          <w:tcPr>
            <w:tcW w:type="dxa" w:w="3061"/>
            <w:vAlign w:val="center"/>
          </w:tcPr>
          <w:p>
            <w:r>
              <w:t>GLB scene → embedded PCFX</w:t>
            </w:r>
          </w:p>
        </w:tc>
        <w:tc>
          <w:tcPr>
            <w:tcW w:type="dxa" w:w="5669"/>
            <w:vAlign w:val="center"/>
          </w:tcPr>
          <w:p>
            <w:r>
              <w:t>`attachPcfxToScene()` / `readPcfxFromScene()`</w:t>
            </w:r>
          </w:p>
        </w:tc>
      </w:tr>
    </w:tbl>
    <w:p/>
    <w:p>
      <w:pPr>
        <w:pStyle w:val="Heading1"/>
        <w:spacing w:before="0" w:after="80"/>
      </w:pPr>
      <w:r>
        <w:rPr>
          <w:b w:val="0"/>
          <w:i w:val="0"/>
        </w:rPr>
        <w:t>7. Canonical data architecture</w:t>
      </w:r>
    </w:p>
    <w:p>
      <w:pPr>
        <w:spacing w:before="0" w:after="80"/>
      </w:pPr>
      <w:r>
        <w:rPr>
          <w:b w:val="0"/>
          <w:i w:val="0"/>
        </w:rPr>
        <w:t>The code exposes several distinct data shapes. They are not equivalent and must not be conflated. This section defines them as separate contracts.</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51"/>
        <w:gridCol w:w="3251"/>
        <w:gridCol w:w="3251"/>
      </w:tblGrid>
      <w:tr>
        <w:tc>
          <w:tcPr>
            <w:tcW w:type="dxa" w:w="1701"/>
            <w:shd w:fill="EAF2FA"/>
            <w:vAlign w:val="center"/>
          </w:tcPr>
          <w:p>
            <w:r>
              <w:rPr>
                <w:b/>
                <w:color w:val="17345C"/>
              </w:rPr>
              <w:t>Contract</w:t>
            </w:r>
          </w:p>
        </w:tc>
        <w:tc>
          <w:tcPr>
            <w:tcW w:type="dxa" w:w="2948"/>
            <w:shd w:fill="EAF2FA"/>
            <w:vAlign w:val="center"/>
          </w:tcPr>
          <w:p>
            <w:r>
              <w:rPr>
                <w:b/>
                <w:color w:val="17345C"/>
              </w:rPr>
              <w:t>Purpose</w:t>
            </w:r>
          </w:p>
        </w:tc>
        <w:tc>
          <w:tcPr>
            <w:tcW w:type="dxa" w:w="4082"/>
            <w:shd w:fill="EAF2FA"/>
            <w:vAlign w:val="center"/>
          </w:tcPr>
          <w:p>
            <w:r>
              <w:rPr>
                <w:b/>
                <w:color w:val="17345C"/>
              </w:rPr>
              <w:t>Key shape</w:t>
            </w:r>
          </w:p>
        </w:tc>
      </w:tr>
      <w:tr>
        <w:tc>
          <w:tcPr>
            <w:tcW w:type="dxa" w:w="1701"/>
            <w:vAlign w:val="center"/>
          </w:tcPr>
          <w:p>
            <w:r>
              <w:t>Parsed source model</w:t>
            </w:r>
          </w:p>
        </w:tc>
        <w:tc>
          <w:tcPr>
            <w:tcW w:type="dxa" w:w="2948"/>
            <w:vAlign w:val="center"/>
          </w:tcPr>
          <w:p>
            <w:r>
              <w:t>Source-native engineering extraction</w:t>
            </w:r>
          </w:p>
        </w:tc>
        <w:tc>
          <w:tcPr>
            <w:tcW w:type="dxa" w:w="4082"/>
            <w:vAlign w:val="center"/>
          </w:tcPr>
          <w:p>
            <w:r>
              <w:t>`{ elements, nodes, bends, restraints, forces, rigids, units, meta, log, errors, validation }`</w:t>
            </w:r>
          </w:p>
        </w:tc>
      </w:tr>
      <w:tr>
        <w:tc>
          <w:tcPr>
            <w:tcW w:type="dxa" w:w="1701"/>
            <w:vAlign w:val="center"/>
          </w:tcPr>
          <w:p>
            <w:r>
              <w:t>Universal CSV rows</w:t>
            </w:r>
          </w:p>
        </w:tc>
        <w:tc>
          <w:tcPr>
            <w:tcW w:type="dxa" w:w="2948"/>
            <w:vAlign w:val="center"/>
          </w:tcPr>
          <w:p>
            <w:r>
              <w:t>Flat denormalized transformation stage</w:t>
            </w:r>
          </w:p>
        </w:tc>
        <w:tc>
          <w:tcPr>
            <w:tcW w:type="dxa" w:w="4082"/>
            <w:vAlign w:val="center"/>
          </w:tcPr>
          <w:p>
            <w:r>
              <w:t>CAESAR-style row objects used before continuity logic</w:t>
            </w:r>
          </w:p>
        </w:tc>
      </w:tr>
      <w:tr>
        <w:tc>
          <w:tcPr>
            <w:tcW w:type="dxa" w:w="1701"/>
            <w:vAlign w:val="center"/>
          </w:tcPr>
          <w:p>
            <w:r>
              <w:t>Continuity / simplified PCF rows</w:t>
            </w:r>
          </w:p>
        </w:tc>
        <w:tc>
          <w:tcPr>
            <w:tcW w:type="dxa" w:w="2948"/>
            <w:vAlign w:val="center"/>
          </w:tcPr>
          <w:p>
            <w:r>
              <w:t>Intermediate builder representation</w:t>
            </w:r>
          </w:p>
        </w:tc>
        <w:tc>
          <w:tcPr>
            <w:tcW w:type="dxa" w:w="4082"/>
            <w:vAlign w:val="center"/>
          </w:tcPr>
          <w:p>
            <w:r>
              <w:t>Segment-oriented rows prior to PCF serialization</w:t>
            </w:r>
          </w:p>
        </w:tc>
      </w:tr>
      <w:tr>
        <w:tc>
          <w:tcPr>
            <w:tcW w:type="dxa" w:w="1701"/>
            <w:vAlign w:val="center"/>
          </w:tcPr>
          <w:p>
            <w:r>
              <w:t>PCFX document</w:t>
            </w:r>
          </w:p>
        </w:tc>
        <w:tc>
          <w:tcPr>
            <w:tcW w:type="dxa" w:w="2948"/>
            <w:vAlign w:val="center"/>
          </w:tcPr>
          <w:p>
            <w:r>
              <w:t>Canonical interchange object</w:t>
            </w:r>
          </w:p>
        </w:tc>
        <w:tc>
          <w:tcPr>
            <w:tcW w:type="dxa" w:w="4082"/>
            <w:vAlign w:val="center"/>
          </w:tcPr>
          <w:p>
            <w:r>
              <w:t>`{ format, version, producer, metadata, canonical:{items[]}, sourceSnapshots, diagnostics }`</w:t>
            </w:r>
          </w:p>
        </w:tc>
      </w:tr>
      <w:tr>
        <w:tc>
          <w:tcPr>
            <w:tcW w:type="dxa" w:w="1701"/>
            <w:vAlign w:val="center"/>
          </w:tcPr>
          <w:p>
            <w:r>
              <w:t>Canonical item</w:t>
            </w:r>
          </w:p>
        </w:tc>
        <w:tc>
          <w:tcPr>
            <w:tcW w:type="dxa" w:w="2948"/>
            <w:vAlign w:val="center"/>
          </w:tcPr>
          <w:p>
            <w:r>
              <w:t>Normalized piping/support item</w:t>
            </w:r>
          </w:p>
        </w:tc>
        <w:tc>
          <w:tcPr>
            <w:tcW w:type="dxa" w:w="4082"/>
            <w:vAlign w:val="center"/>
          </w:tcPr>
          <w:p>
            <w:r>
              <w:t>`{ id, type, refNo, seqNo, ep1, ep2, cp, bp, supportCoord, bore, attrs, process, support, extras, rawBySource }`</w:t>
            </w:r>
          </w:p>
        </w:tc>
      </w:tr>
      <w:tr>
        <w:tc>
          <w:tcPr>
            <w:tcW w:type="dxa" w:w="1701"/>
            <w:vAlign w:val="center"/>
          </w:tcPr>
          <w:p>
            <w:r>
              <w:t>Viewer component</w:t>
            </w:r>
          </w:p>
        </w:tc>
        <w:tc>
          <w:tcPr>
            <w:tcW w:type="dxa" w:w="2948"/>
            <w:vAlign w:val="center"/>
          </w:tcPr>
          <w:p>
            <w:r>
              <w:t>3D runtime render contract</w:t>
            </w:r>
          </w:p>
        </w:tc>
        <w:tc>
          <w:tcPr>
            <w:tcW w:type="dxa" w:w="4082"/>
            <w:vAlign w:val="center"/>
          </w:tcPr>
          <w:p>
            <w:r>
              <w:t>`{ id, type, points[], centrePoint, branch1Point, coOrds, bore, attributes, source }`</w:t>
            </w:r>
          </w:p>
        </w:tc>
      </w:tr>
      <w:tr>
        <w:tc>
          <w:tcPr>
            <w:tcW w:type="dxa" w:w="1701"/>
            <w:vAlign w:val="center"/>
          </w:tcPr>
          <w:p>
            <w:r>
              <w:t>GLB scene with embedded PCFX</w:t>
            </w:r>
          </w:p>
        </w:tc>
        <w:tc>
          <w:tcPr>
            <w:tcW w:type="dxa" w:w="2948"/>
            <w:vAlign w:val="center"/>
          </w:tcPr>
          <w:p>
            <w:r>
              <w:t>Export and round-trip contract</w:t>
            </w:r>
          </w:p>
        </w:tc>
        <w:tc>
          <w:tcPr>
            <w:tcW w:type="dxa" w:w="4082"/>
            <w:vAlign w:val="center"/>
          </w:tcPr>
          <w:p>
            <w:r>
              <w:t>Three.js scene whose `userData.pcfxDocument` preserves canonical metadata</w:t>
            </w:r>
          </w:p>
        </w:tc>
      </w:tr>
    </w:tbl>
    <w:p/>
    <w:p>
      <w:pPr>
        <w:spacing w:before="0" w:after="80"/>
      </w:pPr>
      <w:r>
        <w:rPr>
          <w:b w:val="0"/>
          <w:i/>
          <w:color w:val="2B5F97"/>
        </w:rPr>
        <w:t>Normative statement: all new adapters SHOULD normalize into canonical items as early as possible. Viewer-only shortcuts are acceptable for inspection workflows, but they should still be traceable back to canonical or source snapshots.</w:t>
      </w:r>
    </w:p>
    <w:p>
      <w:pPr>
        <w:pStyle w:val="Heading1"/>
        <w:spacing w:before="0" w:after="80"/>
      </w:pPr>
      <w:r>
        <w:rPr>
          <w:b w:val="0"/>
          <w:i w:val="0"/>
        </w:rPr>
        <w:t>8. Parsing and ingestion subsystem</w:t>
      </w:r>
    </w:p>
    <w:p>
      <w:pPr>
        <w:spacing w:before="0" w:after="80"/>
      </w:pPr>
      <w:r>
        <w:rPr>
          <w:b w:val="0"/>
          <w:i w:val="0"/>
        </w:rPr>
        <w:t>Ingestion is handled primarily by `viewer/js/pcf2glb/import/ImportFromRawParser.js`, which acts as an in-browser orchestrator. It chooses source-specific parsers, converts parsed results into a universal CSV and continuity model when needed, and can also build direct viewer data for XML-specific cases.</w:t>
      </w:r>
    </w:p>
    <w:p>
      <w:pPr>
        <w:pStyle w:val="ListBullet"/>
        <w:spacing w:after="40"/>
        <w:ind w:left="227"/>
      </w:pPr>
      <w:r>
        <w:rPr>
          <w:b/>
        </w:rPr>
        <w:t xml:space="preserve">ACCDB / MDB path. </w:t>
      </w:r>
      <w:r>
        <w:t>`parseBinaryAccdb()` reads Access data in-browser, extracts tables, units, restraints, and optionally embedded CAESAR text payloads.</w:t>
      </w:r>
    </w:p>
    <w:p>
      <w:pPr>
        <w:pStyle w:val="ListBullet"/>
        <w:spacing w:after="40"/>
        <w:ind w:left="227"/>
      </w:pPr>
      <w:r>
        <w:rPr>
          <w:b/>
        </w:rPr>
        <w:t xml:space="preserve">Neutral / XML / PDF path. </w:t>
      </w:r>
      <w:r>
        <w:t>`viewer/parser/caesar-parser.js` auto-detects format and dispatches to section parsers or PDF extraction.</w:t>
      </w:r>
    </w:p>
    <w:p>
      <w:pPr>
        <w:pStyle w:val="ListBullet"/>
        <w:spacing w:after="40"/>
        <w:ind w:left="227"/>
      </w:pPr>
      <w:r>
        <w:rPr>
          <w:b/>
        </w:rPr>
        <w:t xml:space="preserve">XML special path. </w:t>
      </w:r>
      <w:r>
        <w:t>`xml-graph-builder.js` and `xml-support-builder.js` intentionally bypass core continuity logic when XML already contains connectivity but lacks stable global placement.</w:t>
      </w:r>
    </w:p>
    <w:p>
      <w:pPr>
        <w:pStyle w:val="ListBullet"/>
        <w:spacing w:after="40"/>
        <w:ind w:left="227"/>
      </w:pPr>
      <w:r>
        <w:rPr>
          <w:b/>
        </w:rPr>
        <w:t xml:space="preserve">Validation behavior. </w:t>
      </w:r>
      <w:r>
        <w:t>The parser layer returns logs, warnings, errors, and basic connectivity checks rather than silently failing.</w:t>
      </w:r>
    </w:p>
    <w:p>
      <w:pPr>
        <w:pStyle w:val="Heading1"/>
        <w:spacing w:before="0" w:after="80"/>
      </w:pPr>
      <w:r>
        <w:rPr>
          <w:b w:val="0"/>
          <w:i w:val="0"/>
        </w:rPr>
        <w:t>9. PCFX canonical core</w:t>
      </w:r>
    </w:p>
    <w:p>
      <w:pPr>
        <w:spacing w:before="0" w:after="80"/>
      </w:pPr>
      <w:r>
        <w:rPr>
          <w:b w:val="0"/>
          <w:i w:val="0"/>
        </w:rPr>
        <w:t>`viewer/pcfx/Pcfx_Core.js` is the most important architectural module in the repository. It defines the normalized document structure, item normalization rules, document validation, parsing, and stringification.</w:t>
      </w:r>
    </w:p>
    <w:p>
      <w:pPr>
        <w:pStyle w:val="ListBullet"/>
        <w:spacing w:after="40"/>
        <w:ind w:left="227"/>
      </w:pPr>
      <w:r>
        <w:rPr>
          <w:b/>
        </w:rPr>
        <w:t xml:space="preserve">Schema identity. </w:t>
      </w:r>
      <w:r>
        <w:t>PCFX documents are tagged with `format: "pcfx"` and `version: "1.0.0"`.</w:t>
      </w:r>
    </w:p>
    <w:p>
      <w:pPr>
        <w:pStyle w:val="ListBullet"/>
        <w:spacing w:after="40"/>
        <w:ind w:left="227"/>
      </w:pPr>
      <w:r>
        <w:rPr>
          <w:b/>
        </w:rPr>
        <w:t xml:space="preserve">Producer block. </w:t>
      </w:r>
      <w:r>
        <w:t>Producer app/version is explicitly captured, which makes export provenance part of the format.</w:t>
      </w:r>
    </w:p>
    <w:p>
      <w:pPr>
        <w:pStyle w:val="ListBullet"/>
        <w:spacing w:after="40"/>
        <w:ind w:left="227"/>
      </w:pPr>
      <w:r>
        <w:rPr>
          <w:b/>
        </w:rPr>
        <w:t xml:space="preserve">Metadata block. </w:t>
      </w:r>
      <w:r>
        <w:t>Project/facility/document/unit metadata is retained separately from per-item geometry.</w:t>
      </w:r>
    </w:p>
    <w:p>
      <w:pPr>
        <w:pStyle w:val="ListBullet"/>
        <w:spacing w:after="40"/>
        <w:ind w:left="227"/>
      </w:pPr>
      <w:r>
        <w:rPr>
          <w:b/>
        </w:rPr>
        <w:t xml:space="preserve">Diagnostics and snapshots. </w:t>
      </w:r>
      <w:r>
        <w:t>The canonical format includes room for source snapshots and structured diagnostics, which is critical for engineering traceability.</w:t>
      </w:r>
    </w:p>
    <w:tbl>
      <w:tblPr>
        <w:tblStyle w:val="TableGrid"/>
        <w:tblW w:type="auto" w:w="0"/>
        <w:jc w:val="center"/>
        <w:tblLook w:firstColumn="1" w:firstRow="1" w:lastColumn="0" w:lastRow="0" w:noHBand="0" w:noVBand="1" w:val="04A0"/>
        <w:tblBorders>
          <w:top w:val="single" w:sz="6" w:space="0" w:color="C7D8EA"/>
          <w:left w:val="single" w:sz="6" w:space="0" w:color="C7D8EA"/>
          <w:bottom w:val="single" w:sz="6" w:space="0" w:color="C7D8EA"/>
          <w:right w:val="single" w:sz="6" w:space="0" w:color="C7D8EA"/>
          <w:insideH w:val="single" w:sz="6" w:space="0" w:color="C7D8EA"/>
          <w:insideV w:val="single" w:sz="6" w:space="0" w:color="C7D8EA"/>
        </w:tblBorders>
      </w:tblPr>
      <w:tblGrid>
        <w:gridCol w:w="9752"/>
      </w:tblGrid>
      <w:tr>
        <w:tc>
          <w:tcPr>
            <w:tcW w:type="dxa" w:w="9752"/>
            <w:shd w:fill="F4F8FC"/>
          </w:tcPr>
          <w:p>
            <w:r>
              <w:rPr>
                <w:b/>
                <w:color w:val="17345C"/>
              </w:rPr>
              <w:t>Canonical boundary rule</w:t>
            </w:r>
          </w:p>
          <w:p>
            <w:pPr>
              <w:spacing w:after="0"/>
            </w:pPr>
            <w:r>
              <w:t>The repository already contains multiple ad hoc shapes. The master specification requires that any new import, editor operation, or export path be formally mapped either into or out of canonical PCFX. Direct source-to-viewer shortcuts should be treated as implementation details, not as new public data contracts.</w:t>
            </w:r>
          </w:p>
        </w:tc>
      </w:tr>
    </w:tbl>
    <w:p/>
    <w:p>
      <w:pPr>
        <w:pStyle w:val="Heading1"/>
        <w:spacing w:before="0" w:after="80"/>
      </w:pPr>
      <w:r>
        <w:rPr>
          <w:b w:val="0"/>
          <w:i w:val="0"/>
        </w:rPr>
        <w:t>10. PCF adapter specification</w:t>
      </w:r>
    </w:p>
    <w:p>
      <w:pPr>
        <w:spacing w:before="0" w:after="80"/>
      </w:pPr>
      <w:r>
        <w:rPr>
          <w:b w:val="0"/>
          <w:i w:val="0"/>
        </w:rPr>
        <w:t>`viewer/pcfx/Pcfx_PcfAdapter.js` maps raw PCF into canonical items and regenerates PCF text from canonical items.</w:t>
      </w:r>
    </w:p>
    <w:p>
      <w:pPr>
        <w:pStyle w:val="ListBullet"/>
        <w:spacing w:after="40"/>
        <w:ind w:left="227"/>
      </w:pPr>
      <w:r>
        <w:rPr>
          <w:b/>
        </w:rPr>
        <w:t xml:space="preserve">Header capture. </w:t>
      </w:r>
      <w:r>
        <w:t>PCF header attributes such as pipeline reference, piping spec, and units are parsed and reused as canonical metadata.</w:t>
      </w:r>
    </w:p>
    <w:p>
      <w:pPr>
        <w:pStyle w:val="ListBullet"/>
        <w:spacing w:after="40"/>
        <w:ind w:left="227"/>
      </w:pPr>
      <w:r>
        <w:rPr>
          <w:b/>
        </w:rPr>
        <w:t xml:space="preserve">Geometry preservation. </w:t>
      </w:r>
      <w:r>
        <w:t>END-POINT, CENTRE-POINT, BRANCH1-POINT, and CO-ORDS are normalized into canonical points.</w:t>
      </w:r>
    </w:p>
    <w:p>
      <w:pPr>
        <w:pStyle w:val="ListBullet"/>
        <w:spacing w:after="40"/>
        <w:ind w:left="227"/>
      </w:pPr>
      <w:r>
        <w:rPr>
          <w:b/>
        </w:rPr>
        <w:t xml:space="preserve">Generated identifiers. </w:t>
      </w:r>
      <w:r>
        <w:t>When identifiers are absent, generated ref/sequence values are derived from configurable defaults.</w:t>
      </w:r>
    </w:p>
    <w:p>
      <w:pPr>
        <w:pStyle w:val="ListBullet"/>
        <w:spacing w:after="40"/>
        <w:ind w:left="227"/>
      </w:pPr>
      <w:r>
        <w:rPr>
          <w:b/>
        </w:rPr>
        <w:t xml:space="preserve">Serializer boundary. </w:t>
      </w:r>
      <w:r>
        <w:t>PCF regeneration delegates to the serializer in `viewer/pcf-builder/3DV_PCFSerializer.js` after canonical items are converted back into serializer components.</w:t>
      </w:r>
    </w:p>
    <w:p>
      <w:pPr>
        <w:pStyle w:val="Heading1"/>
        <w:spacing w:before="0" w:after="80"/>
      </w:pPr>
      <w:r>
        <w:rPr>
          <w:b w:val="0"/>
          <w:i w:val="0"/>
        </w:rPr>
        <w:t>11. GLB adapter and export specification</w:t>
      </w:r>
    </w:p>
    <w:p>
      <w:pPr>
        <w:spacing w:before="0" w:after="80"/>
      </w:pPr>
      <w:r>
        <w:rPr>
          <w:b w:val="0"/>
          <w:i w:val="0"/>
        </w:rPr>
        <w:t>`viewer/pcfx/Pcfx_GlbAdapter.js` defines the project’s cross-format bridge between canonical items and GLB scenes.</w:t>
      </w:r>
    </w:p>
    <w:p>
      <w:pPr>
        <w:pStyle w:val="ListBullet"/>
        <w:spacing w:after="40"/>
        <w:ind w:left="227"/>
      </w:pPr>
      <w:r>
        <w:rPr>
          <w:b/>
        </w:rPr>
        <w:t xml:space="preserve">Viewer mapping. </w:t>
      </w:r>
      <w:r>
        <w:t>`viewerComponentFromCanonicalItem()` is the single most important mapping for feeding runtime viewer geometry.</w:t>
      </w:r>
    </w:p>
    <w:p>
      <w:pPr>
        <w:pStyle w:val="ListBullet"/>
        <w:spacing w:after="40"/>
        <w:ind w:left="227"/>
      </w:pPr>
      <w:r>
        <w:rPr>
          <w:b/>
        </w:rPr>
        <w:t xml:space="preserve">Round-trip metadata. </w:t>
      </w:r>
      <w:r>
        <w:t>`attachPcfxToScene()` embeds canonical document payloads into `scene.userData.pcfxDocument`, enabling exact or near-exact round trips.</w:t>
      </w:r>
    </w:p>
    <w:p>
      <w:pPr>
        <w:pStyle w:val="ListBullet"/>
        <w:spacing w:after="40"/>
        <w:ind w:left="227"/>
      </w:pPr>
      <w:r>
        <w:rPr>
          <w:b/>
        </w:rPr>
        <w:t xml:space="preserve">Export pipeline. </w:t>
      </w:r>
      <w:r>
        <w:t>Canonical items are converted into GLB model components, assembled into a Three.js scene, and exported as GLB via `GLTFExporter`.</w:t>
      </w:r>
    </w:p>
    <w:p>
      <w:pPr>
        <w:pStyle w:val="ListBullet"/>
        <w:spacing w:after="40"/>
        <w:ind w:left="227"/>
      </w:pPr>
      <w:r>
        <w:rPr>
          <w:b/>
        </w:rPr>
        <w:t xml:space="preserve">GLB import. </w:t>
      </w:r>
      <w:r>
        <w:t>GLB blobs can be loaded back into scenes, and embedded PCFX metadata can be re-read if present.</w:t>
      </w:r>
    </w:p>
    <w:p>
      <w:pPr>
        <w:pStyle w:val="Heading1"/>
        <w:spacing w:before="0" w:after="80"/>
      </w:pPr>
      <w:r>
        <w:rPr>
          <w:b w:val="0"/>
          <w:i w:val="0"/>
        </w:rPr>
        <w:t>12. 3D viewer subsystem</w:t>
      </w:r>
    </w:p>
    <w:p>
      <w:pPr>
        <w:spacing w:before="0" w:after="80"/>
      </w:pPr>
      <w:r>
        <w:rPr>
          <w:b w:val="0"/>
          <w:i w:val="0"/>
        </w:rPr>
        <w:t>The production viewer is split across `viewer/tabs/viewer3d-tab.js`, `viewer/viewer-3d.js`, `viewer/viewer-3d-config.js`, and `viewer/viewer-actions.js`.</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2268"/>
            <w:shd w:fill="EAF2FA"/>
            <w:vAlign w:val="center"/>
          </w:tcPr>
          <w:p>
            <w:r>
              <w:rPr>
                <w:b/>
                <w:color w:val="17345C"/>
              </w:rPr>
              <w:t>Concern</w:t>
            </w:r>
          </w:p>
        </w:tc>
        <w:tc>
          <w:tcPr>
            <w:tcW w:type="dxa" w:w="6463"/>
            <w:shd w:fill="EAF2FA"/>
            <w:vAlign w:val="center"/>
          </w:tcPr>
          <w:p>
            <w:r>
              <w:rPr>
                <w:b/>
                <w:color w:val="17345C"/>
              </w:rPr>
              <w:t>Current implementation</w:t>
            </w:r>
          </w:p>
        </w:tc>
      </w:tr>
      <w:tr>
        <w:tc>
          <w:tcPr>
            <w:tcW w:type="dxa" w:w="2268"/>
            <w:vAlign w:val="center"/>
          </w:tcPr>
          <w:p>
            <w:r>
              <w:t>Mounting / UI shell</w:t>
            </w:r>
          </w:p>
        </w:tc>
        <w:tc>
          <w:tcPr>
            <w:tcW w:type="dxa" w:w="6463"/>
            <w:vAlign w:val="center"/>
          </w:tcPr>
          <w:p>
            <w:r>
              <w:t>`viewer3d-tab.js` builds ribbon, settings panel, canvas host, summary panel, component panel, and status bar</w:t>
            </w:r>
          </w:p>
        </w:tc>
      </w:tr>
      <w:tr>
        <w:tc>
          <w:tcPr>
            <w:tcW w:type="dxa" w:w="2268"/>
            <w:vAlign w:val="center"/>
          </w:tcPr>
          <w:p>
            <w:r>
              <w:t>Renderer engine</w:t>
            </w:r>
          </w:p>
        </w:tc>
        <w:tc>
          <w:tcPr>
            <w:tcW w:type="dxa" w:w="6463"/>
            <w:vAlign w:val="center"/>
          </w:tcPr>
          <w:p>
            <w:r>
              <w:t>`PcfViewer3D` class in `viewer/viewer-3d.js`</w:t>
            </w:r>
          </w:p>
        </w:tc>
      </w:tr>
      <w:tr>
        <w:tc>
          <w:tcPr>
            <w:tcW w:type="dxa" w:w="2268"/>
            <w:vAlign w:val="center"/>
          </w:tcPr>
          <w:p>
            <w:r>
              <w:t>Config defaults / normalization</w:t>
            </w:r>
          </w:p>
        </w:tc>
        <w:tc>
          <w:tcPr>
            <w:tcW w:type="dxa" w:w="6463"/>
            <w:vAlign w:val="center"/>
          </w:tcPr>
          <w:p>
            <w:r>
              <w:t>`DEFAULT_VIEWER3D_CONFIG` + `getResolvedViewer3DConfig()`</w:t>
            </w:r>
          </w:p>
        </w:tc>
      </w:tr>
      <w:tr>
        <w:tc>
          <w:tcPr>
            <w:tcW w:type="dxa" w:w="2268"/>
            <w:vAlign w:val="center"/>
          </w:tcPr>
          <w:p>
            <w:r>
              <w:t>Toolbar semantics</w:t>
            </w:r>
          </w:p>
        </w:tc>
        <w:tc>
          <w:tcPr>
            <w:tcW w:type="dxa" w:w="6463"/>
            <w:vAlign w:val="center"/>
          </w:tcPr>
          <w:p>
            <w:r>
              <w:t>Canonical action IDs and action execution in `viewer-actions.js`</w:t>
            </w:r>
          </w:p>
        </w:tc>
      </w:tr>
      <w:tr>
        <w:tc>
          <w:tcPr>
            <w:tcW w:type="dxa" w:w="2268"/>
            <w:vAlign w:val="center"/>
          </w:tcPr>
          <w:p>
            <w:r>
              <w:t>Component panel</w:t>
            </w:r>
          </w:p>
        </w:tc>
        <w:tc>
          <w:tcPr>
            <w:tcW w:type="dxa" w:w="6463"/>
            <w:vAlign w:val="center"/>
          </w:tcPr>
          <w:p>
            <w:r>
              <w:t>`viewer3d/component-panel-model.js` builds property sections from selected component</w:t>
            </w:r>
          </w:p>
        </w:tc>
      </w:tr>
    </w:tbl>
    <w:p/>
    <w:p>
      <w:pPr>
        <w:pStyle w:val="ListBullet"/>
        <w:spacing w:after="40"/>
        <w:ind w:left="227"/>
      </w:pPr>
      <w:r>
        <w:rPr>
          <w:b/>
        </w:rPr>
        <w:t xml:space="preserve">Navigation. </w:t>
      </w:r>
      <w:r>
        <w:t>Select, orbit, pan, marquee zoom, axis snaps, fit all, fit selection, and projection toggle are implemented as canonical actions.</w:t>
      </w:r>
    </w:p>
    <w:p>
      <w:pPr>
        <w:pStyle w:val="ListBullet"/>
        <w:spacing w:after="40"/>
        <w:ind w:left="227"/>
      </w:pPr>
      <w:r>
        <w:rPr>
          <w:b/>
        </w:rPr>
        <w:t xml:space="preserve">Inspection. </w:t>
      </w:r>
      <w:r>
        <w:t>Selection, component property display, theme switching, and status messaging are implemented.</w:t>
      </w:r>
    </w:p>
    <w:p>
      <w:pPr>
        <w:pStyle w:val="ListBullet"/>
        <w:spacing w:after="40"/>
        <w:ind w:left="227"/>
      </w:pPr>
      <w:r>
        <w:rPr>
          <w:b/>
        </w:rPr>
        <w:t xml:space="preserve">Measurement. </w:t>
      </w:r>
      <w:r>
        <w:t>Point-to-point measurement is implemented and surfaced through trace events and clipboard copy.</w:t>
      </w:r>
    </w:p>
    <w:p>
      <w:pPr>
        <w:pStyle w:val="ListBullet"/>
        <w:spacing w:after="40"/>
        <w:ind w:left="227"/>
      </w:pPr>
      <w:r>
        <w:rPr>
          <w:b/>
        </w:rPr>
        <w:t xml:space="preserve">Sectioning. </w:t>
      </w:r>
      <w:r>
        <w:t>Box section and plane-up section modes exist, including keyboard and wheel interaction paths.</w:t>
      </w:r>
    </w:p>
    <w:p>
      <w:pPr>
        <w:pStyle w:val="ListBullet"/>
        <w:spacing w:after="40"/>
        <w:ind w:left="227"/>
      </w:pPr>
      <w:r>
        <w:rPr>
          <w:b/>
        </w:rPr>
        <w:t xml:space="preserve">Overlays. </w:t>
      </w:r>
      <w:r>
        <w:t>Node labels, line labels, length labels, spare CSV overlays, and heatmaps are supported as viewer-layer features.</w:t>
      </w:r>
    </w:p>
    <w:p>
      <w:pPr>
        <w:pStyle w:val="ListBullet"/>
        <w:spacing w:after="40"/>
        <w:ind w:left="227"/>
      </w:pPr>
      <w:r>
        <w:rPr>
          <w:b/>
        </w:rPr>
        <w:t xml:space="preserve">Support rendering. </w:t>
      </w:r>
      <w:r>
        <w:t>The renderer contains significant logic for support inference, symbol generation, and support-direction mapping.</w:t>
      </w:r>
    </w:p>
    <w:p>
      <w:pPr>
        <w:pStyle w:val="Heading1"/>
        <w:spacing w:before="0" w:after="80"/>
      </w:pPr>
      <w:r>
        <w:rPr>
          <w:b w:val="0"/>
          <w:i w:val="0"/>
        </w:rPr>
        <w:t>13. Converter workspace specification</w:t>
      </w:r>
    </w:p>
    <w:p>
      <w:pPr>
        <w:spacing w:before="0" w:after="80"/>
      </w:pPr>
      <w:r>
        <w:rPr>
          <w:b w:val="0"/>
          <w:i w:val="0"/>
        </w:rPr>
        <w:t>The mounted conversion workspace is `viewer/tabs/pcfx-converter-tab.js`. It acts as a tri-format interchange tool rather than a viewer-only page.</w:t>
      </w:r>
    </w:p>
    <w:p>
      <w:pPr>
        <w:pStyle w:val="ListBullet"/>
        <w:spacing w:after="40"/>
        <w:ind w:left="227"/>
      </w:pPr>
      <w:r>
        <w:rPr>
          <w:b/>
        </w:rPr>
        <w:t xml:space="preserve">Modes. </w:t>
      </w:r>
      <w:r>
        <w:t>The UI supports reading a source document, converting to a selected output mode, previewing scene geometry, and downloading results.</w:t>
      </w:r>
    </w:p>
    <w:p>
      <w:pPr>
        <w:pStyle w:val="ListBullet"/>
        <w:spacing w:after="40"/>
        <w:ind w:left="227"/>
      </w:pPr>
      <w:r>
        <w:rPr>
          <w:b/>
        </w:rPr>
        <w:t xml:space="preserve">Settings. </w:t>
      </w:r>
      <w:r>
        <w:t>Producer metadata, default pipeline/class/rating data, unit defaults, and support defaults are all configurable.</w:t>
      </w:r>
    </w:p>
    <w:p>
      <w:pPr>
        <w:pStyle w:val="ListBullet"/>
        <w:spacing w:after="40"/>
        <w:ind w:left="227"/>
      </w:pPr>
      <w:r>
        <w:rPr>
          <w:b/>
        </w:rPr>
        <w:t xml:space="preserve">Diagnostics. </w:t>
      </w:r>
      <w:r>
        <w:t>The converter can emit source and document diagnostics so data loss or invalid structures are visible to the user.</w:t>
      </w:r>
    </w:p>
    <w:p>
      <w:pPr>
        <w:pStyle w:val="ListBullet"/>
        <w:spacing w:after="40"/>
        <w:ind w:left="227"/>
      </w:pPr>
      <w:r>
        <w:rPr>
          <w:b/>
        </w:rPr>
        <w:t xml:space="preserve">Preview. </w:t>
      </w:r>
      <w:r>
        <w:t>A lightweight preview scene is built with OrbitControls and color/heatmap utilities for inspection before export.</w:t>
      </w:r>
    </w:p>
    <w:p>
      <w:pPr>
        <w:pStyle w:val="Heading1"/>
        <w:spacing w:before="0" w:after="80"/>
      </w:pPr>
      <w:r>
        <w:rPr>
          <w:b w:val="0"/>
          <w:i w:val="0"/>
        </w:rPr>
        <w:t>14. Advanced viewer and editor modules</w:t>
      </w:r>
    </w:p>
    <w:p>
      <w:pPr>
        <w:spacing w:before="0" w:after="80"/>
      </w:pPr>
      <w:r>
        <w:rPr>
          <w:b w:val="0"/>
          <w:i w:val="0"/>
        </w:rPr>
        <w:t>Under `viewer/js/pcf2glb/` the repository contains a second product family: advanced viewing and editor runtimes. These are important to the master spec because they define the likely future direction of the application.</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51"/>
        <w:gridCol w:w="3251"/>
        <w:gridCol w:w="3251"/>
      </w:tblGrid>
      <w:tr>
        <w:tc>
          <w:tcPr>
            <w:tcW w:type="dxa" w:w="2381"/>
            <w:shd w:fill="EAF2FA"/>
            <w:vAlign w:val="center"/>
          </w:tcPr>
          <w:p>
            <w:r>
              <w:rPr>
                <w:b/>
                <w:color w:val="17345C"/>
              </w:rPr>
              <w:t>Module</w:t>
            </w:r>
          </w:p>
        </w:tc>
        <w:tc>
          <w:tcPr>
            <w:tcW w:type="dxa" w:w="3402"/>
            <w:shd w:fill="EAF2FA"/>
            <w:vAlign w:val="center"/>
          </w:tcPr>
          <w:p>
            <w:r>
              <w:rPr>
                <w:b/>
                <w:color w:val="17345C"/>
              </w:rPr>
              <w:t>Role</w:t>
            </w:r>
          </w:p>
        </w:tc>
        <w:tc>
          <w:tcPr>
            <w:tcW w:type="dxa" w:w="2948"/>
            <w:shd w:fill="EAF2FA"/>
            <w:vAlign w:val="center"/>
          </w:tcPr>
          <w:p>
            <w:r>
              <w:rPr>
                <w:b/>
                <w:color w:val="17345C"/>
              </w:rPr>
              <w:t>Current maturity</w:t>
            </w:r>
          </w:p>
        </w:tc>
      </w:tr>
      <w:tr>
        <w:tc>
          <w:tcPr>
            <w:tcW w:type="dxa" w:w="2381"/>
            <w:vAlign w:val="center"/>
          </w:tcPr>
          <w:p>
            <w:r>
              <w:t>advanced/*</w:t>
            </w:r>
          </w:p>
        </w:tc>
        <w:tc>
          <w:tcPr>
            <w:tcW w:type="dxa" w:w="3402"/>
            <w:vAlign w:val="center"/>
          </w:tcPr>
          <w:p>
            <w:r>
              <w:t>Reusable viewer runtime pieces: renderer, camera controller, toolbar, property panel, debug panel, section box, heatmap, selection</w:t>
            </w:r>
          </w:p>
        </w:tc>
        <w:tc>
          <w:tcPr>
            <w:tcW w:type="dxa" w:w="2948"/>
            <w:vAlign w:val="center"/>
          </w:tcPr>
          <w:p>
            <w:r>
              <w:t>Usable but separate from production-mounted viewer</w:t>
            </w:r>
          </w:p>
        </w:tc>
      </w:tr>
      <w:tr>
        <w:tc>
          <w:tcPr>
            <w:tcW w:type="dxa" w:w="2381"/>
            <w:vAlign w:val="center"/>
          </w:tcPr>
          <w:p>
            <w:r>
              <w:t>ui/AdvancedGlbViewerPanel.js</w:t>
            </w:r>
          </w:p>
        </w:tc>
        <w:tc>
          <w:tcPr>
            <w:tcW w:type="dxa" w:w="3402"/>
            <w:vAlign w:val="center"/>
          </w:tcPr>
          <w:p>
            <w:r>
              <w:t>Development-only advanced GLB viewer shell with file load, mock load, debug panel, property panel</w:t>
            </w:r>
          </w:p>
        </w:tc>
        <w:tc>
          <w:tcPr>
            <w:tcW w:type="dxa" w:w="2948"/>
            <w:vAlign w:val="center"/>
          </w:tcPr>
          <w:p>
            <w:r>
              <w:t>Mounted only on localhost</w:t>
            </w:r>
          </w:p>
        </w:tc>
      </w:tr>
      <w:tr>
        <w:tc>
          <w:tcPr>
            <w:tcW w:type="dxa" w:w="2381"/>
            <w:vAlign w:val="center"/>
          </w:tcPr>
          <w:p>
            <w:r>
              <w:t>pro-editor/*</w:t>
            </w:r>
          </w:p>
        </w:tc>
        <w:tc>
          <w:tcPr>
            <w:tcW w:type="dxa" w:w="3402"/>
            <w:vAlign w:val="center"/>
          </w:tcPr>
          <w:p>
            <w:r>
              <w:t>First-generation editor workspace with command stack and data store</w:t>
            </w:r>
          </w:p>
        </w:tc>
        <w:tc>
          <w:tcPr>
            <w:tcW w:type="dxa" w:w="2948"/>
            <w:vAlign w:val="center"/>
          </w:tcPr>
          <w:p>
            <w:r>
              <w:t>Partially implemented; multiple tools explicitly pending</w:t>
            </w:r>
          </w:p>
        </w:tc>
      </w:tr>
      <w:tr>
        <w:tc>
          <w:tcPr>
            <w:tcW w:type="dxa" w:w="2381"/>
            <w:vAlign w:val="center"/>
          </w:tcPr>
          <w:p>
            <w:r>
              <w:t>pro2-editor/*</w:t>
            </w:r>
          </w:p>
        </w:tc>
        <w:tc>
          <w:tcPr>
            <w:tcW w:type="dxa" w:w="3402"/>
            <w:vAlign w:val="center"/>
          </w:tcPr>
          <w:p>
            <w:r>
              <w:t>Second-generation editor shell with independent data store and similar toolset</w:t>
            </w:r>
          </w:p>
        </w:tc>
        <w:tc>
          <w:tcPr>
            <w:tcW w:type="dxa" w:w="2948"/>
            <w:vAlign w:val="center"/>
          </w:tcPr>
          <w:p>
            <w:r>
              <w:t>Partially implemented; multiple tools explicitly pending</w:t>
            </w:r>
          </w:p>
        </w:tc>
      </w:tr>
    </w:tbl>
    <w:p/>
    <w:p>
      <w:pPr>
        <w:pStyle w:val="ListBullet"/>
        <w:spacing w:after="40"/>
        <w:ind w:left="227"/>
      </w:pPr>
      <w:r>
        <w:rPr>
          <w:b/>
        </w:rPr>
        <w:t xml:space="preserve">Editing foundation. </w:t>
      </w:r>
      <w:r>
        <w:t>Command stacks, selection helpers, camera controllers, and datatable stores are implemented.</w:t>
      </w:r>
    </w:p>
    <w:p>
      <w:pPr>
        <w:pStyle w:val="ListBullet"/>
        <w:spacing w:after="40"/>
        <w:ind w:left="227"/>
      </w:pPr>
      <w:r>
        <w:rPr>
          <w:b/>
        </w:rPr>
        <w:t xml:space="preserve">Important limitation. </w:t>
      </w:r>
      <w:r>
        <w:t>Several visible tools such as break, connect, stretch, annotations, and some specialized modes are announced in UI but not yet functionally complete.</w:t>
      </w:r>
    </w:p>
    <w:p>
      <w:pPr>
        <w:pStyle w:val="ListBullet"/>
        <w:spacing w:after="40"/>
        <w:ind w:left="227"/>
      </w:pPr>
      <w:r>
        <w:rPr>
          <w:b/>
        </w:rPr>
        <w:t xml:space="preserve">Specification implication. </w:t>
      </w:r>
      <w:r>
        <w:t>These modules SHOULD be treated as roadmap surfaces, not as production-equivalent features, until tool completion and persistence rules are formalized.</w:t>
      </w:r>
    </w:p>
    <w:p>
      <w:pPr>
        <w:pStyle w:val="Heading1"/>
        <w:spacing w:before="0" w:after="80"/>
      </w:pPr>
      <w:r>
        <w:rPr>
          <w:b w:val="0"/>
          <w:i w:val="0"/>
        </w:rPr>
        <w:t>15. Dormant CAESAR/reporting subsystem</w:t>
      </w:r>
    </w:p>
    <w:p>
      <w:pPr>
        <w:spacing w:before="0" w:after="80"/>
      </w:pPr>
      <w:r>
        <w:rPr>
          <w:b w:val="0"/>
          <w:i w:val="0"/>
        </w:rPr>
        <w:t>The repository still contains a substantial analysis/reporting subsystem oriented around parsed CAESAR outputs and static report tables. Files under `viewer/tabs/summary-tab.js`, `input-tab.js`, `supports-tab.js`, `stress-tab.js`, `nozzle-tab.js`, `linelist-tab.js`, `misc-calc-tab.js`, and `debug-tab.js` support this older surface.</w:t>
      </w:r>
    </w:p>
    <w:p>
      <w:pPr>
        <w:pStyle w:val="ListBullet"/>
        <w:spacing w:after="40"/>
        <w:ind w:left="227"/>
      </w:pPr>
      <w:r>
        <w:rPr>
          <w:b/>
        </w:rPr>
        <w:t xml:space="preserve">Current status. </w:t>
      </w:r>
      <w:r>
        <w:t>These tabs are present in source but not mounted in the current main app.</w:t>
      </w:r>
    </w:p>
    <w:p>
      <w:pPr>
        <w:pStyle w:val="ListBullet"/>
        <w:spacing w:after="40"/>
        <w:ind w:left="227"/>
      </w:pPr>
      <w:r>
        <w:rPr>
          <w:b/>
        </w:rPr>
        <w:t xml:space="preserve">Capabilities. </w:t>
      </w:r>
      <w:r>
        <w:t>They include operating/design summaries, line-list matching, support tables, nozzle/stress reporting, miscellaneous engineering calculators, and debug transparency for parsed vs static data.</w:t>
      </w:r>
    </w:p>
    <w:p>
      <w:pPr>
        <w:pStyle w:val="ListBullet"/>
        <w:spacing w:after="40"/>
        <w:ind w:left="227"/>
      </w:pPr>
      <w:r>
        <w:rPr>
          <w:b/>
        </w:rPr>
        <w:t xml:space="preserve">Specification rule. </w:t>
      </w:r>
      <w:r>
        <w:t>This subsystem remains in-scope for the repository, but it is classified as latent functionality until it is reintroduced into the mounted navigation or explicitly removed.</w:t>
      </w:r>
    </w:p>
    <w:p>
      <w:pPr>
        <w:pStyle w:val="Heading1"/>
        <w:spacing w:before="0" w:after="80"/>
      </w:pPr>
      <w:r>
        <w:rPr>
          <w:b w:val="0"/>
          <w:i w:val="0"/>
        </w:rPr>
        <w:t>16. State, settings, and persistence</w:t>
      </w:r>
    </w:p>
    <w:p>
      <w:pPr>
        <w:spacing w:before="0" w:after="80"/>
      </w:pPr>
      <w:r>
        <w:rPr>
          <w:b w:val="0"/>
          <w:i w:val="0"/>
        </w:rPr>
        <w:t>State is centralized in `viewer/core/state.js`, with a minimal pub/sub event bus in `viewer/core/event-bus.js` and logging in `viewer/core/logger.js`.</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2948"/>
            <w:shd w:fill="EAF2FA"/>
            <w:vAlign w:val="center"/>
          </w:tcPr>
          <w:p>
            <w:r>
              <w:rPr>
                <w:b/>
                <w:color w:val="17345C"/>
              </w:rPr>
              <w:t>Category</w:t>
            </w:r>
          </w:p>
        </w:tc>
        <w:tc>
          <w:tcPr>
            <w:tcW w:type="dxa" w:w="5783"/>
            <w:shd w:fill="EAF2FA"/>
            <w:vAlign w:val="center"/>
          </w:tcPr>
          <w:p>
            <w:r>
              <w:rPr>
                <w:b/>
                <w:color w:val="17345C"/>
              </w:rPr>
              <w:t>Behavior</w:t>
            </w:r>
          </w:p>
        </w:tc>
      </w:tr>
      <w:tr>
        <w:tc>
          <w:tcPr>
            <w:tcW w:type="dxa" w:w="2948"/>
            <w:vAlign w:val="center"/>
          </w:tcPr>
          <w:p>
            <w:r>
              <w:t>Sticky engineering defaults</w:t>
            </w:r>
          </w:p>
        </w:tc>
        <w:tc>
          <w:tcPr>
            <w:tcW w:type="dxa" w:w="5783"/>
            <w:vAlign w:val="center"/>
          </w:tcPr>
          <w:p>
            <w:r>
              <w:t>Project/facility/doc info, support mappings, PCFX defaults are persisted in `localStorage`</w:t>
            </w:r>
          </w:p>
        </w:tc>
      </w:tr>
      <w:tr>
        <w:tc>
          <w:tcPr>
            <w:tcW w:type="dxa" w:w="2948"/>
            <w:vAlign w:val="center"/>
          </w:tcPr>
          <w:p>
            <w:r>
              <w:t>Viewer config</w:t>
            </w:r>
          </w:p>
        </w:tc>
        <w:tc>
          <w:tcPr>
            <w:tcW w:type="dxa" w:w="5783"/>
            <w:vAlign w:val="center"/>
          </w:tcPr>
          <w:p>
            <w:r>
              <w:t>Legacy viewer settings and dedicated `viewer3DConfig` are both persisted, with migration logic</w:t>
            </w:r>
          </w:p>
        </w:tc>
      </w:tr>
      <w:tr>
        <w:tc>
          <w:tcPr>
            <w:tcW w:type="dxa" w:w="2948"/>
            <w:vAlign w:val="center"/>
          </w:tcPr>
          <w:p>
            <w:r>
              <w:t>Event propagation</w:t>
            </w:r>
          </w:p>
        </w:tc>
        <w:tc>
          <w:tcPr>
            <w:tcW w:type="dxa" w:w="5783"/>
            <w:vAlign w:val="center"/>
          </w:tcPr>
          <w:p>
            <w:r>
              <w:t>Modules react to `parse-complete`, `file-loaded`, `viewer3d-config-changed`, `support-mapping-changed`, `tab-changed`, and log events</w:t>
            </w:r>
          </w:p>
        </w:tc>
      </w:tr>
      <w:tr>
        <w:tc>
          <w:tcPr>
            <w:tcW w:type="dxa" w:w="2948"/>
            <w:vAlign w:val="center"/>
          </w:tcPr>
          <w:p>
            <w:r>
              <w:t>Developer traces</w:t>
            </w:r>
          </w:p>
        </w:tc>
        <w:tc>
          <w:tcPr>
            <w:tcW w:type="dxa" w:w="5783"/>
            <w:vAlign w:val="center"/>
          </w:tcPr>
          <w:p>
            <w:r>
              <w:t>Trace events and support-debug channels exist for engineering transparency and troubleshooting</w:t>
            </w:r>
          </w:p>
        </w:tc>
      </w:tr>
    </w:tbl>
    <w:p/>
    <w:p>
      <w:pPr>
        <w:pStyle w:val="Heading1"/>
        <w:spacing w:before="0" w:after="80"/>
      </w:pPr>
      <w:r>
        <w:rPr>
          <w:b w:val="0"/>
          <w:i w:val="0"/>
        </w:rPr>
        <w:t>17. Calculation subsystem</w:t>
      </w:r>
    </w:p>
    <w:p>
      <w:pPr>
        <w:spacing w:before="0" w:after="80"/>
      </w:pPr>
      <w:r>
        <w:rPr>
          <w:b w:val="0"/>
          <w:i w:val="0"/>
        </w:rPr>
        <w:t>The calculation framework under `viewer/calc/` is modular and registry-based. Calculators normalize inputs, emit step-by-step reasoning, and return structured envelopes. Implemented calculators include vessel skirt temperature, trunnion checks, momentum, flange leakage, relief-valve reaction force, NEMA SM23, force summary, and slug loads.</w:t>
      </w:r>
    </w:p>
    <w:p>
      <w:pPr>
        <w:pStyle w:val="ListBullet"/>
        <w:spacing w:after="40"/>
        <w:ind w:left="227"/>
      </w:pPr>
      <w:r>
        <w:rPr>
          <w:b/>
        </w:rPr>
        <w:t xml:space="preserve">Engine. </w:t>
      </w:r>
      <w:r>
        <w:t>`runCalculation()` centralizes normalization, execution, validation, and warning/error logging.</w:t>
      </w:r>
    </w:p>
    <w:p>
      <w:pPr>
        <w:pStyle w:val="ListBullet"/>
        <w:spacing w:after="40"/>
        <w:ind w:left="227"/>
      </w:pPr>
      <w:r>
        <w:rPr>
          <w:b/>
        </w:rPr>
        <w:t xml:space="preserve">Registry. </w:t>
      </w:r>
      <w:r>
        <w:t>Calculators are registered by ID and exposed through the dormant misc-calc tab.</w:t>
      </w:r>
    </w:p>
    <w:p>
      <w:pPr>
        <w:pStyle w:val="ListBullet"/>
        <w:spacing w:after="40"/>
        <w:ind w:left="227"/>
      </w:pPr>
      <w:r>
        <w:rPr>
          <w:b/>
        </w:rPr>
        <w:t xml:space="preserve">Output model. </w:t>
      </w:r>
      <w:r>
        <w:t>Results include steps, warnings, errors, intermediate values, outputs, and optional benchmark metadata.</w:t>
      </w:r>
    </w:p>
    <w:p>
      <w:pPr>
        <w:pStyle w:val="ListBullet"/>
        <w:spacing w:after="40"/>
        <w:ind w:left="227"/>
      </w:pPr>
      <w:r>
        <w:rPr>
          <w:b/>
        </w:rPr>
        <w:t xml:space="preserve">Status. </w:t>
      </w:r>
      <w:r>
        <w:t>The framework is implemented, but user access is currently through latent tabs rather than the mounted main product.</w:t>
      </w:r>
    </w:p>
    <w:p>
      <w:pPr>
        <w:pStyle w:val="Heading1"/>
        <w:spacing w:before="0" w:after="80"/>
      </w:pPr>
      <w:r>
        <w:rPr>
          <w:b w:val="0"/>
          <w:i w:val="0"/>
        </w:rPr>
        <w:t>18. Non-functional requirements derived from source</w:t>
      </w:r>
    </w:p>
    <w:p>
      <w:pPr>
        <w:pStyle w:val="ListNumber"/>
        <w:spacing w:after="40"/>
      </w:pPr>
      <w:r>
        <w:t>The application must remain usable as a static website with no mandatory backend service.</w:t>
      </w:r>
    </w:p>
    <w:p>
      <w:pPr>
        <w:pStyle w:val="ListNumber"/>
        <w:spacing w:after="40"/>
      </w:pPr>
      <w:r>
        <w:t>Large geometry or engineering files should degrade gracefully with diagnostics instead of silent failure.</w:t>
      </w:r>
    </w:p>
    <w:p>
      <w:pPr>
        <w:pStyle w:val="ListNumber"/>
        <w:spacing w:after="40"/>
      </w:pPr>
      <w:r>
        <w:t>Source-to-canonical-to-viewer transformations must preserve traceability and recoverability of identifiers, attributes, and metadata.</w:t>
      </w:r>
    </w:p>
    <w:p>
      <w:pPr>
        <w:pStyle w:val="ListNumber"/>
        <w:spacing w:after="40"/>
      </w:pPr>
      <w:r>
        <w:t>Viewer configuration must be deterministic from persisted settings plus validated defaults.</w:t>
      </w:r>
    </w:p>
    <w:p>
      <w:pPr>
        <w:pStyle w:val="ListNumber"/>
        <w:spacing w:after="40"/>
      </w:pPr>
      <w:r>
        <w:t>Engineering heuristics—especially support kind inference, XML support direction, and continuity logic—must remain localized and testable.</w:t>
      </w:r>
    </w:p>
    <w:p>
      <w:pPr>
        <w:pStyle w:val="ListNumber"/>
        <w:spacing w:after="40"/>
      </w:pPr>
      <w:r>
        <w:t>Developer visibility is a requirement: logging, debug traces, and diagnostic summaries are core features, not optional polish.</w:t>
      </w:r>
    </w:p>
    <w:p>
      <w:pPr>
        <w:pStyle w:val="Heading1"/>
        <w:spacing w:before="0" w:after="80"/>
      </w:pPr>
      <w:r>
        <w:rPr>
          <w:b w:val="0"/>
          <w:i w:val="0"/>
        </w:rPr>
        <w:t>19. Current gaps and risks</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2324"/>
            <w:shd w:fill="EAF2FA"/>
            <w:vAlign w:val="center"/>
          </w:tcPr>
          <w:p>
            <w:r>
              <w:rPr>
                <w:b/>
                <w:color w:val="17345C"/>
              </w:rPr>
              <w:t>Risk / gap</w:t>
            </w:r>
          </w:p>
        </w:tc>
        <w:tc>
          <w:tcPr>
            <w:tcW w:type="dxa" w:w="6406"/>
            <w:shd w:fill="EAF2FA"/>
            <w:vAlign w:val="center"/>
          </w:tcPr>
          <w:p>
            <w:r>
              <w:rPr>
                <w:b/>
                <w:color w:val="17345C"/>
              </w:rPr>
              <w:t>Specification impact</w:t>
            </w:r>
          </w:p>
        </w:tc>
      </w:tr>
      <w:tr>
        <w:tc>
          <w:tcPr>
            <w:tcW w:type="dxa" w:w="2324"/>
            <w:vAlign w:val="center"/>
          </w:tcPr>
          <w:p>
            <w:r>
              <w:t>Dependency drift</w:t>
            </w:r>
          </w:p>
        </w:tc>
        <w:tc>
          <w:tcPr>
            <w:tcW w:type="dxa" w:w="6406"/>
            <w:vAlign w:val="center"/>
          </w:tcPr>
          <w:p>
            <w:r>
              <w:t>`package.json` declares `three@0.183.2` and `mdb-reader@3.2.0`, while `viewer/index.html` imports `three@0.160.1` and `mdb-reader@2` from CDNs.</w:t>
            </w:r>
          </w:p>
        </w:tc>
      </w:tr>
      <w:tr>
        <w:tc>
          <w:tcPr>
            <w:tcW w:type="dxa" w:w="2324"/>
            <w:vAlign w:val="center"/>
          </w:tcPr>
          <w:p>
            <w:r>
              <w:t>Test gap</w:t>
            </w:r>
          </w:p>
        </w:tc>
        <w:tc>
          <w:tcPr>
            <w:tcW w:type="dxa" w:w="6406"/>
            <w:vAlign w:val="center"/>
          </w:tcPr>
          <w:p>
            <w:r>
              <w:t>Playwright is configured, but the repository snapshot has no `tests/` directory.</w:t>
            </w:r>
          </w:p>
        </w:tc>
      </w:tr>
      <w:tr>
        <w:tc>
          <w:tcPr>
            <w:tcW w:type="dxa" w:w="2324"/>
            <w:vAlign w:val="center"/>
          </w:tcPr>
          <w:p>
            <w:r>
              <w:t>Feature completeness drift</w:t>
            </w:r>
          </w:p>
        </w:tc>
        <w:tc>
          <w:tcPr>
            <w:tcW w:type="dxa" w:w="6406"/>
            <w:vAlign w:val="center"/>
          </w:tcPr>
          <w:p>
            <w:r>
              <w:t>Several editor tools exist in UI but log “functionality pending” or “not yet implemented”.</w:t>
            </w:r>
          </w:p>
        </w:tc>
      </w:tr>
      <w:tr>
        <w:tc>
          <w:tcPr>
            <w:tcW w:type="dxa" w:w="2324"/>
            <w:vAlign w:val="center"/>
          </w:tcPr>
          <w:p>
            <w:r>
              <w:t>Hidden legacy surface area</w:t>
            </w:r>
          </w:p>
        </w:tc>
        <w:tc>
          <w:tcPr>
            <w:tcW w:type="dxa" w:w="6406"/>
            <w:vAlign w:val="center"/>
          </w:tcPr>
          <w:p>
            <w:r>
              <w:t>Multiple CAESAR/reporting tabs and static data modules remain in repo but are not part of the mounted main application.</w:t>
            </w:r>
          </w:p>
        </w:tc>
      </w:tr>
      <w:tr>
        <w:tc>
          <w:tcPr>
            <w:tcW w:type="dxa" w:w="2324"/>
            <w:vAlign w:val="center"/>
          </w:tcPr>
          <w:p>
            <w:r>
              <w:t>Browser-only persistence</w:t>
            </w:r>
          </w:p>
        </w:tc>
        <w:tc>
          <w:tcPr>
            <w:tcW w:type="dxa" w:w="6406"/>
            <w:vAlign w:val="center"/>
          </w:tcPr>
          <w:p>
            <w:r>
              <w:t>Key settings, mappings, and defaults are stored in `localStorage`, so environment portability is user-session dependent.</w:t>
            </w:r>
          </w:p>
        </w:tc>
      </w:tr>
      <w:tr>
        <w:tc>
          <w:tcPr>
            <w:tcW w:type="dxa" w:w="2324"/>
            <w:vAlign w:val="center"/>
          </w:tcPr>
          <w:p>
            <w:r>
              <w:t>External runtime dependency</w:t>
            </w:r>
          </w:p>
        </w:tc>
        <w:tc>
          <w:tcPr>
            <w:tcW w:type="dxa" w:w="6406"/>
            <w:vAlign w:val="center"/>
          </w:tcPr>
          <w:p>
            <w:r>
              <w:t>Main viewer uses CDN import maps, so offline or locked-down environments require vendoring or build-step changes.</w:t>
            </w:r>
          </w:p>
        </w:tc>
      </w:tr>
    </w:tbl>
    <w:p/>
    <w:p>
      <w:pPr>
        <w:pStyle w:val="Heading1"/>
        <w:spacing w:before="0" w:after="80"/>
      </w:pPr>
      <w:r>
        <w:rPr>
          <w:b w:val="0"/>
          <w:i w:val="0"/>
        </w:rPr>
        <w:t>20. Master implementation directives for future work</w:t>
      </w:r>
    </w:p>
    <w:p>
      <w:pPr>
        <w:pStyle w:val="ListBullet"/>
        <w:spacing w:after="40"/>
        <w:ind w:left="227"/>
      </w:pPr>
      <w:r>
        <w:rPr>
          <w:b/>
        </w:rPr>
        <w:t xml:space="preserve">Unify on PCFX. </w:t>
      </w:r>
      <w:r>
        <w:t>All new import/export/editor work should declare how it enters or exits canonical PCFX.</w:t>
      </w:r>
    </w:p>
    <w:p>
      <w:pPr>
        <w:pStyle w:val="ListBullet"/>
        <w:spacing w:after="40"/>
        <w:ind w:left="227"/>
      </w:pPr>
      <w:r>
        <w:rPr>
          <w:b/>
        </w:rPr>
        <w:t xml:space="preserve">Separate production from experimental UI. </w:t>
      </w:r>
      <w:r>
        <w:t>Mounted tabs should be explicitly production-grade; editor experiments should be visibly labeled until complete.</w:t>
      </w:r>
    </w:p>
    <w:p>
      <w:pPr>
        <w:pStyle w:val="ListBullet"/>
        <w:spacing w:after="40"/>
        <w:ind w:left="227"/>
      </w:pPr>
      <w:r>
        <w:rPr>
          <w:b/>
        </w:rPr>
        <w:t xml:space="preserve">Formalize tool completion criteria. </w:t>
      </w:r>
      <w:r>
        <w:t>No tool should remain visually first-class while only logging a pending state without an explicit roadmap note.</w:t>
      </w:r>
    </w:p>
    <w:p>
      <w:pPr>
        <w:pStyle w:val="ListBullet"/>
        <w:spacing w:after="40"/>
        <w:ind w:left="227"/>
      </w:pPr>
      <w:r>
        <w:rPr>
          <w:b/>
        </w:rPr>
        <w:t xml:space="preserve">Close dependency drift. </w:t>
      </w:r>
      <w:r>
        <w:t>Import-map versions and npm dependency versions should be reconciled to a single tested runtime.</w:t>
      </w:r>
    </w:p>
    <w:p>
      <w:pPr>
        <w:pStyle w:val="ListBullet"/>
        <w:spacing w:after="40"/>
        <w:ind w:left="227"/>
      </w:pPr>
      <w:r>
        <w:rPr>
          <w:b/>
        </w:rPr>
        <w:t xml:space="preserve">Add real automated tests. </w:t>
      </w:r>
      <w:r>
        <w:t>The existing Playwright and benchmark scaffolding should be backed by actual regression tests for parser correctness, converter round-trip fidelity, and viewer interactions.</w:t>
      </w:r>
    </w:p>
    <w:p>
      <w:pPr>
        <w:pStyle w:val="ListBullet"/>
        <w:spacing w:after="40"/>
        <w:ind w:left="227"/>
      </w:pPr>
      <w:r>
        <w:rPr>
          <w:b/>
        </w:rPr>
        <w:t xml:space="preserve">Decide the fate of dormant tabs. </w:t>
      </w:r>
      <w:r>
        <w:t>Either remount them as supported functionality or retire them into an archive boundary.</w:t>
      </w:r>
    </w:p>
    <w:p>
      <w:pPr>
        <w:pStyle w:val="Heading1"/>
        <w:spacing w:before="0" w:after="80"/>
      </w:pPr>
      <w:r>
        <w:rPr>
          <w:b w:val="0"/>
          <w:i w:val="0"/>
        </w:rPr>
        <w:t>21. Appendix A — recommended target architecture</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4876"/>
        <w:gridCol w:w="4876"/>
      </w:tblGrid>
      <w:tr>
        <w:tc>
          <w:tcPr>
            <w:tcW w:type="dxa" w:w="2268"/>
            <w:shd w:fill="EAF2FA"/>
            <w:vAlign w:val="center"/>
          </w:tcPr>
          <w:p>
            <w:r>
              <w:rPr>
                <w:b/>
                <w:color w:val="17345C"/>
              </w:rPr>
              <w:t>Layer</w:t>
            </w:r>
          </w:p>
        </w:tc>
        <w:tc>
          <w:tcPr>
            <w:tcW w:type="dxa" w:w="6463"/>
            <w:shd w:fill="EAF2FA"/>
            <w:vAlign w:val="center"/>
          </w:tcPr>
          <w:p>
            <w:r>
              <w:rPr>
                <w:b/>
                <w:color w:val="17345C"/>
              </w:rPr>
              <w:t>Authoritative responsibility</w:t>
            </w:r>
          </w:p>
        </w:tc>
      </w:tr>
      <w:tr>
        <w:tc>
          <w:tcPr>
            <w:tcW w:type="dxa" w:w="2268"/>
            <w:vAlign w:val="center"/>
          </w:tcPr>
          <w:p>
            <w:r>
              <w:t>Source adapters</w:t>
            </w:r>
          </w:p>
        </w:tc>
        <w:tc>
          <w:tcPr>
            <w:tcW w:type="dxa" w:w="6463"/>
            <w:vAlign w:val="center"/>
          </w:tcPr>
          <w:p>
            <w:r>
              <w:t>Parse and repair raw inputs only</w:t>
            </w:r>
          </w:p>
        </w:tc>
      </w:tr>
      <w:tr>
        <w:tc>
          <w:tcPr>
            <w:tcW w:type="dxa" w:w="2268"/>
            <w:vAlign w:val="center"/>
          </w:tcPr>
          <w:p>
            <w:r>
              <w:t>Canonical core (PCFX)</w:t>
            </w:r>
          </w:p>
        </w:tc>
        <w:tc>
          <w:tcPr>
            <w:tcW w:type="dxa" w:w="6463"/>
            <w:vAlign w:val="center"/>
          </w:tcPr>
          <w:p>
            <w:r>
              <w:t>Own normalized engineering data contract</w:t>
            </w:r>
          </w:p>
        </w:tc>
      </w:tr>
      <w:tr>
        <w:tc>
          <w:tcPr>
            <w:tcW w:type="dxa" w:w="2268"/>
            <w:vAlign w:val="center"/>
          </w:tcPr>
          <w:p>
            <w:r>
              <w:t>View adapters</w:t>
            </w:r>
          </w:p>
        </w:tc>
        <w:tc>
          <w:tcPr>
            <w:tcW w:type="dxa" w:w="6463"/>
            <w:vAlign w:val="center"/>
          </w:tcPr>
          <w:p>
            <w:r>
              <w:t>Map canonical items into viewer/runtime shapes</w:t>
            </w:r>
          </w:p>
        </w:tc>
      </w:tr>
      <w:tr>
        <w:tc>
          <w:tcPr>
            <w:tcW w:type="dxa" w:w="2268"/>
            <w:vAlign w:val="center"/>
          </w:tcPr>
          <w:p>
            <w:r>
              <w:t>Editor domain</w:t>
            </w:r>
          </w:p>
        </w:tc>
        <w:tc>
          <w:tcPr>
            <w:tcW w:type="dxa" w:w="6463"/>
            <w:vAlign w:val="center"/>
          </w:tcPr>
          <w:p>
            <w:r>
              <w:t>Modify canonical items and synchronized datatable rows</w:t>
            </w:r>
          </w:p>
        </w:tc>
      </w:tr>
      <w:tr>
        <w:tc>
          <w:tcPr>
            <w:tcW w:type="dxa" w:w="2268"/>
            <w:vAlign w:val="center"/>
          </w:tcPr>
          <w:p>
            <w:r>
              <w:t>Export adapters</w:t>
            </w:r>
          </w:p>
        </w:tc>
        <w:tc>
          <w:tcPr>
            <w:tcW w:type="dxa" w:w="6463"/>
            <w:vAlign w:val="center"/>
          </w:tcPr>
          <w:p>
            <w:r>
              <w:t>Serialize canonical items into PCF, GLB, and future formats</w:t>
            </w:r>
          </w:p>
        </w:tc>
      </w:tr>
      <w:tr>
        <w:tc>
          <w:tcPr>
            <w:tcW w:type="dxa" w:w="2268"/>
            <w:vAlign w:val="center"/>
          </w:tcPr>
          <w:p>
            <w:r>
              <w:t>Diagnostics</w:t>
            </w:r>
          </w:p>
        </w:tc>
        <w:tc>
          <w:tcPr>
            <w:tcW w:type="dxa" w:w="6463"/>
            <w:vAlign w:val="center"/>
          </w:tcPr>
          <w:p>
            <w:r>
              <w:t>Attach to every stage as structured logs and snapshots</w:t>
            </w:r>
          </w:p>
        </w:tc>
      </w:tr>
    </w:tbl>
    <w:p/>
    <w:tbl>
      <w:tblPr>
        <w:tblStyle w:val="TableGrid"/>
        <w:tblW w:type="auto" w:w="0"/>
        <w:jc w:val="center"/>
        <w:tblLook w:firstColumn="1" w:firstRow="1" w:lastColumn="0" w:lastRow="0" w:noHBand="0" w:noVBand="1" w:val="04A0"/>
        <w:tblBorders>
          <w:top w:val="single" w:sz="6" w:space="0" w:color="C7D8EA"/>
          <w:left w:val="single" w:sz="6" w:space="0" w:color="C7D8EA"/>
          <w:bottom w:val="single" w:sz="6" w:space="0" w:color="C7D8EA"/>
          <w:right w:val="single" w:sz="6" w:space="0" w:color="C7D8EA"/>
          <w:insideH w:val="single" w:sz="6" w:space="0" w:color="C7D8EA"/>
          <w:insideV w:val="single" w:sz="6" w:space="0" w:color="C7D8EA"/>
        </w:tblBorders>
      </w:tblPr>
      <w:tblGrid>
        <w:gridCol w:w="9752"/>
      </w:tblGrid>
      <w:tr>
        <w:tc>
          <w:tcPr>
            <w:tcW w:type="dxa" w:w="9752"/>
            <w:shd w:fill="F4F8FC"/>
          </w:tcPr>
          <w:p>
            <w:r>
              <w:rPr>
                <w:b/>
                <w:color w:val="17345C"/>
              </w:rPr>
              <w:t>Recommended future rule set</w:t>
            </w:r>
          </w:p>
          <w:p>
            <w:pPr>
              <w:spacing w:after="0"/>
            </w:pPr>
            <w:r>
              <w:t>The project should evolve from “many modules that can happen to work together” into “one canonical model with many controlled adapters”. That change does not require a rewrite. The current source already contains the seeds of that architecture; this specification simply makes it explicit.</w:t>
            </w:r>
          </w:p>
        </w:tc>
      </w:tr>
    </w:tbl>
    <w:p/>
    <w:p>
      <w:pPr>
        <w:pStyle w:val="Heading1"/>
        <w:spacing w:before="0" w:after="80"/>
      </w:pPr>
      <w:r>
        <w:rPr>
          <w:b w:val="0"/>
          <w:i w:val="0"/>
        </w:rPr>
        <w:t>22. Appendix B — active and latent repository signals</w:t>
      </w:r>
    </w:p>
    <w:p>
      <w:pPr>
        <w:pStyle w:val="ListBullet"/>
        <w:spacing w:after="40"/>
        <w:ind w:left="227"/>
      </w:pPr>
      <w:r>
        <w:rPr>
          <w:b/>
        </w:rPr>
        <w:t xml:space="preserve">GitHub Pages workflow present. </w:t>
      </w:r>
      <w:r>
        <w:t>Confirms static deployment as a real requirement.</w:t>
      </w:r>
    </w:p>
    <w:p>
      <w:pPr>
        <w:pStyle w:val="ListBullet"/>
        <w:spacing w:after="40"/>
        <w:ind w:left="227"/>
      </w:pPr>
      <w:r>
        <w:rPr>
          <w:b/>
        </w:rPr>
        <w:t xml:space="preserve">Sample PCF, XML, and image assets present. </w:t>
      </w:r>
      <w:r>
        <w:t>Confirms that repository carries fixtures and visual debugging aids.</w:t>
      </w:r>
    </w:p>
    <w:p>
      <w:pPr>
        <w:pStyle w:val="ListBullet"/>
        <w:spacing w:after="40"/>
        <w:ind w:left="227"/>
      </w:pPr>
      <w:r>
        <w:rPr>
          <w:b/>
        </w:rPr>
        <w:t xml:space="preserve">Backup and `.claude` worktree folders present. </w:t>
      </w:r>
      <w:r>
        <w:t>These should not be treated as production source of truth.</w:t>
      </w:r>
    </w:p>
    <w:p>
      <w:pPr>
        <w:pStyle w:val="ListBullet"/>
        <w:spacing w:after="40"/>
        <w:ind w:left="227"/>
      </w:pPr>
      <w:r>
        <w:rPr>
          <w:b/>
        </w:rPr>
        <w:t xml:space="preserve">No `tests/` directory in current snapshot. </w:t>
      </w:r>
      <w:r>
        <w:t>Automated quality gates are not yet materially implemented.</w:t>
      </w:r>
    </w:p>
    <w:sectPr w:rsidR="00FC693F" w:rsidRPr="0006063C" w:rsidSect="00034616">
      <w:headerReference w:type="default" r:id="rId9"/>
      <w:footerReference w:type="default" r:id="rId10"/>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Core Specification Master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PCF GLB Viewers and Converter — Core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4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5F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4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4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