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LAFEA Non-Bucket Recovery-to-Render Concept Note</w:t>
      </w:r>
    </w:p>
    <w:p>
      <w:pPr>
        <w:pStyle w:val="Subtitle"/>
      </w:pPr>
      <w:r>
        <w:t>Current authority, NB-T4B qualification gap and controlled path to stage-vertical closure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Current main</w:t>
              <w:br/>
              <w:t>f4445b32442b...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Accepted through</w:t>
              <w:br/>
              <w:t>NB-T4A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Active PR</w:t>
              <w:br/>
              <w:t>#242 / draft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Disposition</w:t>
              <w:br/>
              <w:t>UNRESOLVED_GATE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EAF3F8"/>
            <w:tcMar>
              <w:top w:w="84" w:type="dxa"/>
              <w:start w:w="104" w:type="dxa"/>
              <w:bottom w:w="84" w:type="dxa"/>
              <w:end w:w="104" w:type="dxa"/>
            </w:tcMar>
            <w:tcBorders>
              <w:top w:val="single" w:sz="8" w:color="6D9DC5"/>
              <w:left w:val="single" w:sz="8" w:color="6D9DC5"/>
              <w:bottom w:val="single" w:sz="8" w:color="6D9DC5"/>
              <w:right w:val="single" w:sz="8" w:color="6D9DC5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8304C"/>
                <w:sz w:val="17"/>
              </w:rPr>
              <w:t>The Non-Bucket foundation is accepted through NB-T4A. NB-T4B is substantially implemented but remains unmerged and unqualified because its final exact-head jobs never created executable steps or logs, and the branch is behind current main.</w:t>
            </w:r>
          </w:p>
        </w:tc>
      </w:tr>
    </w:tbl>
    <w:p>
      <w:pPr>
        <w:pStyle w:val="Heading1"/>
      </w:pPr>
      <w:r>
        <w:t>1. Executive summary</w:t>
      </w:r>
    </w:p>
    <w:p>
      <w:pPr>
        <w:spacing w:after="27"/>
        <w:ind w:left="238" w:hanging="136"/>
      </w:pPr>
      <w:r>
        <w:t xml:space="preserve">• </w:t>
      </w:r>
      <w:r>
        <w:t>Repository: reallaksh19/Advanced_Analysis. Current main at preparation: f4445b32442b2b563a30427db285130e86e309cc.</w:t>
      </w:r>
    </w:p>
    <w:p>
      <w:pPr>
        <w:spacing w:after="27"/>
        <w:ind w:left="238" w:hanging="136"/>
      </w:pPr>
      <w:r>
        <w:t xml:space="preserve">• </w:t>
      </w:r>
      <w:r>
        <w:t>NB-T4A is merged at 8390724e20df26dc11f7192c585ab2fb8d7d7c96 after an exact-head PASS. NB-T4B remains draft at PR #242, head 07f0fec5cf81c6d76f668efb270493c49a3262ae.</w:t>
      </w:r>
    </w:p>
    <w:p>
      <w:pPr>
        <w:spacing w:after="27"/>
        <w:ind w:left="238" w:hanging="136"/>
      </w:pPr>
      <w:r>
        <w:t xml:space="preserve">• </w:t>
      </w:r>
      <w:r>
        <w:t>The NB-T4B branch is 11 commits ahead and 20 behind current main, with merge base 070321a1a71459e3a679749e5e90ad8237c798ad.</w:t>
      </w:r>
    </w:p>
    <w:p>
      <w:pPr>
        <w:spacing w:after="27"/>
        <w:ind w:left="238" w:hanging="136"/>
      </w:pPr>
      <w:r>
        <w:t xml:space="preserve">• </w:t>
      </w:r>
      <w:r>
        <w:t>The immediate objective is current-main synchronization, executable exact-head certification, independent review, merge and post-merge certification—not new numerical or release scope.</w:t>
      </w:r>
    </w:p>
    <w:p>
      <w:pPr>
        <w:pStyle w:val="Heading1"/>
      </w:pPr>
      <w:r>
        <w:t>2. Current-state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417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Package</w:t>
            </w:r>
          </w:p>
        </w:tc>
        <w:tc>
          <w:tcPr>
            <w:tcW w:type="dxa" w:w="2041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Status</w:t>
            </w:r>
          </w:p>
        </w:tc>
        <w:tc>
          <w:tcPr>
            <w:tcW w:type="dxa" w:w="7087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Retained authority</w:t>
            </w:r>
          </w:p>
        </w:tc>
      </w:tr>
      <w:tr>
        <w:tc>
          <w:tcPr>
            <w:tcW w:type="dxa" w:w="141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NB-T0</w:t>
            </w:r>
          </w:p>
        </w:tc>
        <w:tc>
          <w:tcPr>
            <w:tcW w:type="dxa" w:w="2041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Merged / PASS</w:t>
            </w:r>
          </w:p>
        </w:tc>
        <w:tc>
          <w:tcPr>
            <w:tcW w:type="dxa" w:w="708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Dedicated Non-Bucket certification boundary.</w:t>
            </w:r>
          </w:p>
        </w:tc>
      </w:tr>
      <w:tr>
        <w:tc>
          <w:tcPr>
            <w:tcW w:type="dxa" w:w="141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NB-T1</w:t>
            </w:r>
          </w:p>
        </w:tc>
        <w:tc>
          <w:tcPr>
            <w:tcW w:type="dxa" w:w="2041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Merged</w:t>
            </w:r>
          </w:p>
        </w:tc>
        <w:tc>
          <w:tcPr>
            <w:tcW w:type="dxa" w:w="708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Analytical and FEA stage-correct lifecycle profiles.</w:t>
            </w:r>
          </w:p>
        </w:tc>
      </w:tr>
      <w:tr>
        <w:tc>
          <w:tcPr>
            <w:tcW w:type="dxa" w:w="141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NB-T2</w:t>
            </w:r>
          </w:p>
        </w:tc>
        <w:tc>
          <w:tcPr>
            <w:tcW w:type="dxa" w:w="2041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Merged</w:t>
            </w:r>
          </w:p>
        </w:tc>
        <w:tc>
          <w:tcPr>
            <w:tcW w:type="dxa" w:w="708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SHA-256 source authority and current-core producer contracts.</w:t>
            </w:r>
          </w:p>
        </w:tc>
      </w:tr>
      <w:tr>
        <w:tc>
          <w:tcPr>
            <w:tcW w:type="dxa" w:w="141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NB-T3</w:t>
            </w:r>
          </w:p>
        </w:tc>
        <w:tc>
          <w:tcPr>
            <w:tcW w:type="dxa" w:w="2041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Merged</w:t>
            </w:r>
          </w:p>
        </w:tc>
        <w:tc>
          <w:tcPr>
            <w:tcW w:type="dxa" w:w="708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Registry v2 and governed composition roots.</w:t>
            </w:r>
          </w:p>
        </w:tc>
      </w:tr>
      <w:tr>
        <w:tc>
          <w:tcPr>
            <w:tcW w:type="dxa" w:w="141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NB-T4A</w:t>
            </w:r>
          </w:p>
        </w:tc>
        <w:tc>
          <w:tcPr>
            <w:tcW w:type="dxa" w:w="2041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Merged / PASS</w:t>
            </w:r>
          </w:p>
        </w:tc>
        <w:tc>
          <w:tcPr>
            <w:tcW w:type="dxa" w:w="708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Explicit analysis-mesh evidence intake; no production mesher.</w:t>
            </w:r>
          </w:p>
        </w:tc>
      </w:tr>
      <w:tr>
        <w:tc>
          <w:tcPr>
            <w:tcW w:type="dxa" w:w="141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NB-T4B</w:t>
            </w:r>
          </w:p>
        </w:tc>
        <w:tc>
          <w:tcPr>
            <w:tcW w:type="dxa" w:w="2041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Draft / unmerged</w:t>
            </w:r>
          </w:p>
        </w:tc>
        <w:tc>
          <w:tcPr>
            <w:tcW w:type="dxa" w:w="708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Execution/recovery lineage and sealed render packet implemented; exact-head evidence absent.</w:t>
            </w:r>
          </w:p>
        </w:tc>
      </w:tr>
      <w:tr>
        <w:tc>
          <w:tcPr>
            <w:tcW w:type="dxa" w:w="141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LAFEA.4</w:t>
            </w:r>
          </w:p>
        </w:tc>
        <w:tc>
          <w:tcPr>
            <w:tcW w:type="dxa" w:w="2041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Legacy authority</w:t>
            </w:r>
          </w:p>
        </w:tc>
        <w:tc>
          <w:tcPr>
            <w:tcW w:type="dxa" w:w="708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Five-DOF CST+DKT; no MITC production claim.</w:t>
            </w:r>
          </w:p>
        </w:tc>
      </w:tr>
      <w:tr>
        <w:tc>
          <w:tcPr>
            <w:tcW w:type="dxa" w:w="141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LAFEA.6</w:t>
            </w:r>
          </w:p>
        </w:tc>
        <w:tc>
          <w:tcPr>
            <w:tcW w:type="dxa" w:w="2041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Blocked</w:t>
            </w:r>
          </w:p>
        </w:tc>
        <w:tc>
          <w:tcPr>
            <w:tcW w:type="dxa" w:w="708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Engine not implemented.</w:t>
            </w:r>
          </w:p>
        </w:tc>
      </w:tr>
      <w:tr>
        <w:tc>
          <w:tcPr>
            <w:tcW w:type="dxa" w:w="141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Release</w:t>
            </w:r>
          </w:p>
        </w:tc>
        <w:tc>
          <w:tcPr>
            <w:tcW w:type="dxa" w:w="2041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Not qualified</w:t>
            </w:r>
          </w:p>
        </w:tc>
        <w:tc>
          <w:tcPr>
            <w:tcW w:type="dxa" w:w="708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convergence, code, report or release authority.</w:t>
            </w:r>
          </w:p>
        </w:tc>
      </w:tr>
    </w:tbl>
    <w:p>
      <w:pPr>
        <w:pStyle w:val="Heading1"/>
      </w:pPr>
      <w:r>
        <w:t>3. Problem statement</w:t>
      </w:r>
    </w:p>
    <w:p>
      <w:pPr>
        <w:spacing w:after="27"/>
        <w:ind w:left="238" w:hanging="136"/>
      </w:pPr>
      <w:r>
        <w:t xml:space="preserve">• </w:t>
      </w:r>
      <w:r>
        <w:t>The current NB-T4B branch has no final executable exact-head evidence. Its jobs completed with steps and logs absent, which is infrastructure evidence, not product PASS or FAIL.</w:t>
      </w:r>
    </w:p>
    <w:p>
      <w:pPr>
        <w:spacing w:after="27"/>
        <w:ind w:left="238" w:hanging="136"/>
      </w:pPr>
      <w:r>
        <w:t xml:space="preserve">• </w:t>
      </w:r>
      <w:r>
        <w:t>Earlier executable evidence is supporting only and cannot certify the final branch head.</w:t>
      </w:r>
    </w:p>
    <w:p>
      <w:pPr>
        <w:spacing w:after="27"/>
        <w:ind w:left="238" w:hanging="136"/>
      </w:pPr>
      <w:r>
        <w:t xml:space="preserve">• </w:t>
      </w:r>
      <w:r>
        <w:t>Current main has advanced through unrelated Bucket B1/B2 contracts, so the feature branch must be refreshed and re-certified against the live repository composition.</w:t>
      </w:r>
    </w:p>
    <w:p>
      <w:pPr>
        <w:spacing w:after="27"/>
        <w:ind w:left="238" w:hanging="136"/>
      </w:pPr>
      <w:r>
        <w:t xml:space="preserve">• </w:t>
      </w:r>
      <w:r>
        <w:t>Merging the draft branch without exact-head and post-merge evidence would violate the Non-Bucket certification boundary.</w:t>
      </w:r>
    </w:p>
    <w:p>
      <w:pPr>
        <w:pStyle w:val="Heading1"/>
      </w:pPr>
      <w:r>
        <w:t>4. Concept objective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F4F6F8"/>
            <w:tcMar>
              <w:top w:w="72" w:type="dxa"/>
              <w:start w:w="88" w:type="dxa"/>
              <w:bottom w:w="72" w:type="dxa"/>
              <w:end w:w="8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SOURCE -&gt; CANONICAL_MODEL -&gt; ANALYSIS_GEOMETRY -&gt; ANALYSIS_MESH</w:t>
              <w:br/>
              <w:t xml:space="preserve">       -&gt; CALCULATION_ACCEPTED -&gt; EXECUTION -&gt; RECOVERY</w:t>
              <w:br/>
              <w:t xml:space="preserve">       -&gt; SEALED_RENDER_PACKET -&gt; RESULT_READY</w:t>
            </w:r>
          </w:p>
        </w:tc>
      </w:tr>
    </w:tbl>
    <w:p>
      <w:r>
        <w:t>The concept closes only the exact result-lineage and read-only rendering boundary. It does not create convergence, SCL, structural-stress, code, reporting or release evidence.</w:t>
      </w:r>
    </w:p>
    <w:p>
      <w:pPr>
        <w:pStyle w:val="Heading1"/>
      </w:pPr>
      <w:r>
        <w:t>5. Scope and authority boundary</w:t>
      </w:r>
    </w:p>
    <w:p>
      <w:pPr>
        <w:pStyle w:val="Heading2"/>
      </w:pPr>
      <w:r>
        <w:t>In scope</w:t>
      </w:r>
    </w:p>
    <w:p>
      <w:pPr>
        <w:spacing w:after="27"/>
        <w:ind w:left="238" w:hanging="136"/>
      </w:pPr>
      <w:r>
        <w:t xml:space="preserve">• </w:t>
      </w:r>
      <w:r>
        <w:t>NB-T4B contracts, producer and bounded public exports.</w:t>
      </w:r>
    </w:p>
    <w:p>
      <w:pPr>
        <w:spacing w:after="27"/>
        <w:ind w:left="238" w:hanging="136"/>
      </w:pPr>
      <w:r>
        <w:t xml:space="preserve">• </w:t>
      </w:r>
      <w:r>
        <w:t>Exact source/model/geometry/mesh/execution/recovery/display lineage.</w:t>
      </w:r>
    </w:p>
    <w:p>
      <w:pPr>
        <w:spacing w:after="27"/>
        <w:ind w:left="238" w:hanging="136"/>
      </w:pPr>
      <w:r>
        <w:t xml:space="preserve">• </w:t>
      </w:r>
      <w:r>
        <w:t>Retained stage-result selection, element-local display projection and pick-map identity.</w:t>
      </w:r>
    </w:p>
    <w:p>
      <w:pPr>
        <w:spacing w:after="27"/>
        <w:ind w:left="238" w:hanging="136"/>
      </w:pPr>
      <w:r>
        <w:t xml:space="preserve">• </w:t>
      </w:r>
      <w:r>
        <w:t>Current-head certification, independent review, merge and post-merge certification.</w:t>
      </w:r>
    </w:p>
    <w:p>
      <w:pPr>
        <w:pStyle w:val="Heading2"/>
      </w:pPr>
      <w:r>
        <w:t>Out of scope</w:t>
      </w:r>
    </w:p>
    <w:p>
      <w:pPr>
        <w:spacing w:after="27"/>
        <w:ind w:left="238" w:hanging="136"/>
      </w:pPr>
      <w:r>
        <w:t xml:space="preserve">• </w:t>
      </w:r>
      <w:r>
        <w:t>Numerical-core, solver, production-mesher or shell-formulation changes.</w:t>
      </w:r>
    </w:p>
    <w:p>
      <w:pPr>
        <w:spacing w:after="27"/>
        <w:ind w:left="238" w:hanging="136"/>
      </w:pPr>
      <w:r>
        <w:t xml:space="preserve">• </w:t>
      </w:r>
      <w:r>
        <w:t>Cross-element averaging, shell nodal extrapolation, SCL, structural stress or code.</w:t>
      </w:r>
    </w:p>
    <w:p>
      <w:pPr>
        <w:spacing w:after="27"/>
        <w:ind w:left="238" w:hanging="136"/>
      </w:pPr>
      <w:r>
        <w:t xml:space="preserve">• </w:t>
      </w:r>
      <w:r>
        <w:t>MITC4/MITC3 production claims, LAFEA.6, Bucket/template execution and LFEA piping.</w:t>
      </w:r>
    </w:p>
    <w:p>
      <w:pPr>
        <w:spacing w:after="27"/>
        <w:ind w:left="238" w:hanging="136"/>
      </w:pPr>
      <w:r>
        <w:t xml:space="preserve">• </w:t>
      </w:r>
      <w:r>
        <w:t>Tolerance, benchmark expected-value or release-state changes.</w:t>
      </w:r>
    </w:p>
    <w:p>
      <w:pPr>
        <w:pStyle w:val="Heading1"/>
      </w:pPr>
      <w:r>
        <w:t>6. Required architecture</w:t>
      </w:r>
    </w:p>
    <w:p>
      <w:pPr>
        <w:pStyle w:val="Heading2"/>
      </w:pPr>
      <w:r>
        <w:t>6.1 Inputs</w:t>
      </w:r>
    </w:p>
    <w:p>
      <w:pPr>
        <w:spacing w:after="27"/>
        <w:ind w:left="238" w:hanging="136"/>
      </w:pPr>
      <w:r>
        <w:t xml:space="preserve">• </w:t>
      </w:r>
      <w:r>
        <w:t>A current, tamper-valid NB-T4A ANALYSIS_MESH evidence record.</w:t>
      </w:r>
    </w:p>
    <w:p>
      <w:pPr>
        <w:spacing w:after="27"/>
        <w:ind w:left="238" w:hanging="136"/>
      </w:pPr>
      <w:r>
        <w:t xml:space="preserve">• </w:t>
      </w:r>
      <w:r>
        <w:t>An already accepted retained stage calculation.</w:t>
      </w:r>
    </w:p>
    <w:p>
      <w:pPr>
        <w:spacing w:after="27"/>
        <w:ind w:left="238" w:hanging="136"/>
      </w:pPr>
      <w:r>
        <w:t xml:space="preserve">• </w:t>
      </w:r>
      <w:r>
        <w:t>Exact source, canonical-model and analysis-geometry parents.</w:t>
      </w:r>
    </w:p>
    <w:p>
      <w:pPr>
        <w:spacing w:after="27"/>
        <w:ind w:left="238" w:hanging="136"/>
      </w:pPr>
      <w:r>
        <w:t xml:space="preserve">• </w:t>
      </w:r>
      <w:r>
        <w:t>A stage-authorized field request, location and unit contract.</w:t>
      </w:r>
    </w:p>
    <w:p>
      <w:pPr>
        <w:spacing w:after="27"/>
        <w:ind w:left="238" w:hanging="136"/>
      </w:pPr>
      <w:r>
        <w:t xml:space="preserve">• </w:t>
      </w:r>
      <w:r>
        <w:t>Retained stage result evidence appropriate to the registered stage route.</w:t>
      </w:r>
    </w:p>
    <w:p>
      <w:pPr>
        <w:pStyle w:val="Heading2"/>
      </w:pPr>
      <w:r>
        <w:t>6.2 Produced evidence</w:t>
      </w:r>
    </w:p>
    <w:p>
      <w:pPr>
        <w:spacing w:after="27"/>
        <w:ind w:left="238" w:hanging="136"/>
      </w:pPr>
      <w:r>
        <w:t xml:space="preserve">• </w:t>
      </w:r>
      <w:r>
        <w:t>Parent-bound EXECUTION evidence.</w:t>
      </w:r>
    </w:p>
    <w:p>
      <w:pPr>
        <w:spacing w:after="27"/>
        <w:ind w:left="238" w:hanging="136"/>
      </w:pPr>
      <w:r>
        <w:t xml:space="preserve">• </w:t>
      </w:r>
      <w:r>
        <w:t>Parent-bound RECOVERY evidence.</w:t>
      </w:r>
    </w:p>
    <w:p>
      <w:pPr>
        <w:spacing w:after="27"/>
        <w:ind w:left="238" w:hanging="136"/>
      </w:pPr>
      <w:r>
        <w:t xml:space="preserve">• </w:t>
      </w:r>
      <w:r>
        <w:t>A sealed LafeaRenderPacket.v2 with exact lineage.</w:t>
      </w:r>
    </w:p>
    <w:p>
      <w:pPr>
        <w:spacing w:after="27"/>
        <w:ind w:left="238" w:hanging="136"/>
      </w:pPr>
      <w:r>
        <w:t xml:space="preserve">• </w:t>
      </w:r>
      <w:r>
        <w:t>Display geometry, render profile, result paths and pick-map SHA-256 identities.</w:t>
      </w:r>
    </w:p>
    <w:p>
      <w:pPr>
        <w:spacing w:after="27"/>
        <w:ind w:left="238" w:hanging="136"/>
      </w:pPr>
      <w:r>
        <w:t xml:space="preserve">• </w:t>
      </w:r>
      <w:r>
        <w:t>Atomic RESULT_READY only after all records validate and register.</w:t>
      </w:r>
    </w:p>
    <w:p>
      <w:pPr>
        <w:pStyle w:val="Heading2"/>
      </w:pPr>
      <w:r>
        <w:t>6.3 Result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Stage/result family</w:t>
            </w:r>
          </w:p>
        </w:tc>
        <w:tc>
          <w:tcPr>
            <w:tcW w:type="dxa" w:w="3969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Display source</w:t>
            </w:r>
          </w:p>
        </w:tc>
        <w:tc>
          <w:tcPr>
            <w:tcW w:type="dxa" w:w="4535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Prohibited promotion</w:t>
            </w:r>
          </w:p>
        </w:tc>
      </w:tr>
      <w:tr>
        <w:tc>
          <w:tcPr>
            <w:tcW w:type="dxa" w:w="2268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LAFEA.3 T3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Retained element-constant result</w:t>
            </w:r>
          </w:p>
        </w:tc>
        <w:tc>
          <w:tcPr>
            <w:tcW w:type="dxa" w:w="45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cross-element averaging.</w:t>
            </w:r>
          </w:p>
        </w:tc>
      </w:tr>
      <w:tr>
        <w:tc>
          <w:tcPr>
            <w:tcW w:type="dxa" w:w="2268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LAFEA.3 T6/Q8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Exact selected integration point</w:t>
            </w:r>
          </w:p>
        </w:tc>
        <w:tc>
          <w:tcPr>
            <w:tcW w:type="dxa" w:w="45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smoothing or nodal code use.</w:t>
            </w:r>
          </w:p>
        </w:tc>
      </w:tr>
      <w:tr>
        <w:tc>
          <w:tcPr>
            <w:tcW w:type="dxa" w:w="2268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LAFEA.4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Retained CST+DKT fixed surface/integration point</w:t>
            </w:r>
          </w:p>
        </w:tc>
        <w:tc>
          <w:tcPr>
            <w:tcW w:type="dxa" w:w="45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MITC or shell-nodal extrapolation.</w:t>
            </w:r>
          </w:p>
        </w:tc>
      </w:tr>
      <w:tr>
        <w:tc>
          <w:tcPr>
            <w:tcW w:type="dxa" w:w="2268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LAFEA.5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Retained rawShellResult path</w:t>
            </w:r>
          </w:p>
        </w:tc>
        <w:tc>
          <w:tcPr>
            <w:tcW w:type="dxa" w:w="45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attachment/code promotion.</w:t>
            </w:r>
          </w:p>
        </w:tc>
      </w:tr>
      <w:tr>
        <w:tc>
          <w:tcPr>
            <w:tcW w:type="dxa" w:w="2268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All display values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PRODUCER_PROJECTED_DISPLAY_ONLY</w:t>
            </w:r>
          </w:p>
        </w:tc>
        <w:tc>
          <w:tcPr>
            <w:tcW w:type="dxa" w:w="45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Never SCL, code or release authority.</w:t>
            </w:r>
          </w:p>
        </w:tc>
      </w:tr>
    </w:tbl>
    <w:p>
      <w:pPr>
        <w:pStyle w:val="Heading1"/>
      </w:pPr>
      <w:r>
        <w:t>7.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835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Gap</w:t>
            </w:r>
          </w:p>
        </w:tc>
        <w:tc>
          <w:tcPr>
            <w:tcW w:type="dxa" w:w="3969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Effect</w:t>
            </w:r>
          </w:p>
        </w:tc>
        <w:tc>
          <w:tcPr>
            <w:tcW w:type="dxa" w:w="3969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Closure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Branch behind main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Diff and compatibility are stale.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Refresh and re-audit the exact seven-file feature surface.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Zero-step jobs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executable qualification.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Re-run when steps/logs can be retained.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Draft PR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merge authority.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Exact-head PASS and independent review.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Older supporting runs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Not transferable.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Reproduce on final candidate head.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post-merge evidence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Merge composition unqualified.</w:t>
            </w:r>
          </w:p>
        </w:tc>
        <w:tc>
          <w:tcPr>
            <w:tcW w:type="dxa" w:w="3969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Run current-main certification after merge.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 convergence/code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Read-only/preliminary result only.</w:t>
            </w:r>
          </w:p>
        </w:tc>
        <w:tc>
          <w:tcPr>
            <w:tcW w:type="dxa" w:w="3969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Preserve false readiness states.</w:t>
            </w:r>
          </w:p>
        </w:tc>
      </w:tr>
    </w:tbl>
    <w:p>
      <w:pPr>
        <w:pStyle w:val="Heading1"/>
      </w:pPr>
      <w:r>
        <w:t>8. Controlled path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020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Package</w:t>
            </w:r>
          </w:p>
        </w:tc>
        <w:tc>
          <w:tcPr>
            <w:tcW w:type="dxa" w:w="2324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Workstream</w:t>
            </w:r>
          </w:p>
        </w:tc>
        <w:tc>
          <w:tcPr>
            <w:tcW w:type="dxa" w:w="5216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Scope</w:t>
            </w:r>
          </w:p>
        </w:tc>
        <w:tc>
          <w:tcPr>
            <w:tcW w:type="dxa" w:w="2835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3"/>
              </w:rPr>
              <w:t>Exit gate</w:t>
            </w:r>
          </w:p>
        </w:tc>
      </w:tr>
      <w:tr>
        <w:tc>
          <w:tcPr>
            <w:tcW w:type="dxa" w:w="1020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NBR-0</w:t>
            </w:r>
          </w:p>
        </w:tc>
        <w:tc>
          <w:tcPr>
            <w:tcW w:type="dxa" w:w="232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Freshness and ownership freeze</w:t>
            </w:r>
          </w:p>
        </w:tc>
        <w:tc>
          <w:tcPr>
            <w:tcW w:type="dxa" w:w="5216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Read-only compare current main and PR #242; verify exact identities and seven-file ownership.</w:t>
            </w:r>
          </w:p>
        </w:tc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Accepted audit.</w:t>
            </w:r>
          </w:p>
        </w:tc>
      </w:tr>
      <w:tr>
        <w:tc>
          <w:tcPr>
            <w:tcW w:type="dxa" w:w="1020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NBR-1</w:t>
            </w:r>
          </w:p>
        </w:tc>
        <w:tc>
          <w:tcPr>
            <w:tcW w:type="dxa" w:w="2324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Current-main synchronization</w:t>
            </w:r>
          </w:p>
        </w:tc>
        <w:tc>
          <w:tcPr>
            <w:tcW w:type="dxa" w:w="5216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Refresh branch without changing governed feature authority.</w:t>
            </w:r>
          </w:p>
        </w:tc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Ahead/behind resolved; no out-of-scope conflicts.</w:t>
            </w:r>
          </w:p>
        </w:tc>
      </w:tr>
      <w:tr>
        <w:tc>
          <w:tcPr>
            <w:tcW w:type="dxa" w:w="1020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NBR-2</w:t>
            </w:r>
          </w:p>
        </w:tc>
        <w:tc>
          <w:tcPr>
            <w:tcW w:type="dxa" w:w="232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Exact-head qualification</w:t>
            </w:r>
          </w:p>
        </w:tc>
        <w:tc>
          <w:tcPr>
            <w:tcW w:type="dxa" w:w="5216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Run dedicated, bounded, browser, build and hygiene ladders.</w:t>
            </w:r>
          </w:p>
        </w:tc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Visible steps, logs, artifacts and clean tree.</w:t>
            </w:r>
          </w:p>
        </w:tc>
      </w:tr>
      <w:tr>
        <w:tc>
          <w:tcPr>
            <w:tcW w:type="dxa" w:w="1020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NBR-3</w:t>
            </w:r>
          </w:p>
        </w:tc>
        <w:tc>
          <w:tcPr>
            <w:tcW w:type="dxa" w:w="2324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Independent review and merge</w:t>
            </w:r>
          </w:p>
        </w:tc>
        <w:tc>
          <w:tcPr>
            <w:tcW w:type="dxa" w:w="5216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Review lineage, stage selection, tamper and non-claims.</w:t>
            </w:r>
          </w:p>
        </w:tc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PR leaves draft only after acceptance.</w:t>
            </w:r>
          </w:p>
        </w:tc>
      </w:tr>
      <w:tr>
        <w:tc>
          <w:tcPr>
            <w:tcW w:type="dxa" w:w="1020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NBR-4</w:t>
            </w:r>
          </w:p>
        </w:tc>
        <w:tc>
          <w:tcPr>
            <w:tcW w:type="dxa" w:w="232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Post-merge certification</w:t>
            </w:r>
          </w:p>
        </w:tc>
        <w:tc>
          <w:tcPr>
            <w:tcW w:type="dxa" w:w="5216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Certify merge commit/current main.</w:t>
            </w:r>
          </w:p>
        </w:tc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Non-Bucket and browser PASS.</w:t>
            </w:r>
          </w:p>
        </w:tc>
      </w:tr>
      <w:tr>
        <w:tc>
          <w:tcPr>
            <w:tcW w:type="dxa" w:w="1020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NB-T5+</w:t>
            </w:r>
          </w:p>
        </w:tc>
        <w:tc>
          <w:tcPr>
            <w:tcW w:type="dxa" w:w="2324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Vertical closure</w:t>
            </w:r>
          </w:p>
        </w:tc>
        <w:tc>
          <w:tcPr>
            <w:tcW w:type="dxa" w:w="5216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Analytical, continuum, shell, attachment and release tranches.</w:t>
            </w:r>
          </w:p>
        </w:tc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3"/>
              </w:rPr>
              <w:t>Separate user-authorized packages.</w:t>
            </w:r>
          </w:p>
        </w:tc>
      </w:tr>
    </w:tbl>
    <w:p>
      <w:pPr>
        <w:pStyle w:val="Heading1"/>
      </w:pPr>
      <w:r>
        <w:t>9. Acceptance criteria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1. </w:t>
      </w:r>
      <w:r>
        <w:t>Final branch head is based on live main and retains the bounded feature diff.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2. </w:t>
      </w:r>
      <w:r>
        <w:t>All jobs create executable steps and downloadable logs.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3. </w:t>
      </w:r>
      <w:r>
        <w:t>Dedicated NB-T4B and retained Non-Bucket/core/workbench checks pass.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4. </w:t>
      </w:r>
      <w:r>
        <w:t>Hybrid browser, syntax, imports, build, patch hygiene and clean tree pass.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5. </w:t>
      </w:r>
      <w:r>
        <w:t>No numerical, shell, tolerance, benchmark or release authority changes.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6. </w:t>
      </w:r>
      <w:r>
        <w:t>CONVERGENCE_READY, CODE_READY and RELEASE_QUALIFIED remain false.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7. </w:t>
      </w:r>
      <w:r>
        <w:t>LAFEA.6 remains blocked.</w:t>
      </w:r>
    </w:p>
    <w:p>
      <w:pPr>
        <w:spacing w:after="30"/>
        <w:ind w:left="312" w:hanging="215"/>
      </w:pPr>
      <w:r>
        <w:rPr>
          <w:rFonts w:ascii="Liberation Sans" w:hAnsi="Liberation Sans"/>
          <w:b/>
          <w:color w:val="18304C"/>
        </w:rPr>
        <w:t xml:space="preserve">8. </w:t>
      </w:r>
      <w:r>
        <w:t>Post-merge current-main certification passes.</w:t>
      </w:r>
    </w:p>
    <w:p>
      <w:pPr>
        <w:pStyle w:val="Heading1"/>
      </w:pPr>
      <w:r>
        <w:t>10. Final disposition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E9F4EC"/>
            <w:tcMar>
              <w:top w:w="84" w:type="dxa"/>
              <w:start w:w="104" w:type="dxa"/>
              <w:bottom w:w="84" w:type="dxa"/>
              <w:end w:w="104" w:type="dxa"/>
            </w:tcMar>
            <w:tcBorders>
              <w:top w:val="single" w:sz="8" w:color="4C956C"/>
              <w:left w:val="single" w:sz="8" w:color="4C956C"/>
              <w:bottom w:val="single" w:sz="8" w:color="4C956C"/>
              <w:right w:val="single" w:sz="8" w:color="4C956C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66F4C"/>
                <w:sz w:val="17"/>
              </w:rPr>
              <w:t>Proceed with a replacement agent only after it passes the five-question gate. Initial authority is limited to NBR-0 and NBR-1. No merge, NB-T6 start or release claim is authorized before exact-head and post-merge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680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3A4046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18304C"/>
        <w:sz w:val="15"/>
      </w:rPr>
      <w:t>LAFEA Non-Bucket | Recovery-to-Render Concept Note Rev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4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8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8588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36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A404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0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/>
      <w:b/>
      <w:i/>
      <w:iCs/>
      <w:color w:val="3A404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Liberation Mono" w:hAnsi="Liberation Mono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