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LAFEA Non-Bucket Takeover — Evaluator Rubric Rev 3</w:t>
      </w:r>
    </w:p>
    <w:p>
      <w:pPr>
        <w:pStyle w:val="Subtitle"/>
      </w:pPr>
      <w:r>
        <w:t>Scoring key and automatic-fail controls for NB-T4B takeover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22"/>
        <w:gridCol w:w="2622"/>
        <w:gridCol w:w="2622"/>
        <w:gridCol w:w="2622"/>
      </w:tblGrid>
      <w:tr>
        <w:tc>
          <w:tcPr>
            <w:tcW w:type="dxa" w:w="2622"/>
            <w:shd w:fill="EAF1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3A4046"/>
                <w:sz w:val="14"/>
              </w:rPr>
              <w:t>Maximum</w:t>
              <w:br/>
              <w:t>100</w:t>
            </w:r>
          </w:p>
        </w:tc>
        <w:tc>
          <w:tcPr>
            <w:tcW w:type="dxa" w:w="2622"/>
            <w:shd w:fill="EAF1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3A4046"/>
                <w:sz w:val="14"/>
              </w:rPr>
              <w:t>Qualified</w:t>
              <w:br/>
              <w:t>&gt;=90</w:t>
            </w:r>
          </w:p>
        </w:tc>
        <w:tc>
          <w:tcPr>
            <w:tcW w:type="dxa" w:w="2622"/>
            <w:shd w:fill="EAF1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3A4046"/>
                <w:sz w:val="14"/>
              </w:rPr>
              <w:t>Each question</w:t>
              <w:br/>
              <w:t>&gt;=16</w:t>
            </w:r>
          </w:p>
        </w:tc>
        <w:tc>
          <w:tcPr>
            <w:tcW w:type="dxa" w:w="2622"/>
            <w:shd w:fill="EAF1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3A4046"/>
                <w:sz w:val="14"/>
              </w:rPr>
              <w:t>Red line</w:t>
              <w:br/>
              <w:t>Automatic reject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9"/>
      </w:tblGrid>
      <w:tr>
        <w:tc>
          <w:tcPr>
            <w:tcW w:type="dxa" w:w="10489"/>
            <w:shd w:fill="FDE9E7"/>
            <w:tcMar>
              <w:top w:w="84" w:type="dxa"/>
              <w:start w:w="104" w:type="dxa"/>
              <w:bottom w:w="84" w:type="dxa"/>
              <w:end w:w="104" w:type="dxa"/>
            </w:tcMar>
            <w:tcBorders>
              <w:top w:val="single" w:sz="8" w:color="B85450"/>
              <w:left w:val="single" w:sz="8" w:color="B85450"/>
              <w:bottom w:val="single" w:sz="8" w:color="B85450"/>
              <w:right w:val="single" w:sz="8" w:color="B85450"/>
            </w:tcBorders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9D2B2B"/>
                <w:sz w:val="17"/>
              </w:rPr>
              <w:t>A candidate who understands the code but weakens current-head evidence, result authority, stage containment or release boundaries is rejected regardless of score.</w:t>
            </w:r>
          </w:p>
        </w:tc>
      </w:tr>
    </w:tbl>
    <w:p>
      <w:pPr>
        <w:pStyle w:val="Heading1"/>
      </w:pPr>
      <w:r>
        <w:t>1. Scoring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96"/>
        <w:gridCol w:w="3496"/>
        <w:gridCol w:w="3496"/>
      </w:tblGrid>
      <w:tr>
        <w:trPr>
          <w:tblHeader w:val="true"/>
        </w:trPr>
        <w:tc>
          <w:tcPr>
            <w:tcW w:type="dxa" w:w="1247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4"/>
              </w:rPr>
              <w:t>Question</w:t>
            </w:r>
          </w:p>
        </w:tc>
        <w:tc>
          <w:tcPr>
            <w:tcW w:type="dxa" w:w="1134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4"/>
              </w:rPr>
              <w:t>Marks</w:t>
            </w:r>
          </w:p>
        </w:tc>
        <w:tc>
          <w:tcPr>
            <w:tcW w:type="dxa" w:w="7937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4"/>
              </w:rPr>
              <w:t>Essential answer</w:t>
            </w:r>
          </w:p>
        </w:tc>
      </w:tr>
      <w:tr>
        <w:tc>
          <w:tcPr>
            <w:tcW w:type="dxa" w:w="124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Q1</w:t>
            </w:r>
          </w:p>
        </w:tc>
        <w:tc>
          <w:tcPr>
            <w:tcW w:type="dxa" w:w="1134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20</w:t>
            </w:r>
          </w:p>
        </w:tc>
        <w:tc>
          <w:tcPr>
            <w:tcW w:type="dxa" w:w="793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Exact branch/main audit; infrastructure vs executable evidence; safe synchronization; no draft/merge without final evidence.</w:t>
            </w:r>
          </w:p>
        </w:tc>
      </w:tr>
      <w:tr>
        <w:tc>
          <w:tcPr>
            <w:tcW w:type="dxa" w:w="1247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Q2</w:t>
            </w:r>
          </w:p>
        </w:tc>
        <w:tc>
          <w:tcPr>
            <w:tcW w:type="dxa" w:w="1134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20</w:t>
            </w:r>
          </w:p>
        </w:tc>
        <w:tc>
          <w:tcPr>
            <w:tcW w:type="dxa" w:w="7937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Complete parent graph and exact contracts; hashes; atomic registration; stale/tamper handling; RESULT_READY only.</w:t>
            </w:r>
          </w:p>
        </w:tc>
      </w:tr>
      <w:tr>
        <w:tc>
          <w:tcPr>
            <w:tcW w:type="dxa" w:w="124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Q3</w:t>
            </w:r>
          </w:p>
        </w:tc>
        <w:tc>
          <w:tcPr>
            <w:tcW w:type="dxa" w:w="1134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20</w:t>
            </w:r>
          </w:p>
        </w:tc>
        <w:tc>
          <w:tcPr>
            <w:tcW w:type="dxa" w:w="793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Correct T3/T6/Q8/shell result authority; no averaging/extrapolation; projected display only; adversarial matrix.</w:t>
            </w:r>
          </w:p>
        </w:tc>
      </w:tr>
      <w:tr>
        <w:tc>
          <w:tcPr>
            <w:tcW w:type="dxa" w:w="1247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Q4</w:t>
            </w:r>
          </w:p>
        </w:tc>
        <w:tc>
          <w:tcPr>
            <w:tcW w:type="dxa" w:w="1134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20</w:t>
            </w:r>
          </w:p>
        </w:tc>
        <w:tc>
          <w:tcPr>
            <w:tcW w:type="dxa" w:w="7937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Correct lifecycle prerequisites, analytical rejection, FEA mesh gate, CST+DKT retention, LAFEA.6 block, readiness separation.</w:t>
            </w:r>
          </w:p>
        </w:tc>
      </w:tr>
      <w:tr>
        <w:tc>
          <w:tcPr>
            <w:tcW w:type="dxa" w:w="124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Q5</w:t>
            </w:r>
          </w:p>
        </w:tc>
        <w:tc>
          <w:tcPr>
            <w:tcW w:type="dxa" w:w="1134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20</w:t>
            </w:r>
          </w:p>
        </w:tc>
        <w:tc>
          <w:tcPr>
            <w:tcW w:type="dxa" w:w="793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Rejects every adversarial violation; safe NBR-0–NBR-4 sequence; correct isolated/repository/post-merge dispositions.</w:t>
            </w:r>
          </w:p>
        </w:tc>
      </w:tr>
    </w:tbl>
    <w:p>
      <w:pPr>
        <w:pStyle w:val="Heading1"/>
      </w:pPr>
      <w:r>
        <w:t>2. Expected current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2835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4"/>
              </w:rPr>
              <w:t>Item</w:t>
            </w:r>
          </w:p>
        </w:tc>
        <w:tc>
          <w:tcPr>
            <w:tcW w:type="dxa" w:w="7257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4"/>
              </w:rPr>
              <w:t>Expected conclusion</w:t>
            </w:r>
          </w:p>
        </w:tc>
      </w:tr>
      <w:tr>
        <w:tc>
          <w:tcPr>
            <w:tcW w:type="dxa" w:w="2835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Current main</w:t>
            </w:r>
          </w:p>
        </w:tc>
        <w:tc>
          <w:tcPr>
            <w:tcW w:type="dxa" w:w="725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f4445b32442b2b563a30427db285130e86e309cc</w:t>
            </w:r>
          </w:p>
        </w:tc>
      </w:tr>
      <w:tr>
        <w:tc>
          <w:tcPr>
            <w:tcW w:type="dxa" w:w="2835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NB-T4A</w:t>
            </w:r>
          </w:p>
        </w:tc>
        <w:tc>
          <w:tcPr>
            <w:tcW w:type="dxa" w:w="7257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Merged and exact-head certified.</w:t>
            </w:r>
          </w:p>
        </w:tc>
      </w:tr>
      <w:tr>
        <w:tc>
          <w:tcPr>
            <w:tcW w:type="dxa" w:w="2835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NB-T4B PR</w:t>
            </w:r>
          </w:p>
        </w:tc>
        <w:tc>
          <w:tcPr>
            <w:tcW w:type="dxa" w:w="725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Open, draft, unmerged.</w:t>
            </w:r>
          </w:p>
        </w:tc>
      </w:tr>
      <w:tr>
        <w:tc>
          <w:tcPr>
            <w:tcW w:type="dxa" w:w="2835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NB-T4B branch head</w:t>
            </w:r>
          </w:p>
        </w:tc>
        <w:tc>
          <w:tcPr>
            <w:tcW w:type="dxa" w:w="7257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07f0fec5cf81c6d76f668efb270493c49a3262ae</w:t>
            </w:r>
          </w:p>
        </w:tc>
      </w:tr>
      <w:tr>
        <w:tc>
          <w:tcPr>
            <w:tcW w:type="dxa" w:w="2835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Branch relation</w:t>
            </w:r>
          </w:p>
        </w:tc>
        <w:tc>
          <w:tcPr>
            <w:tcW w:type="dxa" w:w="725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11 ahead / 20 behind; merge base 070321a1a71459e3a679749e5e90ad8237c798ad.</w:t>
            </w:r>
          </w:p>
        </w:tc>
      </w:tr>
      <w:tr>
        <w:tc>
          <w:tcPr>
            <w:tcW w:type="dxa" w:w="2835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Workflow result</w:t>
            </w:r>
          </w:p>
        </w:tc>
        <w:tc>
          <w:tcPr>
            <w:tcW w:type="dxa" w:w="7257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PRE_STEP_INFRASTRUCTURE_FAILURE; no executable PASS/FAIL.</w:t>
            </w:r>
          </w:p>
        </w:tc>
      </w:tr>
      <w:tr>
        <w:tc>
          <w:tcPr>
            <w:tcW w:type="dxa" w:w="2835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Result authority</w:t>
            </w:r>
          </w:p>
        </w:tc>
        <w:tc>
          <w:tcPr>
            <w:tcW w:type="dxa" w:w="725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RESULT_READY may be produced only after execution/recovery registration.</w:t>
            </w:r>
          </w:p>
        </w:tc>
      </w:tr>
      <w:tr>
        <w:tc>
          <w:tcPr>
            <w:tcW w:type="dxa" w:w="2835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Convergence/code/release</w:t>
            </w:r>
          </w:p>
        </w:tc>
        <w:tc>
          <w:tcPr>
            <w:tcW w:type="dxa" w:w="7257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False / false / false.</w:t>
            </w:r>
          </w:p>
        </w:tc>
      </w:tr>
      <w:tr>
        <w:tc>
          <w:tcPr>
            <w:tcW w:type="dxa" w:w="2835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Shell</w:t>
            </w:r>
          </w:p>
        </w:tc>
        <w:tc>
          <w:tcPr>
            <w:tcW w:type="dxa" w:w="7257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Five-DOF CST+DKT; no MITC claim.</w:t>
            </w:r>
          </w:p>
        </w:tc>
      </w:tr>
      <w:tr>
        <w:tc>
          <w:tcPr>
            <w:tcW w:type="dxa" w:w="2835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LAFEA.6</w:t>
            </w:r>
          </w:p>
        </w:tc>
        <w:tc>
          <w:tcPr>
            <w:tcW w:type="dxa" w:w="7257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Blocked.</w:t>
            </w:r>
          </w:p>
        </w:tc>
      </w:tr>
    </w:tbl>
    <w:p>
      <w:pPr>
        <w:pStyle w:val="Heading1"/>
      </w:pPr>
      <w:r>
        <w:t>3. Automatic-fail conditions</w:t>
      </w:r>
    </w:p>
    <w:p>
      <w:pPr>
        <w:spacing w:after="27"/>
        <w:ind w:left="238" w:hanging="136"/>
      </w:pPr>
      <w:r>
        <w:t xml:space="preserve">• </w:t>
      </w:r>
      <w:r>
        <w:t>Treats zero-step/no-log jobs as PASS or source failure.</w:t>
      </w:r>
    </w:p>
    <w:p>
      <w:pPr>
        <w:spacing w:after="27"/>
        <w:ind w:left="238" w:hanging="136"/>
      </w:pPr>
      <w:r>
        <w:t xml:space="preserve">• </w:t>
      </w:r>
      <w:r>
        <w:t>Uses prior-head evidence as current-head or post-merge qualification.</w:t>
      </w:r>
    </w:p>
    <w:p>
      <w:pPr>
        <w:spacing w:after="27"/>
        <w:ind w:left="238" w:hanging="136"/>
      </w:pPr>
      <w:r>
        <w:t xml:space="preserve">• </w:t>
      </w:r>
      <w:r>
        <w:t>Merges or marks ready before exact-head execution and review.</w:t>
      </w:r>
    </w:p>
    <w:p>
      <w:pPr>
        <w:spacing w:after="27"/>
        <w:ind w:left="238" w:hanging="136"/>
      </w:pPr>
      <w:r>
        <w:t xml:space="preserve">• </w:t>
      </w:r>
      <w:r>
        <w:t>Allows out-of-scope registry, lifecycle, numerical, shell or release changes during sync.</w:t>
      </w:r>
    </w:p>
    <w:p>
      <w:pPr>
        <w:spacing w:after="27"/>
        <w:ind w:left="238" w:hanging="136"/>
      </w:pPr>
      <w:r>
        <w:t xml:space="preserve">• </w:t>
      </w:r>
      <w:r>
        <w:t>Imports/calls a numerical core or solver in NB-T4B.</w:t>
      </w:r>
    </w:p>
    <w:p>
      <w:pPr>
        <w:spacing w:after="27"/>
        <w:ind w:left="238" w:hanging="136"/>
      </w:pPr>
      <w:r>
        <w:t xml:space="preserve">• </w:t>
      </w:r>
      <w:r>
        <w:t>Accepts analytical LAFEA.1/.2 or unsupported LAFEA.6.</w:t>
      </w:r>
    </w:p>
    <w:p>
      <w:pPr>
        <w:spacing w:after="27"/>
        <w:ind w:left="238" w:hanging="136"/>
      </w:pPr>
      <w:r>
        <w:t xml:space="preserve">• </w:t>
      </w:r>
      <w:r>
        <w:t>Accepts stale/tampered NB-T4A mesh evidence.</w:t>
      </w:r>
    </w:p>
    <w:p>
      <w:pPr>
        <w:spacing w:after="27"/>
        <w:ind w:left="238" w:hanging="136"/>
      </w:pPr>
      <w:r>
        <w:t xml:space="preserve">• </w:t>
      </w:r>
      <w:r>
        <w:t>Averages shared-node stress, smooths contours or extrapolates shell nodal assessment values.</w:t>
      </w:r>
    </w:p>
    <w:p>
      <w:pPr>
        <w:spacing w:after="27"/>
        <w:ind w:left="238" w:hanging="136"/>
      </w:pPr>
      <w:r>
        <w:t xml:space="preserve">• </w:t>
      </w:r>
      <w:r>
        <w:t>Uses projected display values for SCL/code.</w:t>
      </w:r>
    </w:p>
    <w:p>
      <w:pPr>
        <w:spacing w:after="27"/>
        <w:ind w:left="238" w:hanging="136"/>
      </w:pPr>
      <w:r>
        <w:t xml:space="preserve">• </w:t>
      </w:r>
      <w:r>
        <w:t>Claims MITC production authority.</w:t>
      </w:r>
    </w:p>
    <w:p>
      <w:pPr>
        <w:spacing w:after="27"/>
        <w:ind w:left="238" w:hanging="136"/>
      </w:pPr>
      <w:r>
        <w:t xml:space="preserve">• </w:t>
      </w:r>
      <w:r>
        <w:t>Sets convergence, code or release readiness true.</w:t>
      </w:r>
    </w:p>
    <w:p>
      <w:pPr>
        <w:spacing w:after="27"/>
        <w:ind w:left="238" w:hanging="136"/>
      </w:pPr>
      <w:r>
        <w:t xml:space="preserve">• </w:t>
      </w:r>
      <w:r>
        <w:t>Starts NB-T6 before NB-T4B post-merge certification.</w:t>
      </w:r>
    </w:p>
    <w:p>
      <w:pPr>
        <w:spacing w:after="27"/>
        <w:ind w:left="238" w:hanging="136"/>
      </w:pPr>
      <w:r>
        <w:t xml:space="preserve">• </w:t>
      </w:r>
      <w:r>
        <w:t>Changes tolerance or expected benchmark value after observing output.</w:t>
      </w:r>
    </w:p>
    <w:p>
      <w:pPr>
        <w:pStyle w:val="Heading1"/>
      </w:pPr>
      <w:r>
        <w:t>4. Expected dispositions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44"/>
        <w:gridCol w:w="5244"/>
      </w:tblGrid>
      <w:tr>
        <w:trPr>
          <w:tblHeader w:val="true"/>
        </w:trPr>
        <w:tc>
          <w:tcPr>
            <w:tcW w:type="dxa" w:w="4422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4"/>
              </w:rPr>
              <w:t>Condition</w:t>
            </w:r>
          </w:p>
        </w:tc>
        <w:tc>
          <w:tcPr>
            <w:tcW w:type="dxa" w:w="5783"/>
            <w:shd w:fill="D9EAF7"/>
            <w:tcMar>
              <w:top w:w="55" w:type="dxa"/>
              <w:start w:w="64" w:type="dxa"/>
              <w:bottom w:w="55" w:type="dxa"/>
              <w:end w:w="64" w:type="dxa"/>
            </w:tcMar>
          </w:tcPr>
          <w:p>
            <w:r>
              <w:rPr>
                <w:rFonts w:ascii="Liberation Sans" w:hAnsi="Liberation Sans"/>
                <w:b/>
                <w:color w:val="18304C"/>
                <w:sz w:val="14"/>
              </w:rPr>
              <w:t>Disposition</w:t>
            </w:r>
          </w:p>
        </w:tc>
      </w:tr>
      <w:tr>
        <w:tc>
          <w:tcPr>
            <w:tcW w:type="dxa" w:w="4422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Branch stale or unbounded conflict</w:t>
            </w:r>
          </w:p>
        </w:tc>
        <w:tc>
          <w:tcPr>
            <w:tcW w:type="dxa" w:w="5783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UNRESOLVED_GATE.</w:t>
            </w:r>
          </w:p>
        </w:tc>
      </w:tr>
      <w:tr>
        <w:tc>
          <w:tcPr>
            <w:tcW w:type="dxa" w:w="4422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Zero-step/no-log workflows</w:t>
            </w:r>
          </w:p>
        </w:tc>
        <w:tc>
          <w:tcPr>
            <w:tcW w:type="dxa" w:w="5783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PRE_STEP_INFRASTRUCTURE_FAILURE; PR remains draft.</w:t>
            </w:r>
          </w:p>
        </w:tc>
      </w:tr>
      <w:tr>
        <w:tc>
          <w:tcPr>
            <w:tcW w:type="dxa" w:w="4422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All bounded checks pass; unrelated repository scope fails</w:t>
            </w:r>
          </w:p>
        </w:tc>
        <w:tc>
          <w:tcPr>
            <w:tcW w:type="dxa" w:w="5783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CONDITIONAL ACCEPTANCE / REPOSITORY_INTEGRATION_BLOCKED.</w:t>
            </w:r>
          </w:p>
        </w:tc>
      </w:tr>
      <w:tr>
        <w:tc>
          <w:tcPr>
            <w:tcW w:type="dxa" w:w="4422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PR-head PASS; post-merge current-main absent</w:t>
            </w:r>
          </w:p>
        </w:tc>
        <w:tc>
          <w:tcPr>
            <w:tcW w:type="dxa" w:w="5783"/>
            <w:shd w:fill="F8FAFC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NOT ACCEPTED AS MERGED QUALIFICATION.</w:t>
            </w:r>
          </w:p>
        </w:tc>
      </w:tr>
      <w:tr>
        <w:tc>
          <w:tcPr>
            <w:tcW w:type="dxa" w:w="4422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All exact-head and post-merge gates pass</w:t>
            </w:r>
          </w:p>
        </w:tc>
        <w:tc>
          <w:tcPr>
            <w:tcW w:type="dxa" w:w="5783"/>
            <w:tcMar>
              <w:top w:w="42" w:type="dxa"/>
              <w:start w:w="50" w:type="dxa"/>
              <w:bottom w:w="42" w:type="dxa"/>
              <w:end w:w="50" w:type="dxa"/>
            </w:tcMar>
            <w:vAlign w:val="top"/>
          </w:tcPr>
          <w:p>
            <w:pPr>
              <w:spacing w:after="0"/>
            </w:pPr>
            <w:r>
              <w:rPr>
                <w:rFonts w:ascii="Liberation Sans" w:hAnsi="Liberation Sans"/>
                <w:color w:val="3A4046"/>
                <w:sz w:val="14"/>
              </w:rPr>
              <w:t>ELIGIBLE FOR MERGE/CLOSURE DECISION; not release qualification.</w:t>
            </w:r>
          </w:p>
        </w:tc>
      </w:tr>
    </w:tbl>
    <w:p>
      <w:pPr>
        <w:pStyle w:val="Heading1"/>
      </w:pPr>
      <w:r>
        <w:t>5. Evaluator record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9"/>
      </w:tblGrid>
      <w:tr>
        <w:tc>
          <w:tcPr>
            <w:tcW w:type="dxa" w:w="10489"/>
            <w:shd w:fill="F4F6F8"/>
            <w:tcMar>
              <w:top w:w="72" w:type="dxa"/>
              <w:start w:w="88" w:type="dxa"/>
              <w:bottom w:w="72" w:type="dxa"/>
              <w:end w:w="88" w:type="dxa"/>
            </w:tcMar>
            <w:tcBorders>
              <w:top w:val="single" w:sz="4" w:color="D2D8E0"/>
              <w:left w:val="single" w:sz="4" w:color="D2D8E0"/>
              <w:bottom w:val="single" w:sz="4" w:color="D2D8E0"/>
              <w:right w:val="single" w:sz="4" w:color="D2D8E0"/>
            </w:tcBorders>
          </w:tcPr>
          <w:p>
            <w:pPr>
              <w:pStyle w:val="CodeBlock"/>
            </w:pPr>
            <w:r>
              <w:t>CANDIDATE:</w:t>
              <w:br/>
              <w:t>Q1: __ /20</w:t>
              <w:br/>
              <w:t>Q2: __ /20</w:t>
              <w:br/>
              <w:t>Q3: __ /20</w:t>
              <w:br/>
              <w:t>Q4: __ /20</w:t>
              <w:br/>
              <w:t>Q5: __ /20</w:t>
              <w:br/>
              <w:t>TOTAL: __ /100</w:t>
              <w:br/>
              <w:t>AUTOMATIC FAIL: YES / NO</w:t>
              <w:br/>
              <w:t>STRENGTHS:</w:t>
              <w:br/>
              <w:t>DEFICIENCIES:</w:t>
              <w:br/>
              <w:t>UNRESOLVED GATES:</w:t>
              <w:br/>
              <w:t>FINAL DISPOSITION:</w:t>
              <w:br/>
              <w:t>FIRST AUTHORIZED PACKAGE: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37" w:right="680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3A4046"/>
        <w:sz w:val="16"/>
      </w:rPr>
      <w:t xml:space="preserve">Page </w:t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Liberation Sans" w:hAnsi="Liberation Sans"/>
        <w:b/>
        <w:color w:val="18304C"/>
        <w:sz w:val="15"/>
      </w:rPr>
      <w:t>LAFEA Non-Bucket | Evaluator Rubric Rev 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2" w:line="245" w:lineRule="auto"/>
    </w:pPr>
    <w:rPr>
      <w:rFonts w:ascii="Liberation Sans" w:hAnsi="Liberation San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4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8304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10" w:after="48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8588E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36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3A4046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8304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40"/>
    </w:pPr>
    <w:rPr>
      <w:rFonts w:asciiTheme="majorHAnsi" w:eastAsiaTheme="majorEastAsia" w:hAnsiTheme="majorHAnsi" w:cstheme="majorBidi" w:ascii="Liberation Sans" w:hAnsi="Liberation Sans"/>
      <w:b/>
      <w:i/>
      <w:iCs/>
      <w:color w:val="3A4046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Liberation Mono" w:hAnsi="Liberation Mono"/>
      <w:sz w:val="13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