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LAFEA Non-Bucket Takeover Prompt — Rev 3</w:t>
      </w:r>
    </w:p>
    <w:p>
      <w:pPr>
        <w:pStyle w:val="Subtitle"/>
      </w:pPr>
      <w:r>
        <w:t>Prequalification-first authority for NB-T4B current-head recovery, exact result lineage and controlled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9"/>
        <w:gridCol w:w="2629"/>
        <w:gridCol w:w="2629"/>
        <w:gridCol w:w="2629"/>
      </w:tblGrid>
      <w:tr>
        <w:tc>
          <w:tcPr>
            <w:tcW w:type="dxa" w:w="2629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3"/>
              </w:rPr>
              <w:t>Mode</w:t>
              <w:br/>
              <w:t>Takeover agent</w:t>
            </w:r>
          </w:p>
        </w:tc>
        <w:tc>
          <w:tcPr>
            <w:tcW w:type="dxa" w:w="2629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3"/>
              </w:rPr>
              <w:t>Current main</w:t>
              <w:br/>
              <w:t>f4445b32442b...</w:t>
            </w:r>
          </w:p>
        </w:tc>
        <w:tc>
          <w:tcPr>
            <w:tcW w:type="dxa" w:w="2629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3"/>
              </w:rPr>
              <w:t>Active PR</w:t>
              <w:br/>
              <w:t>#242 / draft</w:t>
            </w:r>
          </w:p>
        </w:tc>
        <w:tc>
          <w:tcPr>
            <w:tcW w:type="dxa" w:w="2629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3"/>
              </w:rPr>
              <w:t>First package</w:t>
              <w:br/>
              <w:t>NBR-0 read-only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7"/>
      </w:tblGrid>
      <w:tr>
        <w:tc>
          <w:tcPr>
            <w:tcW w:type="dxa" w:w="10517"/>
            <w:shd w:fill="EAF3F8"/>
            <w:tcMar>
              <w:top w:w="72" w:type="dxa"/>
              <w:start w:w="92" w:type="dxa"/>
              <w:bottom w:w="72" w:type="dxa"/>
              <w:end w:w="92" w:type="dxa"/>
            </w:tcMar>
            <w:tcBorders>
              <w:top w:val="single" w:sz="8" w:color="6D9DC5"/>
              <w:left w:val="single" w:sz="8" w:color="6D9DC5"/>
              <w:bottom w:val="single" w:sz="8" w:color="6D9DC5"/>
              <w:right w:val="single" w:sz="8" w:color="6D9DC5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8304C"/>
                <w:sz w:val="16"/>
              </w:rPr>
              <w:t>Implementation authority is withheld. The five technical questions are embedded in Section 5. Initial post-qualification authority is limited to read-only freshness/ownership audit and a separately approved branch synchronization.</w:t>
            </w:r>
          </w:p>
        </w:tc>
      </w:tr>
    </w:tbl>
    <w:p>
      <w:pPr>
        <w:pStyle w:val="Heading1"/>
      </w:pPr>
      <w:r>
        <w:t>Linked package files</w:t>
      </w:r>
    </w:p>
    <w:p>
      <w:hyperlink r:id="rId11">
        <w:r>
          <w:rPr>
            <w:color w:val="0563C1"/>
            <w:u w:val="single"/>
          </w:rPr>
          <w:t>LAFEA_NonBucket_Recovery_to_Render_Concept_Note_Rev3.docx</w:t>
        </w:r>
      </w:hyperlink>
    </w:p>
    <w:p>
      <w:hyperlink r:id="rId12">
        <w:r>
          <w:rPr>
            <w:color w:val="0563C1"/>
            <w:u w:val="single"/>
          </w:rPr>
          <w:t>LAFEA_NonBucket_Takeover_Qualification_Questions_Rev3.docx</w:t>
        </w:r>
      </w:hyperlink>
    </w:p>
    <w:p>
      <w:hyperlink r:id="rId13">
        <w:r>
          <w:rPr>
            <w:color w:val="0563C1"/>
            <w:u w:val="single"/>
          </w:rPr>
          <w:t>LAFEA_NonBucket_Takeover_Evaluator_Rubric_Rev3.docx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10517"/>
      </w:tblGrid>
      <w:tr>
        <w:tc>
          <w:tcPr>
            <w:tcW w:type="dxa" w:w="10517"/>
            <w:shd w:fill="F4F6F8"/>
            <w:tcMar>
              <w:top w:w="62" w:type="dxa"/>
              <w:start w:w="78" w:type="dxa"/>
              <w:bottom w:w="62" w:type="dxa"/>
              <w:end w:w="7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MODE: LAFEA_NONBUCKET_TAKEOVER_AGENT_REV3</w:t>
            </w:r>
          </w:p>
        </w:tc>
      </w:tr>
    </w:tbl>
    <w:p>
      <w:pPr>
        <w:pStyle w:val="Heading1"/>
      </w:pPr>
      <w:r>
        <w:t>1. Executive summary</w:t>
      </w:r>
    </w:p>
    <w:p>
      <w:r>
        <w:t>You are qualifying to take over the original LAFEA Non-Bucket workstream in `reallaksh19/Advanced_Analysis`. Current main is `f4445b32442b2b563a30427db285130e86e309cc`. NB-T0 through NB-T4A are merged. NB-T4B is open as draft PR #242 at `07f0fec5cf81c6d76f668efb270493c49a3262ae`, with merge base `070321a1a71459e3a679749e5e90ad8237c798ad` and branch relation `11 ahead / 20 behind` current main.</w:t>
      </w:r>
    </w:p>
    <w:p>
      <w:r>
        <w:t>Implementation authority is withheld. Your first response must answer the five qualification questions and stop.</w:t>
      </w:r>
    </w:p>
    <w:p>
      <w:pPr>
        <w:pStyle w:val="Heading1"/>
      </w:pPr>
      <w:r>
        <w:t>2. Current-state snapshot</w:t>
      </w:r>
    </w:p>
    <w:p>
      <w:pPr>
        <w:spacing w:after="20"/>
        <w:ind w:left="227" w:hanging="130"/>
      </w:pPr>
      <w:r>
        <w:t xml:space="preserve">• </w:t>
      </w:r>
      <w:r>
        <w:t>NB-T0: dedicated Non-Bucket exact-head boundary merged.</w:t>
      </w:r>
    </w:p>
    <w:p>
      <w:pPr>
        <w:spacing w:after="20"/>
        <w:ind w:left="227" w:hanging="130"/>
      </w:pPr>
      <w:r>
        <w:t xml:space="preserve">• </w:t>
      </w:r>
      <w:r>
        <w:t>NB-T1: stage-correct analytical and FEA lifecycle profiles merged.</w:t>
      </w:r>
    </w:p>
    <w:p>
      <w:pPr>
        <w:spacing w:after="20"/>
        <w:ind w:left="227" w:hanging="130"/>
      </w:pPr>
      <w:r>
        <w:t xml:space="preserve">• </w:t>
      </w:r>
      <w:r>
        <w:t>NB-T2: SHA-256 source authority and current-core producer contracts merged.</w:t>
      </w:r>
    </w:p>
    <w:p>
      <w:pPr>
        <w:spacing w:after="20"/>
        <w:ind w:left="227" w:hanging="130"/>
      </w:pPr>
      <w:r>
        <w:t xml:space="preserve">• </w:t>
      </w:r>
      <w:r>
        <w:t>NB-T3: registry v2 and one composition root per stage merged.</w:t>
      </w:r>
    </w:p>
    <w:p>
      <w:pPr>
        <w:spacing w:after="20"/>
        <w:ind w:left="227" w:hanging="130"/>
      </w:pPr>
      <w:r>
        <w:t xml:space="preserve">• </w:t>
      </w:r>
      <w:r>
        <w:t>NB-T4A: analysis-mesh evidence intake merged and exact-head certified.</w:t>
      </w:r>
    </w:p>
    <w:p>
      <w:pPr>
        <w:spacing w:after="20"/>
        <w:ind w:left="227" w:hanging="130"/>
      </w:pPr>
      <w:r>
        <w:t xml:space="preserve">• </w:t>
      </w:r>
      <w:r>
        <w:t>NB-T4B: implementation substantially complete, draft, unmerged and not current-head certified.</w:t>
      </w:r>
    </w:p>
    <w:p>
      <w:pPr>
        <w:spacing w:after="20"/>
        <w:ind w:left="227" w:hanging="130"/>
      </w:pPr>
      <w:r>
        <w:t xml:space="preserve">• </w:t>
      </w:r>
      <w:r>
        <w:t>Final NB-T4B jobs produced no executable steps or logs; classify as `PRE_STEP_INFRASTRUCTURE_FAILURE`.</w:t>
      </w:r>
    </w:p>
    <w:p>
      <w:pPr>
        <w:spacing w:after="20"/>
        <w:ind w:left="227" w:hanging="130"/>
      </w:pPr>
      <w:r>
        <w:t xml:space="preserve">• </w:t>
      </w:r>
      <w:r>
        <w:t>Current main contains later Bucket B1/B2 contract work. Those changes do not promote Non-Bucket authority but require freshness synchronization.</w:t>
      </w:r>
    </w:p>
    <w:p>
      <w:pPr>
        <w:spacing w:after="20"/>
        <w:ind w:left="227" w:hanging="130"/>
      </w:pPr>
      <w:r>
        <w:t xml:space="preserve">• </w:t>
      </w:r>
      <w:r>
        <w:t>LAFEA.4 remains five-DOF CST+DKT; no MITC production authority.</w:t>
      </w:r>
    </w:p>
    <w:p>
      <w:pPr>
        <w:spacing w:after="20"/>
        <w:ind w:left="227" w:hanging="130"/>
      </w:pPr>
      <w:r>
        <w:t xml:space="preserve">• </w:t>
      </w:r>
      <w:r>
        <w:t>LAFEA.6 remains unsupported.</w:t>
      </w:r>
    </w:p>
    <w:p>
      <w:pPr>
        <w:spacing w:after="20"/>
        <w:ind w:left="227" w:hanging="130"/>
      </w:pPr>
      <w:r>
        <w:t xml:space="preserve">• </w:t>
      </w:r>
      <w:r>
        <w:t>`CONVERGENCE_READY`, `CODE_READY` and `RELEASE_QUALIFIED` remain false.</w:t>
      </w:r>
    </w:p>
    <w:p>
      <w:pPr>
        <w:pStyle w:val="Heading1"/>
      </w:pPr>
      <w:r>
        <w:t>3. Scope and authority boundary</w:t>
      </w:r>
    </w:p>
    <w:p>
      <w:pPr>
        <w:pStyle w:val="Heading2"/>
      </w:pPr>
      <w:r>
        <w:t>In scope</w:t>
      </w:r>
    </w:p>
    <w:p>
      <w:pPr>
        <w:spacing w:after="20"/>
        <w:ind w:left="227" w:hanging="130"/>
      </w:pPr>
      <w:r>
        <w:t xml:space="preserve">• </w:t>
      </w:r>
      <w:r>
        <w:t>PR #242 NB-T4B contracts, producer, checks, documentation and bounded exports;</w:t>
      </w:r>
    </w:p>
    <w:p>
      <w:pPr>
        <w:spacing w:after="20"/>
        <w:ind w:left="227" w:hanging="130"/>
      </w:pPr>
      <w:r>
        <w:t xml:space="preserve">• </w:t>
      </w:r>
      <w:r>
        <w:t>exact source/model/geometry/mesh/execution/recovery/display lineage;</w:t>
      </w:r>
    </w:p>
    <w:p>
      <w:pPr>
        <w:spacing w:after="20"/>
        <w:ind w:left="227" w:hanging="130"/>
      </w:pPr>
      <w:r>
        <w:t xml:space="preserve">• </w:t>
      </w:r>
      <w:r>
        <w:t>exact-head and post-merge certification;</w:t>
      </w:r>
    </w:p>
    <w:p>
      <w:pPr>
        <w:spacing w:after="20"/>
        <w:ind w:left="227" w:hanging="130"/>
      </w:pPr>
      <w:r>
        <w:t xml:space="preserve">• </w:t>
      </w:r>
      <w:r>
        <w:t>independent review and merge disposition;</w:t>
      </w:r>
    </w:p>
    <w:p>
      <w:pPr>
        <w:spacing w:after="20"/>
        <w:ind w:left="227" w:hanging="130"/>
      </w:pPr>
      <w:r>
        <w:t xml:space="preserve">• </w:t>
      </w:r>
      <w:r>
        <w:t>later Non-Bucket vertical planning.</w:t>
      </w:r>
    </w:p>
    <w:p>
      <w:pPr>
        <w:pStyle w:val="Heading2"/>
      </w:pPr>
      <w:r>
        <w:t>Out of scope without explicit user authority</w:t>
      </w:r>
    </w:p>
    <w:p>
      <w:pPr>
        <w:spacing w:after="20"/>
        <w:ind w:left="227" w:hanging="130"/>
      </w:pPr>
      <w:r>
        <w:t xml:space="preserve">• </w:t>
      </w:r>
      <w:r>
        <w:t>Bucket/application-template B1/B2 implementation;</w:t>
      </w:r>
    </w:p>
    <w:p>
      <w:pPr>
        <w:spacing w:after="20"/>
        <w:ind w:left="227" w:hanging="130"/>
      </w:pPr>
      <w:r>
        <w:t xml:space="preserve">• </w:t>
      </w:r>
      <w:r>
        <w:t>LFEA piping;</w:t>
      </w:r>
    </w:p>
    <w:p>
      <w:pPr>
        <w:spacing w:after="20"/>
        <w:ind w:left="227" w:hanging="130"/>
      </w:pPr>
      <w:r>
        <w:t xml:space="preserve">• </w:t>
      </w:r>
      <w:r>
        <w:t>numerical-core, solver or production-mesher changes;</w:t>
      </w:r>
    </w:p>
    <w:p>
      <w:pPr>
        <w:spacing w:after="20"/>
        <w:ind w:left="227" w:hanging="130"/>
      </w:pPr>
      <w:r>
        <w:t xml:space="preserve">• </w:t>
      </w:r>
      <w:r>
        <w:t>registry-v2 or lifecycle-profile redesign;</w:t>
      </w:r>
    </w:p>
    <w:p>
      <w:pPr>
        <w:spacing w:after="20"/>
        <w:ind w:left="227" w:hanging="130"/>
      </w:pPr>
      <w:r>
        <w:t xml:space="preserve">• </w:t>
      </w:r>
      <w:r>
        <w:t>SCL, structural stress, convergence, code or report implementation;</w:t>
      </w:r>
    </w:p>
    <w:p>
      <w:pPr>
        <w:spacing w:after="20"/>
        <w:ind w:left="227" w:hanging="130"/>
      </w:pPr>
      <w:r>
        <w:t xml:space="preserve">• </w:t>
      </w:r>
      <w:r>
        <w:t>shell-formulation change or MITC claim;</w:t>
      </w:r>
    </w:p>
    <w:p>
      <w:pPr>
        <w:spacing w:after="20"/>
        <w:ind w:left="227" w:hanging="130"/>
      </w:pPr>
      <w:r>
        <w:t xml:space="preserve">• </w:t>
      </w:r>
      <w:r>
        <w:t>LAFEA.6;</w:t>
      </w:r>
    </w:p>
    <w:p>
      <w:pPr>
        <w:spacing w:after="20"/>
        <w:ind w:left="227" w:hanging="130"/>
      </w:pPr>
      <w:r>
        <w:t xml:space="preserve">• </w:t>
      </w:r>
      <w:r>
        <w:t>tolerance, benchmark expected-value or release-state change.</w:t>
      </w:r>
    </w:p>
    <w:p>
      <w:pPr>
        <w:pStyle w:val="Heading1"/>
      </w:pPr>
      <w:r>
        <w:t>4. Governed requirements and source hierarchy</w:t>
      </w:r>
    </w:p>
    <w:p>
      <w:r>
        <w:t>Authority order:</w:t>
      </w:r>
    </w:p>
    <w:p>
      <w:r>
        <w:t>1. live exact repository source and retained executable evidence;</w:t>
      </w:r>
    </w:p>
    <w:p>
      <w:r>
        <w:t>2. current `main`, merge base and PR head identities;</w:t>
      </w:r>
    </w:p>
    <w:p>
      <w:r>
        <w:t>3. merged NB-T0 through NB-T4A contracts;</w:t>
      </w:r>
    </w:p>
    <w:p>
      <w:r>
        <w:t>4. the current concept note;</w:t>
      </w:r>
    </w:p>
    <w:p>
      <w:r>
        <w:t>5. PR and issue prose.</w:t>
      </w:r>
    </w:p>
    <w:p>
      <w:r>
        <w:t>When source, execution evidence and prose conflict, return `UNRESOLVED_GATE`.</w:t>
      </w:r>
    </w:p>
    <w:p>
      <w:r>
        <w:t>Non-negotiable requirements:</w:t>
      </w:r>
    </w:p>
    <w:p>
      <w:pPr>
        <w:spacing w:after="20"/>
        <w:ind w:left="227" w:hanging="130"/>
      </w:pPr>
      <w:r>
        <w:t xml:space="preserve">• </w:t>
      </w:r>
      <w:r>
        <w:t>no core/solver import or call in NB-T4B;</w:t>
      </w:r>
    </w:p>
    <w:p>
      <w:pPr>
        <w:spacing w:after="20"/>
        <w:ind w:left="227" w:hanging="130"/>
      </w:pPr>
      <w:r>
        <w:t xml:space="preserve">• </w:t>
      </w:r>
      <w:r>
        <w:t>NB-T4A-qualified mesh evidence is mandatory for LAFEA.3-.5;</w:t>
      </w:r>
    </w:p>
    <w:p>
      <w:pPr>
        <w:spacing w:after="20"/>
        <w:ind w:left="227" w:hanging="130"/>
      </w:pPr>
      <w:r>
        <w:t xml:space="preserve">• </w:t>
      </w:r>
      <w:r>
        <w:t>analytical LAFEA.1/.2 are rejected by NB-T4B;</w:t>
      </w:r>
    </w:p>
    <w:p>
      <w:pPr>
        <w:spacing w:after="20"/>
        <w:ind w:left="227" w:hanging="130"/>
      </w:pPr>
      <w:r>
        <w:t xml:space="preserve">• </w:t>
      </w:r>
      <w:r>
        <w:t>no cross-element averaging, smoothing or shell nodal extrapolation;</w:t>
      </w:r>
    </w:p>
    <w:p>
      <w:pPr>
        <w:spacing w:after="20"/>
        <w:ind w:left="227" w:hanging="130"/>
      </w:pPr>
      <w:r>
        <w:t xml:space="preserve">• </w:t>
      </w:r>
      <w:r>
        <w:t>display values are `PRODUCER_PROJECTED_DISPLAY_ONLY`;</w:t>
      </w:r>
    </w:p>
    <w:p>
      <w:pPr>
        <w:spacing w:after="20"/>
        <w:ind w:left="227" w:hanging="130"/>
      </w:pPr>
      <w:r>
        <w:t xml:space="preserve">• </w:t>
      </w:r>
      <w:r>
        <w:t>no visual tessellation as engineering mesh;</w:t>
      </w:r>
    </w:p>
    <w:p>
      <w:pPr>
        <w:spacing w:after="20"/>
        <w:ind w:left="227" w:hanging="130"/>
      </w:pPr>
      <w:r>
        <w:t xml:space="preserve">• </w:t>
      </w:r>
      <w:r>
        <w:t>no convergence, SCL, code, report or release evidence;</w:t>
      </w:r>
    </w:p>
    <w:p>
      <w:pPr>
        <w:spacing w:after="20"/>
        <w:ind w:left="227" w:hanging="130"/>
      </w:pPr>
      <w:r>
        <w:t xml:space="preserve">• </w:t>
      </w:r>
      <w:r>
        <w:t>no MITC production claim;</w:t>
      </w:r>
    </w:p>
    <w:p>
      <w:pPr>
        <w:spacing w:after="20"/>
        <w:ind w:left="227" w:hanging="130"/>
      </w:pPr>
      <w:r>
        <w:t xml:space="preserve">• </w:t>
      </w:r>
      <w:r>
        <w:t>LAFEA.6 remains blocked;</w:t>
      </w:r>
    </w:p>
    <w:p>
      <w:pPr>
        <w:spacing w:after="20"/>
        <w:ind w:left="227" w:hanging="130"/>
      </w:pPr>
      <w:r>
        <w:t xml:space="preserve">• </w:t>
      </w:r>
      <w:r>
        <w:t>zero-step/no-log workflow is infrastructure evidence only;</w:t>
      </w:r>
    </w:p>
    <w:p>
      <w:pPr>
        <w:spacing w:after="20"/>
        <w:ind w:left="227" w:hanging="130"/>
      </w:pPr>
      <w:r>
        <w:t xml:space="preserve">• </w:t>
      </w:r>
      <w:r>
        <w:t>prior-head PASS is not current-head or post-merge qualification.</w:t>
      </w:r>
    </w:p>
    <w:p>
      <w:pPr>
        <w:pStyle w:val="Heading1"/>
      </w:pPr>
      <w:r>
        <w:t>5. Qualification questions and scoring</w:t>
      </w:r>
    </w:p>
    <w:p>
      <w:r>
        <w:t>Scoring:</w:t>
      </w:r>
    </w:p>
    <w:p>
      <w:pPr>
        <w:spacing w:after="20"/>
        <w:ind w:left="227" w:hanging="130"/>
      </w:pPr>
      <w:r>
        <w:t xml:space="preserve">• </w:t>
      </w:r>
      <w:r>
        <w:t>20 marks each; total 100;</w:t>
      </w:r>
    </w:p>
    <w:p>
      <w:pPr>
        <w:spacing w:after="20"/>
        <w:ind w:left="227" w:hanging="130"/>
      </w:pPr>
      <w:r>
        <w:t xml:space="preserve">• </w:t>
      </w:r>
      <w:r>
        <w:t>pass &gt;=90/100;</w:t>
      </w:r>
    </w:p>
    <w:p>
      <w:pPr>
        <w:spacing w:after="20"/>
        <w:ind w:left="227" w:hanging="130"/>
      </w:pPr>
      <w:r>
        <w:t xml:space="preserve">• </w:t>
      </w:r>
      <w:r>
        <w:t>every question &gt;=16/20;</w:t>
      </w:r>
    </w:p>
    <w:p>
      <w:pPr>
        <w:spacing w:after="20"/>
        <w:ind w:left="227" w:hanging="130"/>
      </w:pPr>
      <w:r>
        <w:t xml:space="preserve">• </w:t>
      </w:r>
      <w:r>
        <w:t>any automatic-fail condition rejects the candidate.</w:t>
      </w:r>
    </w:p>
    <w:p>
      <w:r>
        <w:t>During qualification, do not write code, update branches, comment on issues, open/modify PRs or dispatch workflows.</w:t>
      </w:r>
    </w:p>
    <w:p>
      <w:pPr>
        <w:pStyle w:val="Heading2"/>
      </w:pPr>
      <w:r>
        <w:t>Question 1 — Current-head authority and NB-T4B branch recovery [20]</w:t>
      </w:r>
    </w:p>
    <w:p>
      <w:r>
        <w:t>The NB-T4B branch is ahead of and behind current main, and its final exact-head jobs completed with `steps: null` and no logs.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the exact read-only audit for current main, merge base, branch head, ahead/behind relation and changed-file ownership.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Distinguish `PRE_STEP_INFRASTRUCTURE_FAILURE`, executable product failure, supporting prior evidence and current-head qualification.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the safe synchronization strategy and conflict stop conditions.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State whether the PR may leave draft before exact-head execution.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merge eligibility and post-merge current-main evidence.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Provide at least ten branch/certification anti-drift tests.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Give the truthful current disposition.</w:t>
      </w:r>
    </w:p>
    <w:p>
      <w:pPr>
        <w:pStyle w:val="Heading2"/>
      </w:pPr>
      <w:r>
        <w:t>Question 2 — Exact execution/recovery/render lineage [20]</w:t>
      </w:r>
    </w:p>
    <w:p>
      <w:r>
        <w:t>Design the full NB-T4B parent graph and contracts.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required inputs from source, canonical model, analysis geometry, NB-T4A mesh evidence and retained calculation.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Define `EXECUTION`, `RECOVERY` and `LafeaRenderPacket.v2` exact keys.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semantic, evidence, display-geometry, render-profile and package hashes.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atomic registration and rollback when one record fails.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stale invalidation for source, model, geometry, mesh, calculation, field request, units and render profile.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Explain why `RESULT_READY` does not imply convergence, code or release readiness.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Provide at least twelve lineage/tamper tests.</w:t>
      </w:r>
    </w:p>
    <w:p>
      <w:pPr>
        <w:pStyle w:val="Heading2"/>
      </w:pPr>
      <w:r>
        <w:t>Question 3 — Stage-specific result authority and display projection [20]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authoritative display intake for T3, T6/Q8, LAFEA.4 and LAFEA.5.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Explain how an exact integration point or shell surface is selected.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why cross-element averaging, shell nodal extrapolation and smoothing are prohibited.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element-local tessellation and pick-map identity without turning visual vertices into engineering nodes.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unit and quantity checks.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State how projected display values must be labelled and why they cannot feed SCL/code.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Provide an adversarial matrix covering missing element, integration point, surface, load case, units, quantity and retained-result path.</w:t>
      </w:r>
    </w:p>
    <w:p>
      <w:pPr>
        <w:pStyle w:val="Heading2"/>
      </w:pPr>
      <w:r>
        <w:t>Question 4 — Lifecycle semantics and stage containment [20]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the prerequisite state `CALCULATION_ACCEPTED_BY_STAGE_CONTRACT`.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Define when `EXECUTION`, `RECOVERY` and `RESULT_READY` may register.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analytical LAFEA.1/.2 behavior and why NB-T4B must reject them.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LAFEA.3-.5 behavior and mesh prerequisites.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LAFEA.4 CST+DKT authority and the false-MITC rejection.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Define LAFEA.6 blocking.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Distinguish `RESULT_READY`, `CONVERGENCE_READY`, `CODE_READY` and `RELEASE_QUALIFIED`.</w:t>
      </w:r>
    </w:p>
    <w:p>
      <w:r>
        <w:t>H. Provide at least twelve lifecycle and authority anti-drift tests.</w:t>
      </w:r>
    </w:p>
    <w:p>
      <w:pPr>
        <w:pStyle w:val="Heading2"/>
      </w:pPr>
      <w:r>
        <w:t>Question 5 — Adversarial takeover, merge and roadmap decision [20]</w:t>
      </w:r>
    </w:p>
    <w:p>
      <w:r>
        <w:t>Assume the branch is refreshed but:</w:t>
      </w:r>
    </w:p>
    <w:p>
      <w:pPr>
        <w:spacing w:after="20"/>
        <w:ind w:left="227" w:hanging="130"/>
      </w:pPr>
      <w:r>
        <w:t xml:space="preserve">• </w:t>
      </w:r>
      <w:r>
        <w:t>one out-of-scope registry file changes during conflict resolution;</w:t>
      </w:r>
    </w:p>
    <w:p>
      <w:pPr>
        <w:spacing w:after="20"/>
        <w:ind w:left="227" w:hanging="130"/>
      </w:pPr>
      <w:r>
        <w:t xml:space="preserve">• </w:t>
      </w:r>
      <w:r>
        <w:t>the dedicated test passes locally;</w:t>
      </w:r>
    </w:p>
    <w:p>
      <w:pPr>
        <w:spacing w:after="20"/>
        <w:ind w:left="227" w:hanging="130"/>
      </w:pPr>
      <w:r>
        <w:t xml:space="preserve">• </w:t>
      </w:r>
      <w:r>
        <w:t>GitHub jobs again have no steps or logs;</w:t>
      </w:r>
    </w:p>
    <w:p>
      <w:pPr>
        <w:spacing w:after="20"/>
        <w:ind w:left="227" w:hanging="130"/>
      </w:pPr>
      <w:r>
        <w:t xml:space="preserve">• </w:t>
      </w:r>
      <w:r>
        <w:t>a reviewer proposes merging because earlier runs passed;</w:t>
      </w:r>
    </w:p>
    <w:p>
      <w:pPr>
        <w:spacing w:after="20"/>
        <w:ind w:left="227" w:hanging="130"/>
      </w:pPr>
      <w:r>
        <w:t xml:space="preserve">• </w:t>
      </w:r>
      <w:r>
        <w:t>a display contour averages shared nodes;</w:t>
      </w:r>
    </w:p>
    <w:p>
      <w:pPr>
        <w:spacing w:after="20"/>
        <w:ind w:left="227" w:hanging="130"/>
      </w:pPr>
      <w:r>
        <w:t xml:space="preserve">• </w:t>
      </w:r>
      <w:r>
        <w:t>the packet is labelled `CODE_READY`;</w:t>
      </w:r>
    </w:p>
    <w:p>
      <w:pPr>
        <w:spacing w:after="20"/>
        <w:ind w:left="227" w:hanging="130"/>
      </w:pPr>
      <w:r>
        <w:t xml:space="preserve">• </w:t>
      </w:r>
      <w:r>
        <w:t>the UI advertises MITC4;</w:t>
      </w:r>
    </w:p>
    <w:p>
      <w:pPr>
        <w:spacing w:after="20"/>
        <w:ind w:left="227" w:hanging="130"/>
      </w:pPr>
      <w:r>
        <w:t xml:space="preserve">• </w:t>
      </w:r>
      <w:r>
        <w:t>NB-T6 is started before NB-T4B merge/current-main certification.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Identify every violation.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Give the rejection order.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the smallest safe recovery sequence.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NBR-0 through NBR-4 ownership and exit gates.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State the disposition if all NB-T4B checks pass but the repository gate fails only in an unrelated scope.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State the disposition if PR-head checks pass but post-merge current-main certification is absent.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Give the mandatory work-package report and stop conditions.</w:t>
      </w:r>
    </w:p>
    <w:p>
      <w:pPr>
        <w:pStyle w:val="Heading1"/>
      </w:pPr>
      <w:r>
        <w:t>6. Required architecture corrections</w:t>
      </w:r>
    </w:p>
    <w:p>
      <w:r>
        <w:t>No new architecture is presumed accepted. The takeover must validate and preserve this boundary:</w:t>
      </w:r>
    </w:p>
    <w:p>
      <w:r>
        <w:t>`NB-T4A mesh evidence + accepted calculation -&gt; EXECUTION -&gt; RECOVERY -&gt; sealed LafeaRenderPacket.v2 -&gt; RESULT_READY`</w:t>
      </w:r>
    </w:p>
    <w:p>
      <w:r>
        <w:t>Required properties:</w:t>
      </w:r>
    </w:p>
    <w:p>
      <w:pPr>
        <w:spacing w:after="20"/>
        <w:ind w:left="227" w:hanging="130"/>
      </w:pPr>
      <w:r>
        <w:t xml:space="preserve">• </w:t>
      </w:r>
      <w:r>
        <w:t>exact parent identities and canonical SHA-256 records;</w:t>
      </w:r>
    </w:p>
    <w:p>
      <w:pPr>
        <w:spacing w:after="20"/>
        <w:ind w:left="227" w:hanging="130"/>
      </w:pPr>
      <w:r>
        <w:t xml:space="preserve">• </w:t>
      </w:r>
      <w:r>
        <w:t>atomic registration and rollback;</w:t>
      </w:r>
    </w:p>
    <w:p>
      <w:pPr>
        <w:spacing w:after="20"/>
        <w:ind w:left="227" w:hanging="130"/>
      </w:pPr>
      <w:r>
        <w:t xml:space="preserve">• </w:t>
      </w:r>
      <w:r>
        <w:t>retained stage-result authority per element/integration-point/surface;</w:t>
      </w:r>
    </w:p>
    <w:p>
      <w:pPr>
        <w:spacing w:after="20"/>
        <w:ind w:left="227" w:hanging="130"/>
      </w:pPr>
      <w:r>
        <w:t xml:space="preserve">• </w:t>
      </w:r>
      <w:r>
        <w:t>element-local display tessellation;</w:t>
      </w:r>
    </w:p>
    <w:p>
      <w:pPr>
        <w:spacing w:after="20"/>
        <w:ind w:left="227" w:hanging="130"/>
      </w:pPr>
      <w:r>
        <w:t xml:space="preserve">• </w:t>
      </w:r>
      <w:r>
        <w:t>exact result paths, source IDs and pick-map entries;</w:t>
      </w:r>
    </w:p>
    <w:p>
      <w:pPr>
        <w:spacing w:after="20"/>
        <w:ind w:left="227" w:hanging="130"/>
      </w:pPr>
      <w:r>
        <w:t xml:space="preserve">• </w:t>
      </w:r>
      <w:r>
        <w:t>stale/tamper rejection;</w:t>
      </w:r>
    </w:p>
    <w:p>
      <w:pPr>
        <w:spacing w:after="20"/>
        <w:ind w:left="227" w:hanging="130"/>
      </w:pPr>
      <w:r>
        <w:t xml:space="preserve">• </w:t>
      </w:r>
      <w:r>
        <w:t>false readiness states for convergence, code and release.</w:t>
      </w:r>
    </w:p>
    <w:p>
      <w:r>
        <w:t>Any correction that touches numerical cores, stage registry, lifecycle profiles, shell authority, tolerances or release state requires a new user-approved package.</w:t>
      </w:r>
    </w:p>
    <w:p>
      <w:pPr>
        <w:pStyle w:val="Heading1"/>
      </w:pPr>
      <w:r>
        <w:t>7. Initial authorized work packages</w:t>
      </w:r>
    </w:p>
    <w:p>
      <w:r>
        <w:t>After the user confirms qualification:</w:t>
      </w:r>
    </w:p>
    <w:p>
      <w:pPr>
        <w:pStyle w:val="Heading2"/>
      </w:pPr>
      <w:r>
        <w:t>NBR-0 — Freshness and ownership freeze</w:t>
      </w:r>
    </w:p>
    <w:p>
      <w:r>
        <w:t>Read-only:</w:t>
      </w:r>
    </w:p>
    <w:p>
      <w:pPr>
        <w:spacing w:after="20"/>
        <w:ind w:left="227" w:hanging="130"/>
      </w:pPr>
      <w:r>
        <w:t xml:space="preserve">• </w:t>
      </w:r>
      <w:r>
        <w:t>refetch current main, PR head and merge base;</w:t>
      </w:r>
    </w:p>
    <w:p>
      <w:pPr>
        <w:spacing w:after="20"/>
        <w:ind w:left="227" w:hanging="130"/>
      </w:pPr>
      <w:r>
        <w:t xml:space="preserve">• </w:t>
      </w:r>
      <w:r>
        <w:t>compute ahead/behind and changed-file ownership;</w:t>
      </w:r>
    </w:p>
    <w:p>
      <w:pPr>
        <w:spacing w:after="20"/>
        <w:ind w:left="227" w:hanging="130"/>
      </w:pPr>
      <w:r>
        <w:t xml:space="preserve">• </w:t>
      </w:r>
      <w:r>
        <w:t>verify the governed seven-file NB-T4B surface;</w:t>
      </w:r>
    </w:p>
    <w:p>
      <w:pPr>
        <w:spacing w:after="20"/>
        <w:ind w:left="227" w:hanging="130"/>
      </w:pPr>
      <w:r>
        <w:t xml:space="preserve">• </w:t>
      </w:r>
      <w:r>
        <w:t>classify all conflicts and current workflow evidence;</w:t>
      </w:r>
    </w:p>
    <w:p>
      <w:pPr>
        <w:spacing w:after="20"/>
        <w:ind w:left="227" w:hanging="130"/>
      </w:pPr>
      <w:r>
        <w:t xml:space="preserve">• </w:t>
      </w:r>
      <w:r>
        <w:t>return the proposed NBR-1 write set;</w:t>
      </w:r>
    </w:p>
    <w:p>
      <w:pPr>
        <w:spacing w:after="20"/>
        <w:ind w:left="227" w:hanging="130"/>
      </w:pPr>
      <w:r>
        <w:t xml:space="preserve">• </w:t>
      </w:r>
      <w:r>
        <w:t>stop for approval.</w:t>
      </w:r>
    </w:p>
    <w:p>
      <w:pPr>
        <w:pStyle w:val="Heading2"/>
      </w:pPr>
      <w:r>
        <w:t>NBR-1 — Current-main synchronization</w:t>
      </w:r>
    </w:p>
    <w:p>
      <w:r>
        <w:t>Only after NBR-0 approval:</w:t>
      </w:r>
    </w:p>
    <w:p>
      <w:pPr>
        <w:spacing w:after="20"/>
        <w:ind w:left="227" w:hanging="130"/>
      </w:pPr>
      <w:r>
        <w:t xml:space="preserve">• </w:t>
      </w:r>
      <w:r>
        <w:t>synchronize the branch to live main;</w:t>
      </w:r>
    </w:p>
    <w:p>
      <w:pPr>
        <w:spacing w:after="20"/>
        <w:ind w:left="227" w:hanging="130"/>
      </w:pPr>
      <w:r>
        <w:t xml:space="preserve">• </w:t>
      </w:r>
      <w:r>
        <w:t>resolve only mechanical conflicts inside the authorized NB-T4B surface;</w:t>
      </w:r>
    </w:p>
    <w:p>
      <w:pPr>
        <w:spacing w:after="20"/>
        <w:ind w:left="227" w:hanging="130"/>
      </w:pPr>
      <w:r>
        <w:t xml:space="preserve">• </w:t>
      </w:r>
      <w:r>
        <w:t>preserve all authority and non-claims;</w:t>
      </w:r>
    </w:p>
    <w:p>
      <w:pPr>
        <w:spacing w:after="20"/>
        <w:ind w:left="227" w:hanging="130"/>
      </w:pPr>
      <w:r>
        <w:t xml:space="preserve">• </w:t>
      </w:r>
      <w:r>
        <w:t>do not move the PR out of draft;</w:t>
      </w:r>
    </w:p>
    <w:p>
      <w:pPr>
        <w:spacing w:after="20"/>
        <w:ind w:left="227" w:hanging="130"/>
      </w:pPr>
      <w:r>
        <w:t xml:space="preserve">• </w:t>
      </w:r>
      <w:r>
        <w:t>return exact new head and diff matrix.</w:t>
      </w:r>
    </w:p>
    <w:p>
      <w:pPr>
        <w:pStyle w:val="Heading2"/>
      </w:pPr>
      <w:r>
        <w:t>NBR-2 — Exact-head qualification</w:t>
      </w:r>
    </w:p>
    <w:p>
      <w:r>
        <w:t>Only after NBR-1 acceptance:</w:t>
      </w:r>
    </w:p>
    <w:p>
      <w:pPr>
        <w:spacing w:after="20"/>
        <w:ind w:left="227" w:hanging="130"/>
      </w:pPr>
      <w:r>
        <w:t xml:space="preserve">• </w:t>
      </w:r>
      <w:r>
        <w:t>execute the full command ladder;</w:t>
      </w:r>
    </w:p>
    <w:p>
      <w:pPr>
        <w:spacing w:after="20"/>
        <w:ind w:left="227" w:hanging="130"/>
      </w:pPr>
      <w:r>
        <w:t xml:space="preserve">• </w:t>
      </w:r>
      <w:r>
        <w:t>retain visible steps, logs and artifacts;</w:t>
      </w:r>
    </w:p>
    <w:p>
      <w:pPr>
        <w:spacing w:after="20"/>
        <w:ind w:left="227" w:hanging="130"/>
      </w:pPr>
      <w:r>
        <w:t xml:space="preserve">• </w:t>
      </w:r>
      <w:r>
        <w:t>classify infrastructure and executable failures separately;</w:t>
      </w:r>
    </w:p>
    <w:p>
      <w:pPr>
        <w:spacing w:after="20"/>
        <w:ind w:left="227" w:hanging="130"/>
      </w:pPr>
      <w:r>
        <w:t xml:space="preserve">• </w:t>
      </w:r>
      <w:r>
        <w:t>no merge until all required evidence passes.</w:t>
      </w:r>
    </w:p>
    <w:p>
      <w:pPr>
        <w:pStyle w:val="Heading1"/>
      </w:pPr>
      <w:r>
        <w:t>8. Roadmap after initial acceptance</w:t>
      </w:r>
    </w:p>
    <w:p>
      <w:pPr>
        <w:spacing w:after="20"/>
        <w:ind w:left="227" w:hanging="130"/>
      </w:pPr>
      <w:r>
        <w:t xml:space="preserve">• </w:t>
      </w:r>
      <w:r>
        <w:t>NBR-3: independent review and merge decision.</w:t>
      </w:r>
    </w:p>
    <w:p>
      <w:pPr>
        <w:spacing w:after="20"/>
        <w:ind w:left="227" w:hanging="130"/>
      </w:pPr>
      <w:r>
        <w:t xml:space="preserve">• </w:t>
      </w:r>
      <w:r>
        <w:t>NBR-4: post-merge current-main certification.</w:t>
      </w:r>
    </w:p>
    <w:p>
      <w:pPr>
        <w:spacing w:after="20"/>
        <w:ind w:left="227" w:hanging="130"/>
      </w:pPr>
      <w:r>
        <w:t xml:space="preserve">• </w:t>
      </w:r>
      <w:r>
        <w:t>NB-T5: analytical product/release qualification for LAFEA.1/.2.</w:t>
      </w:r>
    </w:p>
    <w:p>
      <w:pPr>
        <w:spacing w:after="20"/>
        <w:ind w:left="227" w:hanging="130"/>
      </w:pPr>
      <w:r>
        <w:t xml:space="preserve">• </w:t>
      </w:r>
      <w:r>
        <w:t>NB-T6: production continuum geometry-to-mesh, recovery and convergence.</w:t>
      </w:r>
    </w:p>
    <w:p>
      <w:pPr>
        <w:spacing w:after="20"/>
        <w:ind w:left="227" w:hanging="130"/>
      </w:pPr>
      <w:r>
        <w:t xml:space="preserve">• </w:t>
      </w:r>
      <w:r>
        <w:t>NB-T7: shell authority decision and LAFEA.4 vertical.</w:t>
      </w:r>
    </w:p>
    <w:p>
      <w:pPr>
        <w:spacing w:after="20"/>
        <w:ind w:left="227" w:hanging="130"/>
      </w:pPr>
      <w:r>
        <w:t xml:space="preserve">• </w:t>
      </w:r>
      <w:r>
        <w:t>NB-T8: LAFEA.5 attachment/trunnion vertical.</w:t>
      </w:r>
    </w:p>
    <w:p>
      <w:pPr>
        <w:spacing w:after="20"/>
        <w:ind w:left="227" w:hanging="130"/>
      </w:pPr>
      <w:r>
        <w:t xml:space="preserve">• </w:t>
      </w:r>
      <w:r>
        <w:t>NB-TQ: governed assessment, reporting, full benchmarks and independent release review.</w:t>
      </w:r>
    </w:p>
    <w:p>
      <w:r>
        <w:t>No later package starts automatically.</w:t>
      </w:r>
    </w:p>
    <w:p>
      <w:pPr>
        <w:pStyle w:val="Heading1"/>
      </w:pPr>
      <w:r>
        <w:t>9. Blocker handling</w:t>
      </w:r>
    </w:p>
    <w:p>
      <w:pPr>
        <w:pStyle w:val="Heading2"/>
      </w:pPr>
      <w:r>
        <w:t>Pre-step workflow failure</w:t>
      </w:r>
    </w:p>
    <w:p>
      <w:r>
        <w:t>When jobs contain no steps and no logs:</w:t>
      </w:r>
    </w:p>
    <w:p>
      <w:pPr>
        <w:spacing w:after="20"/>
        <w:ind w:left="227" w:hanging="130"/>
      </w:pPr>
      <w:r>
        <w:t xml:space="preserve">• </w:t>
      </w:r>
      <w:r>
        <w:t>classify `PRE_STEP_INFRASTRUCTURE_FAILURE`;</w:t>
      </w:r>
    </w:p>
    <w:p>
      <w:pPr>
        <w:spacing w:after="20"/>
        <w:ind w:left="227" w:hanging="130"/>
      </w:pPr>
      <w:r>
        <w:t xml:space="preserve">• </w:t>
      </w:r>
      <w:r>
        <w:t>do not diagnose source from absent logs;</w:t>
      </w:r>
    </w:p>
    <w:p>
      <w:pPr>
        <w:spacing w:after="20"/>
        <w:ind w:left="227" w:hanging="130"/>
      </w:pPr>
      <w:r>
        <w:t xml:space="preserve">• </w:t>
      </w:r>
      <w:r>
        <w:t>do not represent the package as PASS or FAIL;</w:t>
      </w:r>
    </w:p>
    <w:p>
      <w:pPr>
        <w:spacing w:after="20"/>
        <w:ind w:left="227" w:hanging="130"/>
      </w:pPr>
      <w:r>
        <w:t xml:space="preserve">• </w:t>
      </w:r>
      <w:r>
        <w:t>keep PR draft and merge authority withheld;</w:t>
      </w:r>
    </w:p>
    <w:p>
      <w:pPr>
        <w:spacing w:after="20"/>
        <w:ind w:left="227" w:hanging="130"/>
      </w:pPr>
      <w:r>
        <w:t xml:space="preserve">• </w:t>
      </w:r>
      <w:r>
        <w:t>rerun only when infrastructure can allocate a job.</w:t>
      </w:r>
    </w:p>
    <w:p>
      <w:pPr>
        <w:pStyle w:val="Heading2"/>
      </w:pPr>
      <w:r>
        <w:t>Unrelated repository failure</w:t>
      </w:r>
    </w:p>
    <w:p>
      <w:r>
        <w:t>When bounded Non-Bucket commands pass but the full gate fails only in another owner scope:</w:t>
      </w:r>
    </w:p>
    <w:p>
      <w:pPr>
        <w:spacing w:after="20"/>
        <w:ind w:left="227" w:hanging="130"/>
      </w:pPr>
      <w:r>
        <w:t xml:space="preserve">• </w:t>
      </w:r>
      <w:r>
        <w:t>report `NONBUCKET_SCOPE_PASS / REPOSITORY_INTEGRATION_BLOCKED`;</w:t>
      </w:r>
    </w:p>
    <w:p>
      <w:pPr>
        <w:spacing w:after="20"/>
        <w:ind w:left="227" w:hanging="130"/>
      </w:pPr>
      <w:r>
        <w:t xml:space="preserve">• </w:t>
      </w:r>
      <w:r>
        <w:t>retain the unrelated failure owner and exact command;</w:t>
      </w:r>
    </w:p>
    <w:p>
      <w:pPr>
        <w:spacing w:after="20"/>
        <w:ind w:left="227" w:hanging="130"/>
      </w:pPr>
      <w:r>
        <w:t xml:space="preserve">• </w:t>
      </w:r>
      <w:r>
        <w:t>do not weaken either scope;</w:t>
      </w:r>
    </w:p>
    <w:p>
      <w:pPr>
        <w:spacing w:after="20"/>
        <w:ind w:left="227" w:hanging="130"/>
      </w:pPr>
      <w:r>
        <w:t xml:space="preserve">• </w:t>
      </w:r>
      <w:r>
        <w:t>merge requires user acceptance of repository-integration disposition.</w:t>
      </w:r>
    </w:p>
    <w:p>
      <w:pPr>
        <w:pStyle w:val="Heading2"/>
      </w:pPr>
      <w:r>
        <w:t>Branch drift</w:t>
      </w:r>
    </w:p>
    <w:p>
      <w:r>
        <w:t>Any main advance invalidates prior freshness. Refresh and re-run exact-head evidence.</w:t>
      </w:r>
    </w:p>
    <w:p>
      <w:pPr>
        <w:pStyle w:val="Heading1"/>
      </w:pPr>
      <w:r>
        <w:t>10. Benchmark and release authority</w:t>
      </w:r>
    </w:p>
    <w:p>
      <w:r>
        <w:t>Minimum qualification families:</w:t>
      </w:r>
    </w:p>
    <w:p>
      <w:pPr>
        <w:spacing w:after="20"/>
        <w:ind w:left="227" w:hanging="130"/>
      </w:pPr>
      <w:r>
        <w:t xml:space="preserve">• </w:t>
      </w:r>
      <w:r>
        <w:t>exact lineage reconstruction and tamper rejection;</w:t>
      </w:r>
    </w:p>
    <w:p>
      <w:pPr>
        <w:spacing w:after="20"/>
        <w:ind w:left="227" w:hanging="130"/>
      </w:pPr>
      <w:r>
        <w:t xml:space="preserve">• </w:t>
      </w:r>
      <w:r>
        <w:t>T3 no-averaging display;</w:t>
      </w:r>
    </w:p>
    <w:p>
      <w:pPr>
        <w:spacing w:after="20"/>
        <w:ind w:left="227" w:hanging="130"/>
      </w:pPr>
      <w:r>
        <w:t xml:space="preserve">• </w:t>
      </w:r>
      <w:r>
        <w:t>T6/Q8 exact integration-point selection;</w:t>
      </w:r>
    </w:p>
    <w:p>
      <w:pPr>
        <w:spacing w:after="20"/>
        <w:ind w:left="227" w:hanging="130"/>
      </w:pPr>
      <w:r>
        <w:t xml:space="preserve">• </w:t>
      </w:r>
      <w:r>
        <w:t>LAFEA.4 fixed CST+DKT surface selection;</w:t>
      </w:r>
    </w:p>
    <w:p>
      <w:pPr>
        <w:spacing w:after="20"/>
        <w:ind w:left="227" w:hanging="130"/>
      </w:pPr>
      <w:r>
        <w:t xml:space="preserve">• </w:t>
      </w:r>
      <w:r>
        <w:t>LAFEA.5 retained raw-shell path selection;</w:t>
      </w:r>
    </w:p>
    <w:p>
      <w:pPr>
        <w:spacing w:after="20"/>
        <w:ind w:left="227" w:hanging="130"/>
      </w:pPr>
      <w:r>
        <w:t xml:space="preserve">• </w:t>
      </w:r>
      <w:r>
        <w:t>stale source/model/geometry/mesh/calculation rejection;</w:t>
      </w:r>
    </w:p>
    <w:p>
      <w:pPr>
        <w:spacing w:after="20"/>
        <w:ind w:left="227" w:hanging="130"/>
      </w:pPr>
      <w:r>
        <w:t xml:space="preserve">• </w:t>
      </w:r>
      <w:r>
        <w:t>unit, quantity, load-case, element, integration-point and surface rejection;</w:t>
      </w:r>
    </w:p>
    <w:p>
      <w:pPr>
        <w:spacing w:after="20"/>
        <w:ind w:left="227" w:hanging="130"/>
      </w:pPr>
      <w:r>
        <w:t xml:space="preserve">• </w:t>
      </w:r>
      <w:r>
        <w:t>analytical and unsupported-stage rejection;</w:t>
      </w:r>
    </w:p>
    <w:p>
      <w:pPr>
        <w:spacing w:after="20"/>
        <w:ind w:left="227" w:hanging="130"/>
      </w:pPr>
      <w:r>
        <w:t xml:space="preserve">• </w:t>
      </w:r>
      <w:r>
        <w:t>sealed packet and pick-map integrity;</w:t>
      </w:r>
    </w:p>
    <w:p>
      <w:pPr>
        <w:spacing w:after="20"/>
        <w:ind w:left="227" w:hanging="130"/>
      </w:pPr>
      <w:r>
        <w:t xml:space="preserve">• </w:t>
      </w:r>
      <w:r>
        <w:t>display projection non-authority;</w:t>
      </w:r>
    </w:p>
    <w:p>
      <w:pPr>
        <w:spacing w:after="20"/>
        <w:ind w:left="227" w:hanging="130"/>
      </w:pPr>
      <w:r>
        <w:t xml:space="preserve">• </w:t>
      </w:r>
      <w:r>
        <w:t>atomic lifecycle registration/rollback;</w:t>
      </w:r>
    </w:p>
    <w:p>
      <w:pPr>
        <w:spacing w:after="20"/>
        <w:ind w:left="227" w:hanging="130"/>
      </w:pPr>
      <w:r>
        <w:t xml:space="preserve">• </w:t>
      </w:r>
      <w:r>
        <w:t>current-head and post-merge certification.</w:t>
      </w:r>
    </w:p>
    <w:p>
      <w:r>
        <w:t>A successful NB-T4B package establishes `RESULT_READY` only. It does not establish convergence, code, report or release qualification.</w:t>
      </w:r>
    </w:p>
    <w:p>
      <w:pPr>
        <w:pStyle w:val="Heading1"/>
      </w:pPr>
      <w:r>
        <w:t>11. Exact command ladder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7"/>
      </w:tblGrid>
      <w:tr>
        <w:tc>
          <w:tcPr>
            <w:tcW w:type="dxa" w:w="10517"/>
            <w:shd w:fill="F4F6F8"/>
            <w:tcMar>
              <w:top w:w="62" w:type="dxa"/>
              <w:start w:w="78" w:type="dxa"/>
              <w:bottom w:w="62" w:type="dxa"/>
              <w:end w:w="7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npm ci</w:t>
              <w:br/>
              <w:t>node scripts/lafea-nb-t4b-recovery-render-check.mjs</w:t>
              <w:br/>
              <w:t>npm run check:lafea-nonbucket-stack</w:t>
              <w:br/>
              <w:t>npm run check:lafea-core</w:t>
              <w:br/>
              <w:t>npm run check:lafea-foundation</w:t>
              <w:br/>
              <w:t>npm run check:lafea-meshing</w:t>
              <w:br/>
              <w:t>npm run check:lafea-solver</w:t>
              <w:br/>
              <w:t>npm run check:lafea-workbench</w:t>
              <w:br/>
              <w:t>npm run check:lafea-canvas</w:t>
              <w:br/>
              <w:t>npx playwright install chromium --with-deps</w:t>
              <w:br/>
              <w:t>node scripts/run-playwright.mjs e2e/lafea-hybrid-workbench.spec.js</w:t>
              <w:br/>
              <w:t>npm run syntax:strict</w:t>
              <w:br/>
              <w:t>npm run check:imports</w:t>
              <w:br/>
              <w:t>npm run build</w:t>
              <w:br/>
              <w:t>npm run gate</w:t>
              <w:br/>
              <w:t>git diff --check "$PR_BASE_SHA...HEAD"</w:t>
              <w:br/>
              <w:t>test -z "$(git status --short)"</w:t>
            </w:r>
          </w:p>
        </w:tc>
      </w:tr>
    </w:tbl>
    <w:p>
      <w:r>
        <w:t>Record exact exit status, first failure, run/job IDs, artifact IDs and SHA-256 digests. Do not skip commands silently.</w:t>
      </w:r>
    </w:p>
    <w:p>
      <w:pPr>
        <w:pStyle w:val="Heading1"/>
      </w:pPr>
      <w:r>
        <w:t>12. Stop conditions</w:t>
      </w:r>
    </w:p>
    <w:p>
      <w:r>
        <w:t>Return `UNRESOLVED_GATE` when:</w:t>
      </w:r>
    </w:p>
    <w:p>
      <w:pPr>
        <w:spacing w:after="20"/>
        <w:ind w:left="227" w:hanging="130"/>
      </w:pPr>
      <w:r>
        <w:t xml:space="preserve">• </w:t>
      </w:r>
      <w:r>
        <w:t>live main, merge base or branch head changes during review;</w:t>
      </w:r>
    </w:p>
    <w:p>
      <w:pPr>
        <w:spacing w:after="20"/>
        <w:ind w:left="227" w:hanging="130"/>
      </w:pPr>
      <w:r>
        <w:t xml:space="preserve">• </w:t>
      </w:r>
      <w:r>
        <w:t>changed-file ownership is not exactly bounded;</w:t>
      </w:r>
    </w:p>
    <w:p>
      <w:pPr>
        <w:spacing w:after="20"/>
        <w:ind w:left="227" w:hanging="130"/>
      </w:pPr>
      <w:r>
        <w:t xml:space="preserve">• </w:t>
      </w:r>
      <w:r>
        <w:t>synchronization requires numerical, registry, lifecycle, shell or release changes;</w:t>
      </w:r>
    </w:p>
    <w:p>
      <w:pPr>
        <w:spacing w:after="20"/>
        <w:ind w:left="227" w:hanging="130"/>
      </w:pPr>
      <w:r>
        <w:t xml:space="preserve">• </w:t>
      </w:r>
      <w:r>
        <w:t>current-head jobs have no steps/logs;</w:t>
      </w:r>
    </w:p>
    <w:p>
      <w:pPr>
        <w:spacing w:after="20"/>
        <w:ind w:left="227" w:hanging="130"/>
      </w:pPr>
      <w:r>
        <w:t xml:space="preserve">• </w:t>
      </w:r>
      <w:r>
        <w:t>a prior-head PASS is offered as current evidence;</w:t>
      </w:r>
    </w:p>
    <w:p>
      <w:pPr>
        <w:spacing w:after="20"/>
        <w:ind w:left="227" w:hanging="130"/>
      </w:pPr>
      <w:r>
        <w:t xml:space="preserve">• </w:t>
      </w:r>
      <w:r>
        <w:t>NB-T4A mesh evidence is absent, stale or tampered;</w:t>
      </w:r>
    </w:p>
    <w:p>
      <w:pPr>
        <w:spacing w:after="20"/>
        <w:ind w:left="227" w:hanging="130"/>
      </w:pPr>
      <w:r>
        <w:t xml:space="preserve">• </w:t>
      </w:r>
      <w:r>
        <w:t>retained result authority is missing;</w:t>
      </w:r>
    </w:p>
    <w:p>
      <w:pPr>
        <w:spacing w:after="20"/>
        <w:ind w:left="227" w:hanging="130"/>
      </w:pPr>
      <w:r>
        <w:t xml:space="preserve">• </w:t>
      </w:r>
      <w:r>
        <w:t>display projection is proposed for assessment;</w:t>
      </w:r>
    </w:p>
    <w:p>
      <w:pPr>
        <w:spacing w:after="20"/>
        <w:ind w:left="227" w:hanging="130"/>
      </w:pPr>
      <w:r>
        <w:t xml:space="preserve">• </w:t>
      </w:r>
      <w:r>
        <w:t>MITC production authority is claimed;</w:t>
      </w:r>
    </w:p>
    <w:p>
      <w:pPr>
        <w:spacing w:after="20"/>
        <w:ind w:left="227" w:hanging="130"/>
      </w:pPr>
      <w:r>
        <w:t xml:space="preserve">• </w:t>
      </w:r>
      <w:r>
        <w:t>LAFEA.6 or NB-T6 is requested early;</w:t>
      </w:r>
    </w:p>
    <w:p>
      <w:pPr>
        <w:spacing w:after="20"/>
        <w:ind w:left="227" w:hanging="130"/>
      </w:pPr>
      <w:r>
        <w:t xml:space="preserve">• </w:t>
      </w:r>
      <w:r>
        <w:t>tolerance or expected-value changes are proposed;</w:t>
      </w:r>
    </w:p>
    <w:p>
      <w:pPr>
        <w:spacing w:after="20"/>
        <w:ind w:left="227" w:hanging="130"/>
      </w:pPr>
      <w:r>
        <w:t xml:space="preserve">• </w:t>
      </w:r>
      <w:r>
        <w:t>post-merge certification is absent.</w:t>
      </w:r>
    </w:p>
    <w:p>
      <w:pPr>
        <w:pStyle w:val="Heading1"/>
      </w:pPr>
      <w:r>
        <w:t>13. Mandatory work-package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7"/>
      </w:tblGrid>
      <w:tr>
        <w:tc>
          <w:tcPr>
            <w:tcW w:type="dxa" w:w="10517"/>
            <w:shd w:fill="F4F6F8"/>
            <w:tcMar>
              <w:top w:w="62" w:type="dxa"/>
              <w:start w:w="78" w:type="dxa"/>
              <w:bottom w:w="62" w:type="dxa"/>
              <w:end w:w="7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WORK PACKAGE:</w:t>
              <w:br/>
              <w:t>LIVE MAIN SHA:</w:t>
              <w:br/>
              <w:t>MERGE BASE SHA:</w:t>
              <w:br/>
              <w:t>BRANCH HEAD SHA:</w:t>
              <w:br/>
              <w:t>AHEAD / BEHIND:</w:t>
              <w:br/>
              <w:t>HEAD STABILITY:</w:t>
              <w:br/>
              <w:t>GOVERNING REQUIREMENTS:</w:t>
              <w:br/>
              <w:t>FILES ADDED:</w:t>
              <w:br/>
              <w:t>FILES MODIFIED:</w:t>
              <w:br/>
              <w:t>OUT-OF-SCOPE FILES:</w:t>
              <w:br/>
              <w:t>NUMERICAL AUTHORITY:</w:t>
              <w:br/>
              <w:t>SHELL AUTHORITY:</w:t>
              <w:br/>
              <w:t>MESH AUTHORITY:</w:t>
              <w:br/>
              <w:t>RESULT AUTHORITY:</w:t>
              <w:br/>
              <w:t>LIFECYCLE IMPACT:</w:t>
              <w:br/>
              <w:t>IMPLEMENTED:</w:t>
              <w:br/>
              <w:t>DEFERRED:</w:t>
              <w:br/>
              <w:t>UNSUPPORTED:</w:t>
              <w:br/>
              <w:t>BENCHMARKS:</w:t>
              <w:br/>
              <w:t>ANTI-DRIFT TESTS:</w:t>
              <w:br/>
              <w:t>EXACT COMMANDS:</w:t>
              <w:br/>
              <w:t>WORKFLOW RUNS / JOBS:</w:t>
              <w:br/>
              <w:t>ARTIFACTS / SHA-256:</w:t>
              <w:br/>
              <w:t>RESULTS:</w:t>
              <w:br/>
              <w:t>FIRST FAILURE:</w:t>
              <w:br/>
              <w:t>HASH / LINEAGE EVIDENCE:</w:t>
              <w:br/>
              <w:t>BROWSER / BUILD EVIDENCE:</w:t>
              <w:br/>
              <w:t>LIMITATIONS:</w:t>
              <w:br/>
              <w:t>CLEAN TREE:</w:t>
              <w:br/>
              <w:t>DISPOSITION:</w:t>
              <w:br/>
              <w:t>NEXT AUTHORIZED PACKAGE:</w:t>
            </w:r>
          </w:p>
        </w:tc>
      </w:tr>
    </w:tbl>
    <w:p>
      <w:r>
        <w:t>Allowed dispositions:</w:t>
      </w:r>
    </w:p>
    <w:p>
      <w:pPr>
        <w:spacing w:after="20"/>
        <w:ind w:left="227" w:hanging="130"/>
      </w:pPr>
      <w:r>
        <w:t xml:space="preserve">• </w:t>
      </w:r>
      <w:r>
        <w:t>`ACCEPTED`</w:t>
      </w:r>
    </w:p>
    <w:p>
      <w:pPr>
        <w:spacing w:after="20"/>
        <w:ind w:left="227" w:hanging="130"/>
      </w:pPr>
      <w:r>
        <w:t xml:space="preserve">• </w:t>
      </w:r>
      <w:r>
        <w:t>`CONDITIONAL ACCEPTANCE`</w:t>
      </w:r>
    </w:p>
    <w:p>
      <w:pPr>
        <w:spacing w:after="20"/>
        <w:ind w:left="227" w:hanging="130"/>
      </w:pPr>
      <w:r>
        <w:t xml:space="preserve">• </w:t>
      </w:r>
      <w:r>
        <w:t>`REJECTED`</w:t>
      </w:r>
    </w:p>
    <w:p>
      <w:pPr>
        <w:spacing w:after="20"/>
        <w:ind w:left="227" w:hanging="130"/>
      </w:pPr>
      <w:r>
        <w:t xml:space="preserve">• </w:t>
      </w:r>
      <w:r>
        <w:t>`UNRESOLVED_GATE`</w:t>
      </w:r>
    </w:p>
    <w:p>
      <w:pPr>
        <w:pStyle w:val="Heading1"/>
      </w:pPr>
      <w:r>
        <w:t>14. First-response gate</w:t>
      </w:r>
    </w:p>
    <w:p>
      <w:r>
        <w:t>Return only: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7"/>
      </w:tblGrid>
      <w:tr>
        <w:tc>
          <w:tcPr>
            <w:tcW w:type="dxa" w:w="10517"/>
            <w:shd w:fill="F4F6F8"/>
            <w:tcMar>
              <w:top w:w="62" w:type="dxa"/>
              <w:start w:w="78" w:type="dxa"/>
              <w:bottom w:w="62" w:type="dxa"/>
              <w:end w:w="7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QUESTION 1 RESPONSE</w:t>
              <w:br/>
              <w:t>QUESTION 2 RESPONSE</w:t>
              <w:br/>
              <w:t>QUESTION 3 RESPONSE</w:t>
              <w:br/>
              <w:t>QUESTION 4 RESPONSE</w:t>
              <w:br/>
              <w:t>QUESTION 5 RESPONSE</w:t>
              <w:br/>
              <w:t>ASSUMPTIONS</w:t>
              <w:br/>
              <w:t>UNRESOLVED_GATES</w:t>
              <w:br/>
              <w:t>AUTOMATIC_FAIL_CHECK</w:t>
              <w:br/>
              <w:t>FINAL_SELF_DISPOSITION</w:t>
            </w:r>
          </w:p>
        </w:tc>
      </w:tr>
    </w:tbl>
    <w:p>
      <w:r>
        <w:t>Then stop and await the user's qualification decision.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2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3A4046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18304C"/>
        <w:sz w:val="14"/>
      </w:rPr>
      <w:t>LAFEA Non-Bucket | Gate-Controlled Takeover Prompt Rev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0" w:lineRule="auto"/>
    </w:pPr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04C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858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A404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04C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/>
      <w:i/>
      <w:iCs/>
      <w:color w:val="3A404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16" w:lineRule="auto"/>
    </w:pPr>
    <w:rPr>
      <w:rFonts w:ascii="Liberation Mono" w:hAnsi="Liberation Mono"/>
      <w:sz w:val="1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LAFEA_NonBucket_Recovery_to_Render_Concept_Note_Rev3.docx" TargetMode="External"/><Relationship Id="rId12" Type="http://schemas.openxmlformats.org/officeDocument/2006/relationships/hyperlink" Target="LAFEA_NonBucket_Takeover_Qualification_Questions_Rev3.docx" TargetMode="External"/><Relationship Id="rId13" Type="http://schemas.openxmlformats.org/officeDocument/2006/relationships/hyperlink" Target="LAFEA_NonBucket_Takeover_Evaluator_Rubric_Rev3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