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LAFEA Non-Bucket Takeover Qualification — Rev 3</w:t>
      </w:r>
    </w:p>
    <w:p>
      <w:pPr>
        <w:pStyle w:val="Subtitle"/>
      </w:pPr>
      <w:r>
        <w:t>Five principal-level questions on current-head recovery, lineage, result authority, lifecycle containment and merge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Questions</w:t>
              <w:br/>
              <w:t>5 x 20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Pass</w:t>
              <w:br/>
              <w:t>&gt;=90/100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Minimum</w:t>
              <w:br/>
              <w:t>&gt;=16 each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Writes</w:t>
              <w:br/>
              <w:t>Prohibited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FFF2D8"/>
            <w:tcMar>
              <w:top w:w="84" w:type="dxa"/>
              <w:start w:w="104" w:type="dxa"/>
              <w:bottom w:w="84" w:type="dxa"/>
              <w:end w:w="104" w:type="dxa"/>
            </w:tcMar>
            <w:tcBorders>
              <w:top w:val="single" w:sz="8" w:color="C68A22"/>
              <w:left w:val="single" w:sz="8" w:color="C68A22"/>
              <w:bottom w:val="single" w:sz="8" w:color="C68A22"/>
              <w:right w:val="single" w:sz="8" w:color="C68A22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F630E"/>
                <w:sz w:val="17"/>
              </w:rPr>
              <w:t>Automatic rejection applies if a candidate treats zero-step jobs as PASS, merges stale PR evidence, imports or calls a numerical core from the producer, averages stress for assessment, promotes projected display values, claims MITC production authority, enables LAFEA.6 or starts NB-T6 before NB-T4B is exact-head and post-merge certified.</w:t>
            </w:r>
          </w:p>
        </w:tc>
      </w:tr>
    </w:tbl>
    <w:p>
      <w:pPr>
        <w:pStyle w:val="CodeBlock"/>
      </w:pPr>
      <w:r>
        <w:t>Repository: `reallaksh19/Advanced_Analysis`</w:t>
      </w:r>
    </w:p>
    <w:p>
      <w:pPr>
        <w:pStyle w:val="CodeBlock"/>
      </w:pPr>
      <w:r>
        <w:t>Current main: `f4445b32442b2b563a30427db285130e86e309cc`</w:t>
      </w:r>
    </w:p>
    <w:p>
      <w:pPr>
        <w:pStyle w:val="CodeBlock"/>
      </w:pPr>
      <w:r>
        <w:t>Active NB-T4B PR: `#242`</w:t>
      </w:r>
    </w:p>
    <w:p>
      <w:pPr>
        <w:pStyle w:val="CodeBlock"/>
      </w:pPr>
      <w:r>
        <w:t>Active head: `07f0fec5cf81c6d76f668efb270493c49a3262ae`</w:t>
      </w:r>
    </w:p>
    <w:p>
      <w:pPr>
        <w:pStyle w:val="CodeBlock"/>
      </w:pPr>
      <w:r>
        <w:t>Merge base: `070321a1a71459e3a679749e5e90ad8237c798ad`</w:t>
      </w:r>
    </w:p>
    <w:p>
      <w:r>
        <w:t>Branch relation to current main: `11 ahead / 20 behind`</w:t>
      </w:r>
    </w:p>
    <w:p>
      <w:pPr>
        <w:pStyle w:val="Heading1"/>
      </w:pPr>
      <w:r>
        <w:t>Rules</w:t>
      </w:r>
    </w:p>
    <w:p>
      <w:pPr>
        <w:spacing w:after="27"/>
        <w:ind w:left="238" w:hanging="136"/>
      </w:pPr>
      <w:r>
        <w:t xml:space="preserve">• </w:t>
      </w:r>
      <w:r>
        <w:t>Five questions, 20 marks each.</w:t>
      </w:r>
    </w:p>
    <w:p>
      <w:pPr>
        <w:spacing w:after="27"/>
        <w:ind w:left="238" w:hanging="136"/>
      </w:pPr>
      <w:r>
        <w:t xml:space="preserve">• </w:t>
      </w:r>
      <w:r>
        <w:t>Recommended time: 4 hours.</w:t>
      </w:r>
    </w:p>
    <w:p>
      <w:pPr>
        <w:spacing w:after="27"/>
        <w:ind w:left="238" w:hanging="136"/>
      </w:pPr>
      <w:r>
        <w:t xml:space="preserve">• </w:t>
      </w:r>
      <w:r>
        <w:t>Pass: total &gt;=90/100, every question &gt;=16/20, no automatic-fail condition.</w:t>
      </w:r>
    </w:p>
    <w:p>
      <w:pPr>
        <w:spacing w:after="27"/>
        <w:ind w:left="238" w:hanging="136"/>
      </w:pPr>
      <w:r>
        <w:t xml:space="preserve">• </w:t>
      </w:r>
      <w:r>
        <w:t>No repository writes, PR updates, issue comments or workflow dispatch during qualification.</w:t>
      </w:r>
    </w:p>
    <w:p>
      <w:pPr>
        <w:spacing w:after="27"/>
        <w:ind w:left="238" w:hanging="136"/>
      </w:pPr>
      <w:r>
        <w:t xml:space="preserve">• </w:t>
      </w:r>
      <w:r>
        <w:t>Unsupported facts must be `UNRESOLVED_GATE`.</w:t>
      </w:r>
    </w:p>
    <w:p>
      <w:pPr>
        <w:spacing w:after="27"/>
        <w:ind w:left="238" w:hanging="136"/>
      </w:pPr>
      <w:r>
        <w:t xml:space="preserve">• </w:t>
      </w:r>
      <w:r>
        <w:t>Show exact contracts, parent graphs, state transitions, failure ordering and dispositions.</w:t>
      </w:r>
    </w:p>
    <w:p>
      <w:pPr>
        <w:pStyle w:val="Heading1"/>
      </w:pPr>
      <w:r>
        <w:t>Question 1 — Current-head authority and NB-T4B branch recovery [20]</w:t>
      </w:r>
    </w:p>
    <w:p>
      <w:r>
        <w:t>The NB-T4B branch is ahead of and behind current main, and its final exact-head jobs completed with `steps: null` and no logs.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the exact read-only audit for current main, merge base, branch head, ahead/behind relation and changed-file ownership.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Distinguish `PRE_STEP_INFRASTRUCTURE_FAILURE`, executable product failure, supporting prior evidence and current-head qualification.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the safe synchronization strategy and conflict stop conditions.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State whether the PR may leave draft before exact-head execution.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merge eligibility and post-merge current-main evidence.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Provide at least ten branch/certification anti-drift tests.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Give the truthful current disposition.</w:t>
      </w:r>
    </w:p>
    <w:p>
      <w:pPr>
        <w:pStyle w:val="Heading1"/>
      </w:pPr>
      <w:r>
        <w:t>Question 2 — Exact execution/recovery/render lineage [20]</w:t>
      </w:r>
    </w:p>
    <w:p>
      <w:r>
        <w:t>Design the full NB-T4B parent graph and contracts.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required inputs from source, canonical model, analysis geometry, NB-T4A mesh evidence and retained calculation.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Define `EXECUTION`, `RECOVERY` and `LafeaRenderPacket.v2` exact keys.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semantic, evidence, display-geometry, render-profile and package hashes.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atomic registration and rollback when one record fails.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stale invalidation for source, model, geometry, mesh, calculation, field request, units and render profile.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Explain why `RESULT_READY` does not imply convergence, code or release readiness.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Provide at least twelve lineage/tamper tests.</w:t>
      </w:r>
    </w:p>
    <w:p>
      <w:pPr>
        <w:pStyle w:val="Heading1"/>
      </w:pPr>
      <w:r>
        <w:t>Question 3 — Stage-specific result authority and display projection [20]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authoritative display intake for T3, T6/Q8, LAFEA.4 and LAFEA.5.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Explain how an exact integration point or shell surface is selected.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why cross-element averaging, shell nodal extrapolation and smoothing are prohibited.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element-local tessellation and pick-map identity without turning visual vertices into engineering nodes.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unit and quantity checks.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State how projected display values must be labelled and why they cannot feed SCL/code.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Provide an adversarial matrix covering missing element, integration point, surface, load case, units, quantity and retained-result path.</w:t>
      </w:r>
    </w:p>
    <w:p>
      <w:pPr>
        <w:pStyle w:val="Heading1"/>
      </w:pPr>
      <w:r>
        <w:t>Question 4 — Lifecycle semantics and stage containment [20]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Define the prerequisite state `CALCULATION_ACCEPTED_BY_STAGE_CONTRACT`.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Define when `EXECUTION`, `RECOVERY` and `RESULT_READY` may register.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analytical LAFEA.1/.2 behavior and why NB-T4B must reject them.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LAFEA.3-.5 behavior and mesh prerequisites.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Define LAFEA.4 CST+DKT authority and the false-MITC rejection.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Define LAFEA.6 blocking.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Distinguish `RESULT_READY`, `CONVERGENCE_READY`, `CODE_READY` and `RELEASE_QUALIFIED`.</w:t>
      </w:r>
    </w:p>
    <w:p>
      <w:r>
        <w:t>H. Provide at least twelve lifecycle and authority anti-drift tests.</w:t>
      </w:r>
    </w:p>
    <w:p>
      <w:pPr>
        <w:pStyle w:val="Heading1"/>
      </w:pPr>
      <w:r>
        <w:t>Question 5 — Adversarial takeover, merge and roadmap decision [20]</w:t>
      </w:r>
    </w:p>
    <w:p>
      <w:r>
        <w:t>Assume the branch is refreshed but:</w:t>
      </w:r>
    </w:p>
    <w:p>
      <w:pPr>
        <w:spacing w:after="27"/>
        <w:ind w:left="238" w:hanging="136"/>
      </w:pPr>
      <w:r>
        <w:t xml:space="preserve">• </w:t>
      </w:r>
      <w:r>
        <w:t>one out-of-scope registry file changes during conflict resolution;</w:t>
      </w:r>
    </w:p>
    <w:p>
      <w:pPr>
        <w:spacing w:after="27"/>
        <w:ind w:left="238" w:hanging="136"/>
      </w:pPr>
      <w:r>
        <w:t xml:space="preserve">• </w:t>
      </w:r>
      <w:r>
        <w:t>the dedicated test passes locally;</w:t>
      </w:r>
    </w:p>
    <w:p>
      <w:pPr>
        <w:spacing w:after="27"/>
        <w:ind w:left="238" w:hanging="136"/>
      </w:pPr>
      <w:r>
        <w:t xml:space="preserve">• </w:t>
      </w:r>
      <w:r>
        <w:t>GitHub jobs again have no steps or logs;</w:t>
      </w:r>
    </w:p>
    <w:p>
      <w:pPr>
        <w:spacing w:after="27"/>
        <w:ind w:left="238" w:hanging="136"/>
      </w:pPr>
      <w:r>
        <w:t xml:space="preserve">• </w:t>
      </w:r>
      <w:r>
        <w:t>a reviewer proposes merging because earlier runs passed;</w:t>
      </w:r>
    </w:p>
    <w:p>
      <w:pPr>
        <w:spacing w:after="27"/>
        <w:ind w:left="238" w:hanging="136"/>
      </w:pPr>
      <w:r>
        <w:t xml:space="preserve">• </w:t>
      </w:r>
      <w:r>
        <w:t>a display contour averages shared nodes;</w:t>
      </w:r>
    </w:p>
    <w:p>
      <w:pPr>
        <w:spacing w:after="27"/>
        <w:ind w:left="238" w:hanging="136"/>
      </w:pPr>
      <w:r>
        <w:t xml:space="preserve">• </w:t>
      </w:r>
      <w:r>
        <w:t>the packet is labelled `CODE_READY`;</w:t>
      </w:r>
    </w:p>
    <w:p>
      <w:pPr>
        <w:spacing w:after="27"/>
        <w:ind w:left="238" w:hanging="136"/>
      </w:pPr>
      <w:r>
        <w:t xml:space="preserve">• </w:t>
      </w:r>
      <w:r>
        <w:t>the UI advertises MITC4;</w:t>
      </w:r>
    </w:p>
    <w:p>
      <w:pPr>
        <w:spacing w:after="27"/>
        <w:ind w:left="238" w:hanging="136"/>
      </w:pPr>
      <w:r>
        <w:t xml:space="preserve">• </w:t>
      </w:r>
      <w:r>
        <w:t>NB-T6 is started before NB-T4B merge/current-main certification.</w:t>
      </w:r>
    </w:p>
    <w:p>
      <w:r>
        <w:rPr>
          <w:rFonts w:ascii="Liberation Sans" w:hAnsi="Liberation Sans"/>
          <w:b/>
          <w:color w:val="18304C"/>
        </w:rPr>
        <w:t>A.</w:t>
      </w:r>
      <w:r>
        <w:t xml:space="preserve"> Identify every violation.</w:t>
      </w:r>
    </w:p>
    <w:p>
      <w:r>
        <w:rPr>
          <w:rFonts w:ascii="Liberation Sans" w:hAnsi="Liberation Sans"/>
          <w:b/>
          <w:color w:val="18304C"/>
        </w:rPr>
        <w:t>B.</w:t>
      </w:r>
      <w:r>
        <w:t xml:space="preserve"> Give the rejection order.</w:t>
      </w:r>
    </w:p>
    <w:p>
      <w:r>
        <w:rPr>
          <w:rFonts w:ascii="Liberation Sans" w:hAnsi="Liberation Sans"/>
          <w:b/>
          <w:color w:val="18304C"/>
        </w:rPr>
        <w:t>C.</w:t>
      </w:r>
      <w:r>
        <w:t xml:space="preserve"> Define the smallest safe recovery sequence.</w:t>
      </w:r>
    </w:p>
    <w:p>
      <w:r>
        <w:rPr>
          <w:rFonts w:ascii="Liberation Sans" w:hAnsi="Liberation Sans"/>
          <w:b/>
          <w:color w:val="18304C"/>
        </w:rPr>
        <w:t>D.</w:t>
      </w:r>
      <w:r>
        <w:t xml:space="preserve"> Define NBR-0 through NBR-4 ownership and exit gates.</w:t>
      </w:r>
    </w:p>
    <w:p>
      <w:r>
        <w:rPr>
          <w:rFonts w:ascii="Liberation Sans" w:hAnsi="Liberation Sans"/>
          <w:b/>
          <w:color w:val="18304C"/>
        </w:rPr>
        <w:t>E.</w:t>
      </w:r>
      <w:r>
        <w:t xml:space="preserve"> State the disposition if all NB-T4B checks pass but the repository gate fails only in an unrelated scope.</w:t>
      </w:r>
    </w:p>
    <w:p>
      <w:r>
        <w:rPr>
          <w:rFonts w:ascii="Liberation Sans" w:hAnsi="Liberation Sans"/>
          <w:b/>
          <w:color w:val="18304C"/>
        </w:rPr>
        <w:t>F.</w:t>
      </w:r>
      <w:r>
        <w:t xml:space="preserve"> State the disposition if PR-head checks pass but post-merge current-main certification is absent.</w:t>
      </w:r>
    </w:p>
    <w:p>
      <w:r>
        <w:rPr>
          <w:rFonts w:ascii="Liberation Sans" w:hAnsi="Liberation Sans"/>
          <w:b/>
          <w:color w:val="18304C"/>
        </w:rPr>
        <w:t>G.</w:t>
      </w:r>
      <w:r>
        <w:t xml:space="preserve"> Give the mandatory work-package report and stop conditions.</w:t>
      </w:r>
    </w:p>
    <w:p>
      <w:pPr>
        <w:pStyle w:val="Heading1"/>
      </w:pPr>
      <w:r>
        <w:t>Candidate response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F4F6F8"/>
            <w:tcMar>
              <w:top w:w="72" w:type="dxa"/>
              <w:start w:w="88" w:type="dxa"/>
              <w:bottom w:w="72" w:type="dxa"/>
              <w:end w:w="8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CANDIDATE:</w:t>
              <w:br/>
              <w:t>DATE:</w:t>
              <w:br/>
              <w:t>LIVE MAIN VERIFIED:</w:t>
              <w:br/>
              <w:t>PR #242 HEAD VERIFIED:</w:t>
              <w:br/>
              <w:t>QUESTION 1:</w:t>
              <w:br/>
              <w:t>QUESTION 2:</w:t>
              <w:br/>
              <w:t>QUESTION 3:</w:t>
              <w:br/>
              <w:t>QUESTION 4:</w:t>
              <w:br/>
              <w:t>QUESTION 5:</w:t>
              <w:br/>
              <w:t>ASSUMPTIONS:</w:t>
              <w:br/>
              <w:t>UNRESOLVED_GATES:</w:t>
              <w:br/>
              <w:t>AUTOMATIC_FAIL_CHECK:</w:t>
              <w:br/>
              <w:t>FINAL_SELF_DISPOSITION: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680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3A4046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18304C"/>
        <w:sz w:val="15"/>
      </w:rPr>
      <w:t>LAFEA Non-Bucket | Takeover Qualification Rev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4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8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8588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36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A404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0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/>
      <w:b/>
      <w:i/>
      <w:iCs/>
      <w:color w:val="3A404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Liberation Mono" w:hAnsi="Liberation Mono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