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InputXML Compatibility Adapter and Resolver Gate</w:t>
      </w:r>
    </w:p>
    <w:p>
      <w:pPr>
        <w:pStyle w:val="Subtitle"/>
      </w:pPr>
      <w:r>
        <w:t>Concept document for heterogeneous upstream formats converging on strict canonical CAESARII InputXML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4E78"/>
                <w:sz w:val="18"/>
              </w:rPr>
              <w:t>Status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203040"/>
                <w:sz w:val="18"/>
              </w:rPr>
              <w:t>Draft for architecture and implementation review</w:t>
            </w:r>
          </w:p>
        </w:tc>
      </w:tr>
      <w:tr>
        <w:tc>
          <w:tcPr>
            <w:tcW w:type="dxa" w:w="2448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4E78"/>
                <w:sz w:val="18"/>
              </w:rPr>
              <w:t>Prepared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203040"/>
                <w:sz w:val="18"/>
              </w:rPr>
              <w:t>19 July 2026</w:t>
            </w:r>
          </w:p>
        </w:tc>
      </w:tr>
      <w:tr>
        <w:tc>
          <w:tcPr>
            <w:tcW w:type="dxa" w:w="2448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4E78"/>
                <w:sz w:val="18"/>
              </w:rPr>
              <w:t>Scope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203040"/>
                <w:sz w:val="18"/>
              </w:rPr>
              <w:t>Upstream source adapters, compatibility validation, normalization, evidence-backed enrichment, and canonical output gating</w:t>
            </w:r>
          </w:p>
        </w:tc>
      </w:tr>
      <w:tr>
        <w:tc>
          <w:tcPr>
            <w:tcW w:type="dxa" w:w="2448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4E78"/>
                <w:sz w:val="18"/>
              </w:rPr>
              <w:t>Repository baseline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203040"/>
                <w:sz w:val="18"/>
              </w:rPr>
              <w:t>3D_Converters de694e4a7; XML_Compare_Utilities 8c22337f6; 3DV cfd604cb6</w:t>
            </w:r>
          </w:p>
        </w:tc>
      </w:tr>
    </w:tbl>
    <w:p/>
    <w:p>
      <w:r>
        <w:rPr>
          <w:rFonts w:ascii="Aptos" w:hAnsi="Aptos"/>
          <w:b/>
          <w:color w:val="1F4E78"/>
          <w:sz w:val="22"/>
        </w:rPr>
        <w:t>Decision requested</w:t>
      </w:r>
    </w:p>
    <w:p>
      <w:r>
        <w:t>Approve the compatibility-gate architecture, canonical target contract, checkbox behaviour, evidence model, and phased implementation sequence before assigning coding agents.</w:t>
      </w:r>
    </w:p>
    <w:p>
      <w:pPr>
        <w:pStyle w:val="SmallNote"/>
      </w:pPr>
      <w:r>
        <w:t>This document is a concept and control specification. It does not authorize silent inference, data deletion, topology rewriting, or production selection without the stated gates.</w:t>
      </w:r>
    </w:p>
    <w:p>
      <w:r>
        <w:br w:type="page"/>
      </w:r>
    </w:p>
    <w:p>
      <w:pPr>
        <w:pStyle w:val="Heading1"/>
      </w:pPr>
      <w:r>
        <w:t>Document map</w:t>
      </w:r>
    </w:p>
    <w:p>
      <w:pPr>
        <w:ind w:left="216"/>
      </w:pPr>
      <w:r>
        <w:rPr>
          <w:rFonts w:ascii="Aptos" w:hAnsi="Aptos"/>
          <w:b/>
          <w:color w:val="1F4E78"/>
          <w:sz w:val="19"/>
        </w:rPr>
        <w:t>1. Executive decision and non-negotiable controls</w:t>
      </w:r>
    </w:p>
    <w:p>
      <w:pPr>
        <w:ind w:left="216"/>
      </w:pPr>
      <w:r>
        <w:rPr>
          <w:rFonts w:ascii="Aptos" w:hAnsi="Aptos"/>
          <w:b/>
          <w:color w:val="1F4E78"/>
          <w:sz w:val="19"/>
        </w:rPr>
        <w:t>2. Authoritative schema suite and copy policy</w:t>
      </w:r>
    </w:p>
    <w:p>
      <w:pPr>
        <w:ind w:left="216"/>
      </w:pPr>
      <w:r>
        <w:rPr>
          <w:rFonts w:ascii="Aptos" w:hAnsi="Aptos"/>
          <w:b/>
          <w:color w:val="1F4E78"/>
          <w:sz w:val="19"/>
        </w:rPr>
        <w:t>3. Input and producer landscape</w:t>
      </w:r>
    </w:p>
    <w:p>
      <w:pPr>
        <w:ind w:left="216"/>
      </w:pPr>
      <w:r>
        <w:rPr>
          <w:rFonts w:ascii="Aptos" w:hAnsi="Aptos"/>
          <w:b w:val="0"/>
          <w:color w:val="203040"/>
          <w:sz w:val="19"/>
        </w:rPr>
        <w:t>4. Compatibility-mode user experience</w:t>
      </w:r>
    </w:p>
    <w:p>
      <w:pPr>
        <w:ind w:left="216"/>
      </w:pPr>
      <w:r>
        <w:rPr>
          <w:rFonts w:ascii="Aptos" w:hAnsi="Aptos"/>
          <w:b w:val="0"/>
          <w:color w:val="203040"/>
          <w:sz w:val="19"/>
        </w:rPr>
        <w:t>5. Target architecture and processing stages</w:t>
      </w:r>
    </w:p>
    <w:p>
      <w:pPr>
        <w:ind w:left="216"/>
      </w:pPr>
      <w:r>
        <w:rPr>
          <w:rFonts w:ascii="Aptos" w:hAnsi="Aptos"/>
          <w:b w:val="0"/>
          <w:color w:val="203040"/>
          <w:sz w:val="19"/>
        </w:rPr>
        <w:t>6. Dialect adapters and resolver catalogue</w:t>
      </w:r>
    </w:p>
    <w:p>
      <w:pPr>
        <w:ind w:left="216"/>
      </w:pPr>
      <w:r>
        <w:rPr>
          <w:rFonts w:ascii="Aptos" w:hAnsi="Aptos"/>
          <w:b w:val="0"/>
          <w:color w:val="203040"/>
          <w:sz w:val="19"/>
        </w:rPr>
        <w:t>7. Canonical contracts and output bundle</w:t>
      </w:r>
    </w:p>
    <w:p>
      <w:pPr>
        <w:ind w:left="216"/>
      </w:pPr>
      <w:r>
        <w:rPr>
          <w:rFonts w:ascii="Aptos" w:hAnsi="Aptos"/>
          <w:b w:val="0"/>
          <w:color w:val="203040"/>
          <w:sz w:val="19"/>
        </w:rPr>
        <w:t>8. Validation, semantic rules and topology parity</w:t>
      </w:r>
    </w:p>
    <w:p>
      <w:pPr>
        <w:ind w:left="216"/>
      </w:pPr>
      <w:r>
        <w:rPr>
          <w:rFonts w:ascii="Aptos" w:hAnsi="Aptos"/>
          <w:b w:val="0"/>
          <w:color w:val="203040"/>
          <w:sz w:val="19"/>
        </w:rPr>
        <w:t>9. Normalization and enrichment policy</w:t>
      </w:r>
    </w:p>
    <w:p>
      <w:pPr>
        <w:ind w:left="216"/>
      </w:pPr>
      <w:r>
        <w:rPr>
          <w:rFonts w:ascii="Aptos" w:hAnsi="Aptos"/>
          <w:b w:val="0"/>
          <w:color w:val="203040"/>
          <w:sz w:val="19"/>
        </w:rPr>
        <w:t>10. Failure taxonomy and production gates</w:t>
      </w:r>
    </w:p>
    <w:p>
      <w:pPr>
        <w:ind w:left="216"/>
      </w:pPr>
      <w:r>
        <w:rPr>
          <w:rFonts w:ascii="Aptos" w:hAnsi="Aptos"/>
          <w:b w:val="0"/>
          <w:color w:val="203040"/>
          <w:sz w:val="19"/>
        </w:rPr>
        <w:t>11. Integration plan by converter and repository</w:t>
      </w:r>
    </w:p>
    <w:p>
      <w:pPr>
        <w:ind w:left="216"/>
      </w:pPr>
      <w:r>
        <w:rPr>
          <w:rFonts w:ascii="Aptos" w:hAnsi="Aptos"/>
          <w:b w:val="0"/>
          <w:color w:val="203040"/>
          <w:sz w:val="19"/>
        </w:rPr>
        <w:t>12. Implementation phases and minimum tests</w:t>
      </w:r>
    </w:p>
    <w:p>
      <w:pPr>
        <w:ind w:left="216"/>
      </w:pPr>
      <w:r>
        <w:rPr>
          <w:rFonts w:ascii="Aptos" w:hAnsi="Aptos"/>
          <w:b w:val="0"/>
          <w:color w:val="203040"/>
          <w:sz w:val="19"/>
        </w:rPr>
        <w:t>13. Repository evidence baseline</w:t>
      </w:r>
    </w:p>
    <w:p>
      <w:pPr>
        <w:ind w:left="216"/>
      </w:pPr>
      <w:r>
        <w:rPr>
          <w:rFonts w:ascii="Aptos" w:hAnsi="Aptos"/>
          <w:b w:val="0"/>
          <w:color w:val="203040"/>
          <w:sz w:val="19"/>
        </w:rPr>
        <w:t>14. Open decisions and approval checklist</w:t>
      </w:r>
    </w:p>
    <w:p>
      <w:r>
        <w:br w:type="page"/>
      </w:r>
    </w:p>
    <w:p>
      <w:pPr>
        <w:pStyle w:val="Heading1"/>
      </w:pPr>
      <w:r>
        <w:t>1. Executive decision and non-negotiable controls</w:t>
      </w:r>
    </w:p>
    <w:p>
      <w:r>
        <w:rPr>
          <w:b/>
        </w:rPr>
        <w:t xml:space="preserve">Decision. </w:t>
      </w:r>
      <w:r>
        <w:t xml:space="preserve">Introduce one shared InputXML compatibility adapter, selected through a </w:t>
      </w:r>
      <w:r>
        <w:rPr>
          <w:b/>
        </w:rPr>
        <w:t>Compatibility mode</w:t>
      </w:r>
      <w:r>
        <w:t xml:space="preserve"> checkbox in every relevant InputXML producer or intake converter. The adapter detects the source dialect, validates it, structurally normalizes it, performs only approved evidence-backed enrichment, and emits one strict canonical CAESARII XML_TYPE="Input" bundle.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203040"/>
                <w:sz w:val="18"/>
              </w:rPr>
              <w:t xml:space="preserve">Canonical rule: </w:t>
            </w:r>
            <w:r>
              <w:rPr>
                <w:rFonts w:ascii="Aptos" w:hAnsi="Aptos"/>
                <w:b w:val="0"/>
                <w:color w:val="203040"/>
                <w:sz w:val="18"/>
              </w:rPr>
              <w:t>Only the canonical InputXML artifact that passes XSD, Schematron, TopologyParityReport.v1 and selected-output downstream proof may be used for production conversion. XSD success alone is insufficient.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rPr>
          <w:rFonts w:ascii="Aptos" w:hAnsi="Aptos"/>
          <w:b/>
          <w:color w:val="203040"/>
          <w:sz w:val="18"/>
        </w:rPr>
        <w:t xml:space="preserve">Reuse the existing suite. </w:t>
      </w:r>
      <w:r>
        <w:t>The 3D_Converters contracts/inputxml/v1 suite is authoritative. Other repositories receive verified copies; they do not maintain divergent local schemas.</w:t>
      </w:r>
    </w:p>
    <w:p>
      <w:pPr>
        <w:pStyle w:val="ListBullet"/>
        <w:spacing w:after="50"/>
      </w:pPr>
      <w:r>
        <w:rPr>
          <w:rFonts w:ascii="Aptos" w:hAnsi="Aptos"/>
          <w:b/>
          <w:color w:val="203040"/>
          <w:sz w:val="18"/>
        </w:rPr>
        <w:t xml:space="preserve">Structural parsing only. </w:t>
      </w:r>
      <w:r>
        <w:t>Compatibility normalization uses a namespace-aware XML parser and canonical model. Regex replacement may be retained only as characterized legacy code, not as the production authority.</w:t>
      </w:r>
    </w:p>
    <w:p>
      <w:pPr>
        <w:pStyle w:val="ListBullet"/>
        <w:spacing w:after="50"/>
      </w:pPr>
      <w:r>
        <w:rPr>
          <w:rFonts w:ascii="Aptos" w:hAnsi="Aptos"/>
          <w:b/>
          <w:color w:val="203040"/>
          <w:sz w:val="18"/>
        </w:rPr>
        <w:t xml:space="preserve">No silent data deletion. </w:t>
      </w:r>
      <w:r>
        <w:t>Overflow restraints, unsupported extensions and conflicting aliases are preserved as evidence and block or require review; they are not silently dropped.</w:t>
      </w:r>
    </w:p>
    <w:p>
      <w:pPr>
        <w:pStyle w:val="ListBullet"/>
        <w:spacing w:after="50"/>
      </w:pPr>
      <w:r>
        <w:rPr>
          <w:rFonts w:ascii="Aptos" w:hAnsi="Aptos"/>
          <w:b/>
          <w:color w:val="203040"/>
          <w:sz w:val="18"/>
        </w:rPr>
        <w:t xml:space="preserve">No topology fabrication. </w:t>
      </w:r>
      <w:r>
        <w:t>The adapter may normalize representation but may not invent connections, node ownership, branch identity or engineering properties to make validation pass.</w:t>
      </w:r>
    </w:p>
    <w:p>
      <w:pPr>
        <w:pStyle w:val="ListBullet"/>
        <w:spacing w:after="50"/>
      </w:pPr>
      <w:r>
        <w:rPr>
          <w:rFonts w:ascii="Aptos" w:hAnsi="Aptos"/>
          <w:b/>
          <w:color w:val="203040"/>
          <w:sz w:val="18"/>
        </w:rPr>
        <w:t xml:space="preserve">One numbering authority. </w:t>
      </w:r>
      <w:r>
        <w:t>FROM_NODE, TO_NODE, child NODE references and cross-format XML numbers are supplied by the approved engineering node plan.</w:t>
      </w:r>
    </w:p>
    <w:p>
      <w:pPr>
        <w:pStyle w:val="ListBullet"/>
        <w:spacing w:after="50"/>
      </w:pPr>
      <w:r>
        <w:rPr>
          <w:rFonts w:ascii="Aptos" w:hAnsi="Aptos"/>
          <w:b/>
          <w:color w:val="203040"/>
          <w:sz w:val="18"/>
        </w:rPr>
        <w:t xml:space="preserve">Hash-linked bundle. </w:t>
      </w:r>
      <w:r>
        <w:t>Source, dialect, normalization actions, enrichment actions, canonical XML, schema reports, parity report and downstream proof are published together.</w:t>
      </w:r>
    </w:p>
    <w:p>
      <w:pPr>
        <w:pStyle w:val="Heading1"/>
      </w:pPr>
      <w:r>
        <w:t>2. Authoritative schema suite and copy policy</w:t>
      </w:r>
    </w:p>
    <w:p>
      <w:r>
        <w:t>The authoritative canonical suite is currently located in reallaksh19/3D_Converters under contracts/inputxml/v1. The compatibility programme must reuse this suite as a single source of truth.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324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File</w:t>
            </w:r>
          </w:p>
        </w:tc>
        <w:tc>
          <w:tcPr>
            <w:tcW w:type="dxa" w:w="309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410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Gate responsibility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inputxml-canonical-v1.xsd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Strict production CAESARII InputXML structure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Root namespace, unqualified engineering children, required IDs/counts/fields and cardinality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inputxml-extension-v1.xsd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Preservation and blocking evidence namespace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Retain unsupported/non-canonical evidence without claiming convertibility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categorized-inputxml-v3.xsd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Review and transfer representation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Validate categorized documents before reconciliation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inputxml-semantic-rules-v1.sch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Topology, ownership, count and production rules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Enforce semantics that XSD cannot express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inputxml-dialect-registry.json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Supported dialect IDs, recognition signals and adapters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Drive explicit profile detection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golden/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Positive and negative canonical fixtures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Regression and copy-sync tests</w:t>
            </w:r>
          </w:p>
        </w:tc>
      </w:tr>
    </w:tbl>
    <w:p>
      <w:pPr>
        <w:spacing w:after="20"/>
      </w:pPr>
    </w:p>
    <w:p>
      <w:pPr>
        <w:pStyle w:val="Heading2"/>
      </w:pPr>
      <w:r>
        <w:t>2.1 Verified copy model</w:t>
      </w:r>
    </w:p>
    <w:p>
      <w:pPr>
        <w:pStyle w:val="CodeBlock"/>
        <w:keepNext w:val="0"/>
        <w:keepLines w:val="0"/>
        <w:shd w:fill="F3F6F9"/>
        <w:pBdr>
          <w:top w:val="single" w:sz="4" w:color="CCD6E0"/>
          <w:left w:val="single" w:sz="4" w:color="CCD6E0"/>
          <w:bottom w:val="single" w:sz="4" w:color="CCD6E0"/>
          <w:right w:val="single" w:sz="4" w:color="CCD6E0"/>
        </w:pBdr>
      </w:pPr>
      <w:r>
        <w:rPr>
          <w:rFonts w:ascii="Cascadia Mono" w:hAnsi="Cascadia Mono"/>
          <w:b w:val="0"/>
          <w:color w:val="203040"/>
          <w:sz w:val="16"/>
        </w:rPr>
        <w:t>Authoritative source</w:t>
        <w:br/>
        <w:t>3D_Converters/contracts/inputxml/v1/*</w:t>
        <w:br/>
        <w:br/>
        <w:t>Verified copies</w:t>
        <w:br/>
        <w:t>XML_Compare_Utilities/contracts/inputxml/v1/*</w:t>
        <w:br/>
        <w:t>3DV/contracts/inputxml/v1/*</w:t>
        <w:br/>
        <w:br/>
        <w:t>Each copy includes schema-suite-provenance.json:</w:t>
        <w:br/>
        <w:t>{</w:t>
        <w:br/>
        <w:t xml:space="preserve">  "authorityRepository": "reallaksh19/3D_Converters",</w:t>
        <w:br/>
        <w:t xml:space="preserve">  "authorityCommit": "&lt;approved commit&gt;",</w:t>
        <w:br/>
        <w:t xml:space="preserve">  "authorityPath": "contracts/inputxml/v1",</w:t>
        <w:br/>
        <w:t xml:space="preserve">  "files": [{"path":"inputxml-canonical-v1.xsd","sha256":"..."}],</w:t>
        <w:br/>
        <w:t xml:space="preserve">  "syncedAt": "&lt;externally supplied ISO timestamp&gt;"</w:t>
        <w:br/>
        <w:t>}</w:t>
      </w:r>
    </w:p>
    <w:p>
      <w:pPr>
        <w:pStyle w:val="ListBullet"/>
        <w:spacing w:after="50"/>
      </w:pPr>
      <w:r>
        <w:t>Copied files are byte-for-byte identical to the approved authority commit.</w:t>
      </w:r>
    </w:p>
    <w:p>
      <w:pPr>
        <w:pStyle w:val="ListBullet"/>
        <w:spacing w:after="50"/>
      </w:pPr>
      <w:r>
        <w:t>Local modifications to copied XSD/Schematron/registry files fail CI.</w:t>
      </w:r>
    </w:p>
    <w:p>
      <w:pPr>
        <w:pStyle w:val="ListBullet"/>
        <w:spacing w:after="50"/>
      </w:pPr>
      <w:r>
        <w:t>A schema-suite sync change is a dedicated PR and records the upstream commit and per-file hashes.</w:t>
      </w:r>
    </w:p>
    <w:p>
      <w:pPr>
        <w:pStyle w:val="ListBullet"/>
        <w:spacing w:after="50"/>
      </w:pPr>
      <w:r>
        <w:t>Adapters may be repository-specific, but their canonical acceptance tests use the same copied suite and golden fixtures.</w:t>
      </w:r>
    </w:p>
    <w:p>
      <w:pPr>
        <w:pStyle w:val="ListBullet"/>
        <w:spacing w:after="50"/>
      </w:pPr>
      <w:r>
        <w:t>The concept recommends copying the complete folder, not only inputxml-canonical-v1.xsd, because production correctness requires the extension, Schematron, registry and golden evidence too.</w:t>
      </w:r>
    </w:p>
    <w:p>
      <w:pPr>
        <w:pStyle w:val="Heading1"/>
      </w:pPr>
      <w:r>
        <w:t>3. Input and producer landscape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37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3"/>
              </w:rPr>
              <w:t>Dialect / upstream format</w:t>
            </w:r>
          </w:p>
        </w:tc>
        <w:tc>
          <w:tcPr>
            <w:tcW w:type="dxa" w:w="273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3"/>
              </w:rPr>
              <w:t>Recognition signal</w:t>
            </w:r>
          </w:p>
        </w:tc>
        <w:tc>
          <w:tcPr>
            <w:tcW w:type="dxa" w:w="252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3"/>
              </w:rPr>
              <w:t>Current producer or source</w:t>
            </w:r>
          </w:p>
        </w:tc>
        <w:tc>
          <w:tcPr>
            <w:tcW w:type="dxa" w:w="288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3"/>
              </w:rPr>
              <w:t>Required adapter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canonical-inputxml-v1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{COADE}CAESARII; XML_TYPE=Input; canonical attributes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Canonical topology writer or reconciler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None; direct validation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caesar-inputxml-pressure1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PRESSURE1..9; LINE_ID/LINE; sentinel inheritance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Vendor/legacy CAESAR export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Pressure/line alias and inheritance adapter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caesar-inputxml-pressure-c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PRESSURE_C1..9; application defaults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Application-produced InputXML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Canonical name/provenance adapter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enriched-inputxml-app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DTXR_POS, PipingClass or Point_properties_basis children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Enriched workflow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Enriched-to-canonical adapter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inputxml-fragment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PIPINGELEMENT fragment without canonical root/model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Clipboard or partial export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Wrapper and context resolver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categorized-inputxml-v3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CategorizedInputXML root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Review/transfer workflow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Evidence-based reconciliation compiler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xml-builder-root-branch-node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&lt;Root&gt;&lt;Branch&gt;&lt;Node&gt;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Custom XML builder / SelJson bridge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RootBranchNode-to-canonical compiler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seljson-custom-root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Custom Root output with misleading _to_inputxml filename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seljson_to_inputxml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Custom-model-to-canonical compiler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managed-stage-json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JSON hierarchy with APOS/LPOS/CPOS/POS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StagedJSON producers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Managed-stage topology compiler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pdf-input-echo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PDF Input Echo / PIPE DATA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PDF converters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PDF extraction plus canonical compiler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xml-to-cii-diagnostic-sidecar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CAESARII plus diagnostic/source reconstruction markers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Debug conversion path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Diagnostic reconciliation; not direct production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cii14-inputxml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CII14 template/profile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PDF -&gt; InputXML CII14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CII14-to-canonical adapter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uxml-rvm-intake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UXML graph / RVM geometry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3DV/UXML workflows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UXML-to-canonical compiler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nodeset-v1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NodeSet comparison artifact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Comparison-only workflows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Excluded from production</w:t>
            </w:r>
          </w:p>
        </w:tc>
      </w:tr>
    </w:tbl>
    <w:p>
      <w:pPr>
        <w:spacing w:after="20"/>
      </w:pPr>
    </w:p>
    <w:p>
      <w:pPr>
        <w:pStyle w:val="Heading2"/>
      </w:pPr>
      <w:r>
        <w:t>3.1 Confirmed implementation risks</w:t>
      </w:r>
    </w:p>
    <w:p>
      <w:pPr>
        <w:pStyle w:val="ListBullet"/>
        <w:spacing w:after="50"/>
      </w:pPr>
      <w:r>
        <w:t>Current InputXML producers and mutators emit several dialects while file names often use the same InputXML label.</w:t>
      </w:r>
    </w:p>
    <w:p>
      <w:pPr>
        <w:pStyle w:val="ListBullet"/>
        <w:spacing w:after="50"/>
      </w:pPr>
      <w:r>
        <w:t>The current inputxml-field-adapter.js performs raw-text attribute rewriting and normalizes restraint slots. Overflow restraints are removed after the six available slots are exhausted.</w:t>
      </w:r>
    </w:p>
    <w:p>
      <w:pPr>
        <w:pStyle w:val="ListBullet"/>
        <w:spacing w:after="50"/>
      </w:pPr>
      <w:r>
        <w:t>The canonical XSD requires exact root/child namespace behaviour, IDs, positive node numbers, LINE, counts and child cardinality that legacy producers do not consistently supply.</w:t>
      </w:r>
    </w:p>
    <w:p>
      <w:pPr>
        <w:pStyle w:val="ListBullet"/>
        <w:spacing w:after="50"/>
      </w:pPr>
      <w:r>
        <w:t>CategorizedInputXML, custom Root/Branch/Node XML and managed-stage JSON are upstream representations; they are not canonical InputXML until compiled and validated.</w:t>
      </w:r>
    </w:p>
    <w:p>
      <w:pPr>
        <w:pStyle w:val="ListBullet"/>
        <w:spacing w:after="50"/>
      </w:pPr>
      <w:r>
        <w:t>Some topology builders have historically allocated engineering numbers internally. The compatibility gate must consume the shared node plan instead.</w:t>
      </w:r>
    </w:p>
    <w:p>
      <w:pPr>
        <w:pStyle w:val="Heading1"/>
      </w:pPr>
      <w:r>
        <w:t>4. Compatibility-mode user experience</w:t>
      </w:r>
    </w:p>
    <w:p>
      <w:pPr>
        <w:pStyle w:val="CodeBlock"/>
        <w:keepNext w:val="0"/>
        <w:keepLines w:val="0"/>
        <w:shd w:fill="F3F6F9"/>
        <w:pBdr>
          <w:top w:val="single" w:sz="4" w:color="CCD6E0"/>
          <w:left w:val="single" w:sz="4" w:color="CCD6E0"/>
          <w:bottom w:val="single" w:sz="4" w:color="CCD6E0"/>
          <w:right w:val="single" w:sz="4" w:color="CCD6E0"/>
        </w:pBdr>
      </w:pPr>
      <w:r>
        <w:rPr>
          <w:rFonts w:ascii="Cascadia Mono" w:hAnsi="Cascadia Mono"/>
          <w:b w:val="0"/>
          <w:color w:val="203040"/>
          <w:sz w:val="16"/>
        </w:rPr>
        <w:t>[ ] Compatibility mode</w:t>
        <w:br/>
        <w:br/>
        <w:t>Unchecked during migration:</w:t>
        <w:br/>
        <w:t xml:space="preserve">  current converter path remains available</w:t>
        <w:br/>
        <w:t xml:space="preserve">  output manifest marks LEGACY_PATH</w:t>
        <w:br/>
        <w:br/>
        <w:t>Checked:</w:t>
        <w:br/>
        <w:t xml:space="preserve">  source dialect detector</w:t>
        <w:br/>
        <w:t xml:space="preserve">  -&gt; InputXmlCompatibilityGate.v1</w:t>
        <w:br/>
        <w:t xml:space="preserve">  -&gt; canonical InputXML bundle</w:t>
        <w:br/>
        <w:t xml:space="preserve">  -&gt; production selection only when status = PASS</w:t>
      </w:r>
    </w:p>
    <w:p>
      <w:pPr>
        <w:pStyle w:val="Heading2"/>
      </w:pPr>
      <w:r>
        <w:t>4.1 Applicable converters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16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446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Converters / workflows</w:t>
            </w:r>
          </w:p>
        </w:tc>
        <w:tc>
          <w:tcPr>
            <w:tcW w:type="dxa" w:w="396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Compatibility-mode role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 producers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stagedjson_to_inputxml, seljson_to_inputxml, pdf_to_inputxml, pdf_to_inputxml_cii14, topology InputXML writer, Root/Branch/Node compiler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Validate source profile, compile and select canonical output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 mutators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Enriched InputXML, sideload enricher, changeset reconciler, categorized reverse compiler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Revalidate/re-normalize complete output; never trust preserved root blindly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 consumers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inputxml_to_cii2019, inputxml_to_cii, inputxml14_to_cii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Normalize compatible dialects before Python conversion; reject unresolved blockers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Viewer round-trip paths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 -&gt; managed stage -&gt; edits -&gt; InputXML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Require topology and node-plan parity across the round trip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5040"/>
            <w:shd w:fill="1F4E78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Control point</w:t>
            </w:r>
          </w:p>
        </w:tc>
        <w:tc>
          <w:tcPr>
            <w:tcW w:type="dxa" w:w="1584"/>
            <w:shd w:fill="1F4E78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168"/>
            <w:shd w:fill="1F4E78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 disposition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203040"/>
                <w:sz w:val="16"/>
              </w:rPr>
              <w:t>Canonical output passes all structural, semantic, parity and downstream checks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r>
              <w:rPr>
                <w:rFonts w:ascii="Aptos" w:hAnsi="Aptos"/>
                <w:b/>
                <w:color w:val="203040"/>
                <w:sz w:val="16"/>
              </w:rPr>
              <w:t>PASS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203040"/>
                <w:sz w:val="16"/>
              </w:rPr>
              <w:t>Allow production download/conversion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203040"/>
                <w:sz w:val="16"/>
              </w:rPr>
              <w:t>Non-critical preserved extension or approved manual decision remains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r>
              <w:rPr>
                <w:rFonts w:ascii="Aptos" w:hAnsi="Aptos"/>
                <w:b/>
                <w:color w:val="203040"/>
                <w:sz w:val="16"/>
              </w:rPr>
              <w:t>REVIEW_REQUIRED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203040"/>
                <w:sz w:val="16"/>
              </w:rPr>
              <w:t>Audit output only until approval is attached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203040"/>
                <w:sz w:val="16"/>
              </w:rPr>
              <w:t>Schema, topology, numbering, count, ownership or unsupported-critical evidence failure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shd w:fill="F4CCCC"/>
          </w:tcPr>
          <w:p>
            <w:r>
              <w:rPr>
                <w:rFonts w:ascii="Aptos" w:hAnsi="Aptos"/>
                <w:b/>
                <w:color w:val="203040"/>
                <w:sz w:val="16"/>
              </w:rPr>
              <w:t>BLOCKED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203040"/>
                <w:sz w:val="16"/>
              </w:rPr>
              <w:t>No production selection</w:t>
            </w:r>
          </w:p>
        </w:tc>
      </w:tr>
    </w:tbl>
    <w:p/>
    <w:p>
      <w:pPr>
        <w:pStyle w:val="Heading1"/>
      </w:pPr>
      <w:r>
        <w:t>5. Target architecture and processing stages</w:t>
      </w:r>
    </w:p>
    <w:p>
      <w:pPr>
        <w:pStyle w:val="CodeBlock"/>
        <w:keepNext w:val="0"/>
        <w:keepLines w:val="0"/>
        <w:shd w:fill="F3F6F9"/>
        <w:pBdr>
          <w:top w:val="single" w:sz="4" w:color="CCD6E0"/>
          <w:left w:val="single" w:sz="4" w:color="CCD6E0"/>
          <w:bottom w:val="single" w:sz="4" w:color="CCD6E0"/>
          <w:right w:val="single" w:sz="4" w:color="CCD6E0"/>
        </w:pBdr>
      </w:pPr>
      <w:r>
        <w:rPr>
          <w:rFonts w:ascii="Cascadia Mono" w:hAnsi="Cascadia Mono"/>
          <w:b w:val="0"/>
          <w:color w:val="203040"/>
          <w:sz w:val="16"/>
        </w:rPr>
        <w:t>Source bytes</w:t>
        <w:br/>
        <w:t xml:space="preserve">  -&gt; hash + dialect detection</w:t>
        <w:br/>
        <w:t xml:space="preserve">  -&gt; source dialect adapter</w:t>
        <w:br/>
        <w:t xml:space="preserve">  -&gt; InputXmlSourceModel.v1</w:t>
        <w:br/>
        <w:t xml:space="preserve">  -&gt; structural source validation</w:t>
        <w:br/>
        <w:t xml:space="preserve">  -&gt; canonical normalization plan</w:t>
        <w:br/>
        <w:t xml:space="preserve">  -&gt; topology/branch/node-plan resolution</w:t>
        <w:br/>
        <w:t xml:space="preserve">  -&gt; optional evidence-backed enrichment</w:t>
        <w:br/>
        <w:t xml:space="preserve">  -&gt; CanonicalInputXmlModel.v1</w:t>
        <w:br/>
        <w:t xml:space="preserve">  -&gt; deterministic serializer</w:t>
        <w:br/>
        <w:t xml:space="preserve">  -&gt; inputxml-canonical-v1.xsd</w:t>
        <w:br/>
        <w:t xml:space="preserve">  -&gt; inputxml-semantic-rules-v1.sch</w:t>
        <w:br/>
        <w:t xml:space="preserve">  -&gt; TopologyParityReport.v1</w:t>
        <w:br/>
        <w:t xml:space="preserve">  -&gt; CII dry run + independent reparse</w:t>
        <w:br/>
        <w:t xml:space="preserve">  -&gt; SelectedOutputManifest.v1</w:t>
        <w:br/>
        <w:t xml:space="preserve">  -&gt; PASS / REVIEW_REQUIRED / BLOCKED</w:t>
      </w:r>
    </w:p>
    <w:p>
      <w:pPr>
        <w:pStyle w:val="ListNumber"/>
        <w:spacing w:after="50"/>
      </w:pPr>
      <w:r>
        <w:t>Hash the original source and record producer, converter and user-selected policy.</w:t>
      </w:r>
    </w:p>
    <w:p>
      <w:pPr>
        <w:pStyle w:val="ListNumber"/>
        <w:spacing w:after="50"/>
      </w:pPr>
      <w:r>
        <w:t>Detect one dialect using the registry; ambiguous detection blocks processing.</w:t>
      </w:r>
    </w:p>
    <w:p>
      <w:pPr>
        <w:pStyle w:val="ListNumber"/>
        <w:spacing w:after="50"/>
      </w:pPr>
      <w:r>
        <w:t>Parse with a namespace-aware parser into an immutable source model.</w:t>
      </w:r>
    </w:p>
    <w:p>
      <w:pPr>
        <w:pStyle w:val="ListNumber"/>
        <w:spacing w:after="50"/>
      </w:pPr>
      <w:r>
        <w:t>Validate the detected dialect or its minimum source contract before changing it.</w:t>
      </w:r>
    </w:p>
    <w:p>
      <w:pPr>
        <w:pStyle w:val="ListNumber"/>
        <w:spacing w:after="50"/>
      </w:pPr>
      <w:r>
        <w:t>Create a normalization plan for aliases, namespaces, IDs, counts, ordering, units, sentinels and line identity.</w:t>
      </w:r>
    </w:p>
    <w:p>
      <w:pPr>
        <w:pStyle w:val="ListNumber"/>
        <w:spacing w:after="50"/>
      </w:pPr>
      <w:r>
        <w:t>Resolve topology, ownership, branch identity, node references and restraint attachment through shared authorities.</w:t>
      </w:r>
    </w:p>
    <w:p>
      <w:pPr>
        <w:pStyle w:val="ListNumber"/>
        <w:spacing w:after="50"/>
      </w:pPr>
      <w:r>
        <w:t>Apply optional enrichment with explicit provenance and extension evidence.</w:t>
      </w:r>
    </w:p>
    <w:p>
      <w:pPr>
        <w:pStyle w:val="ListNumber"/>
        <w:spacing w:after="50"/>
      </w:pPr>
      <w:r>
        <w:t>Build a canonical model that already satisfies all required fields and cardinalities.</w:t>
      </w:r>
    </w:p>
    <w:p>
      <w:pPr>
        <w:pStyle w:val="ListNumber"/>
        <w:spacing w:after="50"/>
      </w:pPr>
      <w:r>
        <w:t>Serialize deterministically; the serializer does not infer or repair.</w:t>
      </w:r>
    </w:p>
    <w:p>
      <w:pPr>
        <w:pStyle w:val="ListNumber"/>
        <w:spacing w:after="50"/>
      </w:pPr>
      <w:r>
        <w:t>Run XSD, Schematron, topology parity and downstream proof against the exact selected bytes.</w:t>
      </w:r>
    </w:p>
    <w:p>
      <w:pPr>
        <w:pStyle w:val="ListNumber"/>
        <w:spacing w:after="50"/>
      </w:pPr>
      <w:r>
        <w:t>Publish one hash-linked bundle and block any alternate output from being selected silently.</w:t>
      </w:r>
    </w:p>
    <w:p>
      <w:pPr>
        <w:pStyle w:val="Heading1"/>
      </w:pPr>
      <w:r>
        <w:t>6. Dialect adapters and resolver catalogue</w:t>
      </w:r>
    </w:p>
    <w:p>
      <w:pPr>
        <w:pStyle w:val="Heading2"/>
      </w:pPr>
      <w:r>
        <w:t>6.1 Adapter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66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Adapter family</w:t>
            </w:r>
          </w:p>
        </w:tc>
        <w:tc>
          <w:tcPr>
            <w:tcW w:type="dxa" w:w="439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May do</w:t>
            </w:r>
          </w:p>
        </w:tc>
        <w:tc>
          <w:tcPr>
            <w:tcW w:type="dxa" w:w="360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Must not do</w:t>
            </w:r>
          </w:p>
        </w:tc>
      </w:tr>
      <w:tr>
        <w:trPr>
          <w:cantSplit w:val="true"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Alias adapter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Map documented spelling variants when canonical field is absent; retain before/after evidence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Overwrite conflicting canonical and alias values</w:t>
            </w:r>
          </w:p>
        </w:tc>
      </w:tr>
      <w:tr>
        <w:trPr>
          <w:cantSplit w:val="true"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Namespace/root adapter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Wrap fragments; qualify CAESARII root; keep engineering children unqualified as the canonical XSD requires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Namespace-rewrite unrelated XML roots into CAESARII</w:t>
            </w:r>
          </w:p>
        </w:tc>
      </w:tr>
      <w:tr>
        <w:trPr>
          <w:cantSplit w:val="true"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Custom Root/Branch/Node compiler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Translate explicit node occurrences, positions, components and restraints into canonical elements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Pretend the custom XML is already InputXML</w:t>
            </w:r>
          </w:p>
        </w:tc>
      </w:tr>
      <w:tr>
        <w:trPr>
          <w:cantSplit w:val="true"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Managed-stage compiler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Use approved canonical topology and node plan to create PIPINGELEMENT rows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Allocate numbers or infer topology from output order</w:t>
            </w:r>
          </w:p>
        </w:tc>
      </w:tr>
      <w:tr>
        <w:trPr>
          <w:cantSplit w:val="true"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PDF adapter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Extract source evidence with page/field provenance and confidence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Convert unreadable or ambiguous values silently</w:t>
            </w:r>
          </w:p>
        </w:tc>
      </w:tr>
      <w:tr>
        <w:trPr>
          <w:cantSplit w:val="true"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Categorized reconciler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Restore original evidence and compile approved edits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Treat normalized review blocks as canonical without reconciliation</w:t>
            </w:r>
          </w:p>
        </w:tc>
      </w:tr>
      <w:tr>
        <w:trPr>
          <w:cantSplit w:val="true"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Enriched InputXML adapter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Move unsupported evidence into ext:Extension and retain provenance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Make unsupported data convertible merely by placing it in extension</w:t>
            </w:r>
          </w:p>
        </w:tc>
      </w:tr>
    </w:tbl>
    <w:p>
      <w:pPr>
        <w:spacing w:after="20"/>
      </w:pPr>
    </w:p>
    <w:p>
      <w:pPr>
        <w:pStyle w:val="Heading2"/>
      </w:pPr>
      <w:r>
        <w:t>6.2 Resolver catalogue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44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Resolver</w:t>
            </w:r>
          </w:p>
        </w:tc>
        <w:tc>
          <w:tcPr>
            <w:tcW w:type="dxa" w:w="316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Key output</w:t>
            </w:r>
          </w:p>
        </w:tc>
        <w:tc>
          <w:tcPr>
            <w:tcW w:type="dxa" w:w="504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Critical rules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InputXmlDialectResolver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Exactly one dialect ID and adapter ID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No priority fallback when signals conflict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NamespaceResolver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COADE-qualified root and unqualified engineering children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No mixed namespace canonical output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FieldAliasResolver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Canonical attribute map plus conflict evidence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Canonical+alias disagreement blocks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SentinelInheritanceResolver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Explicit value lineage per branch/field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Carry-forward only in a proven branch sequence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UnitResolver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Canonical model units and converted values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Unknown units block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LineIdentityResolver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Required LINE/main-line key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No synthetic generic line in production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NodeReferenceResolver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Positive FROM/TO/child node bindings from EngineeringNodePlan.v1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No local counters or duplicate active node ownership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ElementIdentityResolver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Stable XML ID for every PIPINGELEMENT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ID derived deterministically from plan, not array index alone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RestraintSlotResolver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Unique NUM 1..6 or explicit blocker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Never drop overflow; preserve evidence and block unless approved semantic split exists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CountResolver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NUMELT/NUMBEND/NUMRIGID/NUMNOZ/NOHGRS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Counts are derived from final canonical model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ExtensionDispositionResolver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PRESERVE_EXTENSION, DEFER_EXPLICITLY or UNSUPPORTED_BLOCKING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Extension does not override production blockers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TopologyParityResolver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TopologyParityReport.v1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Compare exact final XML, not pre-sanitized intermediate</w:t>
            </w:r>
          </w:p>
        </w:tc>
      </w:tr>
    </w:tbl>
    <w:p>
      <w:pPr>
        <w:spacing w:after="20"/>
      </w:pPr>
    </w:p>
    <w:p>
      <w:pPr>
        <w:pStyle w:val="Heading1"/>
      </w:pPr>
      <w:r>
        <w:t>7. Canonical contracts and output bundle</w:t>
      </w:r>
    </w:p>
    <w:p>
      <w:pPr>
        <w:pStyle w:val="Heading2"/>
      </w:pPr>
      <w:r>
        <w:t>7.1 InputXmlCompatibilityRequest.v1</w:t>
      </w:r>
    </w:p>
    <w:p>
      <w:pPr>
        <w:pStyle w:val="CodeBlock"/>
        <w:keepNext w:val="0"/>
        <w:keepLines w:val="0"/>
        <w:shd w:fill="F3F6F9"/>
        <w:pBdr>
          <w:top w:val="single" w:sz="4" w:color="CCD6E0"/>
          <w:left w:val="single" w:sz="4" w:color="CCD6E0"/>
          <w:bottom w:val="single" w:sz="4" w:color="CCD6E0"/>
          <w:right w:val="single" w:sz="4" w:color="CCD6E0"/>
        </w:pBdr>
      </w:pPr>
      <w:r>
        <w:rPr>
          <w:rFonts w:ascii="Cascadia Mono" w:hAnsi="Cascadia Mono"/>
          <w:b w:val="0"/>
          <w:color w:val="203040"/>
          <w:sz w:val="16"/>
        </w:rPr>
        <w:t>{</w:t>
        <w:br/>
        <w:t xml:space="preserve">  "schema": "InputXmlCompatibilityRequest.v1",</w:t>
        <w:br/>
        <w:t xml:space="preserve">  "converterId": "stagedjson_to_inputxml",</w:t>
        <w:br/>
        <w:t xml:space="preserve">  "compatibilityMode": true,</w:t>
        <w:br/>
        <w:t xml:space="preserve">  "sourceName": "model.json",</w:t>
        <w:br/>
        <w:t xml:space="preserve">  "sourceHash": "sha256:...",</w:t>
        <w:br/>
        <w:t xml:space="preserve">  "evaluatedAt": "2026-07-19T14:00:00+04:00",</w:t>
        <w:br/>
        <w:t xml:space="preserve">  "schemaSuite": {</w:t>
        <w:br/>
        <w:t xml:space="preserve">    "authorityRepository": "reallaksh19/3D_Converters",</w:t>
        <w:br/>
        <w:t xml:space="preserve">    "authorityCommit": "...",</w:t>
        <w:br/>
        <w:t xml:space="preserve">    "suiteHash": "sha256:..."</w:t>
        <w:br/>
        <w:t xml:space="preserve">  },</w:t>
        <w:br/>
        <w:t xml:space="preserve">  "policies": {</w:t>
        <w:br/>
        <w:t xml:space="preserve">    "dialectRegistry": "InputXmlDialectRegistry.v1",</w:t>
        <w:br/>
        <w:t xml:space="preserve">    "normalization": "InputXmlNormalizationPolicy.v1",</w:t>
        <w:br/>
        <w:t xml:space="preserve">    "enrichment": "InputXmlEnrichmentPolicy.v1",</w:t>
        <w:br/>
        <w:t xml:space="preserve">    "nodePlan": "EngineeringNodePlan.v1"</w:t>
        <w:br/>
        <w:t xml:space="preserve">  }</w:t>
        <w:br/>
        <w:t>}</w:t>
      </w:r>
    </w:p>
    <w:p>
      <w:pPr>
        <w:pStyle w:val="Heading2"/>
      </w:pPr>
      <w:r>
        <w:t>7.2 InputXmlNormalizationPlan.v1</w:t>
      </w:r>
    </w:p>
    <w:p>
      <w:pPr>
        <w:pStyle w:val="CodeBlock"/>
        <w:keepNext w:val="0"/>
        <w:keepLines w:val="0"/>
        <w:shd w:fill="F3F6F9"/>
        <w:pBdr>
          <w:top w:val="single" w:sz="4" w:color="CCD6E0"/>
          <w:left w:val="single" w:sz="4" w:color="CCD6E0"/>
          <w:bottom w:val="single" w:sz="4" w:color="CCD6E0"/>
          <w:right w:val="single" w:sz="4" w:color="CCD6E0"/>
        </w:pBdr>
      </w:pPr>
      <w:r>
        <w:rPr>
          <w:rFonts w:ascii="Cascadia Mono" w:hAnsi="Cascadia Mono"/>
          <w:b w:val="0"/>
          <w:color w:val="203040"/>
          <w:sz w:val="16"/>
        </w:rPr>
        <w:t>{</w:t>
        <w:br/>
        <w:t xml:space="preserve">  "schema": "InputXmlNormalizationPlan.v1",</w:t>
        <w:br/>
        <w:t xml:space="preserve">  "dialectId": "caesar-inputxml-pressure1",</w:t>
        <w:br/>
        <w:t xml:space="preserve">  "actions": [</w:t>
        <w:br/>
        <w:t xml:space="preserve">    {</w:t>
        <w:br/>
        <w:t xml:space="preserve">      "actionId": "IX-NORM-0001",</w:t>
        <w:br/>
        <w:t xml:space="preserve">      "target": "PIPINGELEMENT:PE-17",</w:t>
        <w:br/>
        <w:t xml:space="preserve">      "ruleId": "PRESSURE1_TO_PRESSURE_C1",</w:t>
        <w:br/>
        <w:t xml:space="preserve">      "before": {"PRESSURE1": "11600"},</w:t>
        <w:br/>
        <w:t xml:space="preserve">      "after": {"PRESSURE_C1": "11600"},</w:t>
        <w:br/>
        <w:t xml:space="preserve">      "authority": "DIALECT_REGISTRY_ALIAS",</w:t>
        <w:br/>
        <w:t xml:space="preserve">      "disposition": "ACCEPTED"</w:t>
        <w:br/>
        <w:t xml:space="preserve">    }</w:t>
        <w:br/>
        <w:t xml:space="preserve">  ],</w:t>
        <w:br/>
        <w:t xml:space="preserve">  "unresolved": [],</w:t>
        <w:br/>
        <w:t xml:space="preserve">  "status": "PASS"</w:t>
        <w:br/>
        <w:t>}</w:t>
      </w:r>
    </w:p>
    <w:p>
      <w:pPr>
        <w:pStyle w:val="Heading2"/>
      </w:pPr>
      <w:r>
        <w:t>7.3 CanonicalInputXmlBundle.v1</w:t>
      </w:r>
    </w:p>
    <w:p>
      <w:pPr>
        <w:pStyle w:val="CodeBlock"/>
        <w:keepNext w:val="0"/>
        <w:keepLines w:val="0"/>
        <w:shd w:fill="F3F6F9"/>
        <w:pBdr>
          <w:top w:val="single" w:sz="4" w:color="CCD6E0"/>
          <w:left w:val="single" w:sz="4" w:color="CCD6E0"/>
          <w:bottom w:val="single" w:sz="4" w:color="CCD6E0"/>
          <w:right w:val="single" w:sz="4" w:color="CCD6E0"/>
        </w:pBdr>
      </w:pPr>
      <w:r>
        <w:rPr>
          <w:rFonts w:ascii="Cascadia Mono" w:hAnsi="Cascadia Mono"/>
          <w:b w:val="0"/>
          <w:color w:val="203040"/>
          <w:sz w:val="16"/>
        </w:rPr>
        <w:t>{</w:t>
        <w:br/>
        <w:t xml:space="preserve">  "schema": "CanonicalInputXmlBundle.v1",</w:t>
        <w:br/>
        <w:t xml:space="preserve">  "sourceHash": "sha256:...",</w:t>
        <w:br/>
        <w:t xml:space="preserve">  "dialectId": "managed-stage-json",</w:t>
        <w:br/>
        <w:t xml:space="preserve">  "normalizationPlanHash": "sha256:...",</w:t>
        <w:br/>
        <w:t xml:space="preserve">  "enrichmentPlanHash": "sha256:...",</w:t>
        <w:br/>
        <w:t xml:space="preserve">  "engineeringNodePlanHash": "sha256:...",</w:t>
        <w:br/>
        <w:t xml:space="preserve">  "canonicalModelHash": "sha256:...",</w:t>
        <w:br/>
        <w:t xml:space="preserve">  "canonicalXmlHash": "sha256:...",</w:t>
        <w:br/>
        <w:t xml:space="preserve">  "xsdReport": {},</w:t>
        <w:br/>
        <w:t xml:space="preserve">  "schematronReport": {},</w:t>
        <w:br/>
        <w:t xml:space="preserve">  "topologyParityReport": {},</w:t>
        <w:br/>
        <w:t xml:space="preserve">  "ciiDryRunReport": {},</w:t>
        <w:br/>
        <w:t xml:space="preserve">  "selectedOutputManifest": {},</w:t>
        <w:br/>
        <w:t xml:space="preserve">  "status": "PASS"</w:t>
        <w:br/>
        <w:t>}</w:t>
      </w:r>
    </w:p>
    <w:p>
      <w:pPr>
        <w:pStyle w:val="Heading1"/>
      </w:pPr>
      <w:r>
        <w:t>8. Validation, semantic rules and topology parity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23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331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Authority</w:t>
            </w:r>
          </w:p>
        </w:tc>
        <w:tc>
          <w:tcPr>
            <w:tcW w:type="dxa" w:w="511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Minimum proof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Dialect source validation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Dialect registry and adapter contract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Root/signals match one profile; source-required fields parse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Canonical XSD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inputxml-canonical-v1.xsd + extension import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Exact structural validity of selected XML bytes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Review XSD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categorized-inputxml-v3.xsd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Categorized source valid before reconciliation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Semantic rules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inputxml-semantic-rules-v1.sch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Counts, node ownership, topology references, extensions and production state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Topology parity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TopologyParityReport.v1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Source/canonical graph vs final XML nodes, elements, junctions, supports and boundaries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Node-number parity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EngineeringNodePlan.v1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All FROM/TO/BEND/SIF/RESTRAINT/HANGER/nozzle references match the shared plan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Downstream proof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InputXML-to-CII selected converter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Conversion completes from exact selected XML and independent reparse matches required structure/engineering values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Determinism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Canonical serializer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Byte-identical XML and reports for identical request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203040"/>
                <w:sz w:val="18"/>
              </w:rPr>
              <w:t xml:space="preserve">Important distinction: </w:t>
            </w:r>
            <w:r>
              <w:rPr>
                <w:rFonts w:ascii="Aptos" w:hAnsi="Aptos"/>
                <w:b w:val="0"/>
                <w:color w:val="203040"/>
                <w:sz w:val="18"/>
              </w:rPr>
              <w:t>XSD proves structural correctness. Schematron and TopologyParityReport.v1 prove semantic and topology constraints. The downstream dry run proves that the exact selected artifact is consumable. None of these replaces the others.</w:t>
            </w:r>
          </w:p>
        </w:tc>
      </w:tr>
    </w:tbl>
    <w:p>
      <w:pPr>
        <w:spacing w:after="20"/>
      </w:pPr>
    </w:p>
    <w:p>
      <w:pPr>
        <w:pStyle w:val="Heading1"/>
      </w:pPr>
      <w:r>
        <w:t>9. Normalization and enrichment policy</w:t>
      </w:r>
    </w:p>
    <w:p>
      <w:pPr>
        <w:pStyle w:val="Heading2"/>
      </w:pPr>
      <w:r>
        <w:t>9.1 Safe normalization</w:t>
      </w:r>
    </w:p>
    <w:p>
      <w:pPr>
        <w:pStyle w:val="ListBullet"/>
        <w:spacing w:after="50"/>
      </w:pPr>
      <w:r>
        <w:t>Canonicalize documented aliases only when no conflicting canonical value exists.</w:t>
      </w:r>
    </w:p>
    <w:p>
      <w:pPr>
        <w:pStyle w:val="ListBullet"/>
        <w:spacing w:after="50"/>
      </w:pPr>
      <w:r>
        <w:t>Qualify only the CAESARII root with COADE and preserve unqualified engineering children required by the XSD.</w:t>
      </w:r>
    </w:p>
    <w:p>
      <w:pPr>
        <w:pStyle w:val="ListBullet"/>
        <w:spacing w:after="50"/>
      </w:pPr>
      <w:r>
        <w:t>Create missing deterministic IDs and final count attributes from the final canonical model.</w:t>
      </w:r>
    </w:p>
    <w:p>
      <w:pPr>
        <w:pStyle w:val="ListBullet"/>
        <w:spacing w:after="50"/>
      </w:pPr>
      <w:r>
        <w:t>Canonicalize child ordering without changing semantic ownership.</w:t>
      </w:r>
    </w:p>
    <w:p>
      <w:pPr>
        <w:pStyle w:val="ListBullet"/>
        <w:spacing w:after="50"/>
      </w:pPr>
      <w:r>
        <w:t>Resolve LINE from explicit line identity or approved branch authority; generic fallback lines are non-production.</w:t>
      </w:r>
    </w:p>
    <w:p>
      <w:pPr>
        <w:pStyle w:val="ListBullet"/>
        <w:spacing w:after="50"/>
      </w:pPr>
      <w:r>
        <w:t>Expand fragments only when required context is supplied or can be proven from the source bundle.</w:t>
      </w:r>
    </w:p>
    <w:p>
      <w:pPr>
        <w:pStyle w:val="ListBullet"/>
        <w:spacing w:after="50"/>
      </w:pPr>
      <w:r>
        <w:t>Record every changed lexical value and structural move in the normalization plan.</w:t>
      </w:r>
    </w:p>
    <w:p>
      <w:pPr>
        <w:pStyle w:val="Heading2"/>
      </w:pPr>
      <w:r>
        <w:t>9.2 Enrichment and conversion boundaries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23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Case</w:t>
            </w:r>
          </w:p>
        </w:tc>
        <w:tc>
          <w:tcPr>
            <w:tcW w:type="dxa" w:w="345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Allowed action</w:t>
            </w:r>
          </w:p>
        </w:tc>
        <w:tc>
          <w:tcPr>
            <w:tcW w:type="dxa" w:w="331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Evidence requirement</w:t>
            </w:r>
          </w:p>
        </w:tc>
        <w:tc>
          <w:tcPr>
            <w:tcW w:type="dxa" w:w="172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Production status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Missing wall/material/pressure data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Resolve from approved master or explicit override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Master version, key, source row and confidence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PASS only when policy allows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Nominal bore but no OD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Use piping-class/master OD; no generic bore=OD guess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Master evidence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REVIEW_REQUIRED/BLOCKED otherwise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Sentinel field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Inherit prior branch value only with proven sequence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Previous source element and rule ID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 if branch context unknown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Missing LINE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Resolve from branch/main-line authority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Branch identity evidence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 if unresolved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More than six restraints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Preserve all source rows in audit/extension; block or apply separately approved semantic distribution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Node/element ownership proof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 by default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Unsupported source field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Preserve in ext:Extension with disposition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Source path, field, criticality, confidence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 when criticality=BLOCKING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Unknown component topology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Do not create a PIPINGELEMENT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Diagnostic and source evidence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</w:tbl>
    <w:p>
      <w:pPr>
        <w:spacing w:after="20"/>
      </w:pPr>
    </w:p>
    <w:p>
      <w:pPr>
        <w:pStyle w:val="Heading1"/>
      </w:pPr>
      <w:r>
        <w:t>10. Failure taxonomy and production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352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Code</w:t>
            </w:r>
          </w:p>
        </w:tc>
        <w:tc>
          <w:tcPr>
            <w:tcW w:type="dxa" w:w="439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Meaning</w:t>
            </w:r>
          </w:p>
        </w:tc>
        <w:tc>
          <w:tcPr>
            <w:tcW w:type="dxa" w:w="158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Disposition</w:t>
            </w:r>
          </w:p>
        </w:tc>
      </w:tr>
      <w:tr>
        <w:trPr>
          <w:cantSplit w:val="true"/>
        </w:trP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INPUTXML_DIALECT_AMBIGUOUS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More than one dialect profile matches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INPUTXML_DIALECT_UNSUPPORTED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No approved adapter exists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INPUTXML_ALIAS_CONFLICT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Canonical and variant fields disagree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INPUTXML_NAMESPACE_INVALID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Root/child namespace cannot be canonicalized safely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INPUTXML_LINE_ID_UNRESOLVED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Required LINE ownership is missing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INPUTXML_NODE_PLAN_MISSING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Element or child reference is not allocated by the shared plan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INPUTXML_DUPLICATE_ACTIVE_NODE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Zone/project node ownership conflict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INPUTXML_RESTRAINT_OVERFLOW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More than six restraints require unapproved loss or redistribution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INPUTXML_UNSUPPORTED_BLOCKING_EVIDENCE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Extension contains critical unsupported source data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INPUTXML_XSD_FAILED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Canonical XML fails structural schema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INPUTXML_SCHEMATRON_FAILED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Semantic/topology/count rule fails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 or REVIEW_REQUIRED by rule</w:t>
            </w:r>
          </w:p>
        </w:tc>
      </w:tr>
      <w:tr>
        <w:trPr>
          <w:cantSplit w:val="true"/>
        </w:trP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INPUTXML_TOPOLOGY_PARITY_FAILED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Source/canonical graph differs from final XML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INPUTXML_DOWNSTREAM_PROOF_FAILED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Exact selected XML fails CII conversion/reparse proof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INPUTXML_SCHEMA_COPY_DRIFT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Vendored suite differs from approved authority hashes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</w:tbl>
    <w:p>
      <w:pPr>
        <w:spacing w:after="20"/>
      </w:pPr>
    </w:p>
    <w:p>
      <w:pPr>
        <w:pStyle w:val="Heading1"/>
      </w:pPr>
      <w:r>
        <w:t>11. Integration plan by converter and repository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66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Repository / area</w:t>
            </w:r>
          </w:p>
        </w:tc>
        <w:tc>
          <w:tcPr>
            <w:tcW w:type="dxa" w:w="496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Integration</w:t>
            </w:r>
          </w:p>
        </w:tc>
        <w:tc>
          <w:tcPr>
            <w:tcW w:type="dxa" w:w="288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Ownership rule</w:t>
            </w:r>
          </w:p>
        </w:tc>
      </w:tr>
      <w:tr>
        <w:trPr>
          <w:cantSplit w:val="true"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3D_Converters converter registry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Add compatibilityMode and policy ID fields to InputXML producers and consumers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Orchestrator owns shared registry changes</w:t>
            </w:r>
          </w:p>
        </w:tc>
      </w:tr>
      <w:tr>
        <w:trPr>
          <w:cantSplit w:val="true"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stagedjson_to_inputxml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ManagedStageAdapter -&gt; canonical topology/node plan -&gt; canonical serializer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No local numbering or silent OD inference</w:t>
            </w:r>
          </w:p>
        </w:tc>
      </w:tr>
      <w:tr>
        <w:trPr>
          <w:cantSplit w:val="true"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seljson_to_inputxml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SelJsonAdapter -&gt; custom model -&gt; canonical compiler; rename custom intermediate clearly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Custom Root XML is never labelled canonical InputXML</w:t>
            </w:r>
          </w:p>
        </w:tc>
      </w:tr>
      <w:tr>
        <w:trPr>
          <w:cantSplit w:val="true"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pdf_to_inputxml / CII14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PDF source adapter with confidence/evidence -&gt; canonical compiler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Unreadable engineering values block</w:t>
            </w:r>
          </w:p>
        </w:tc>
      </w:tr>
      <w:tr>
        <w:trPr>
          <w:cantSplit w:val="true"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topology-inputxml-writer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Pure projection from canonical topology and EngineeringNodePlan.v1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Canonical topology owns connectivity; node plan owns numbers</w:t>
            </w:r>
          </w:p>
        </w:tc>
      </w:tr>
      <w:tr>
        <w:trPr>
          <w:cantSplit w:val="true"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inputxml-field-adapter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Retain only as legacy characterization; replace production compatibility path with structural resolver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No regex authority; no restraint dropping</w:t>
            </w:r>
          </w:p>
        </w:tc>
      </w:tr>
      <w:tr>
        <w:trPr>
          <w:cantSplit w:val="true"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XML_Compare_Utilities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Copy suite; use in categorized reconciliation, sideload mutation and topology workspace exports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Copied schemas must match authority hashes</w:t>
            </w:r>
          </w:p>
        </w:tc>
      </w:tr>
      <w:tr>
        <w:trPr>
          <w:cantSplit w:val="true"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3DV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Copy suite; validate InputXML round-trip/viewer exports before handoff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Viewer may inspect extensions but cannot waive blockers</w:t>
            </w:r>
          </w:p>
        </w:tc>
      </w:tr>
    </w:tbl>
    <w:p>
      <w:pPr>
        <w:spacing w:after="20"/>
      </w:pPr>
    </w:p>
    <w:p>
      <w:pPr>
        <w:pStyle w:val="Heading2"/>
      </w:pPr>
      <w:r>
        <w:t>11.1 Registry field</w:t>
      </w:r>
    </w:p>
    <w:p>
      <w:pPr>
        <w:pStyle w:val="CodeBlock"/>
        <w:keepNext w:val="0"/>
        <w:keepLines w:val="0"/>
        <w:shd w:fill="F3F6F9"/>
        <w:pBdr>
          <w:top w:val="single" w:sz="4" w:color="CCD6E0"/>
          <w:left w:val="single" w:sz="4" w:color="CCD6E0"/>
          <w:bottom w:val="single" w:sz="4" w:color="CCD6E0"/>
          <w:right w:val="single" w:sz="4" w:color="CCD6E0"/>
        </w:pBdr>
      </w:pPr>
      <w:r>
        <w:rPr>
          <w:rFonts w:ascii="Cascadia Mono" w:hAnsi="Cascadia Mono"/>
          <w:b w:val="0"/>
          <w:color w:val="203040"/>
          <w:sz w:val="16"/>
        </w:rPr>
        <w:t>defaults: {</w:t>
        <w:br/>
        <w:t xml:space="preserve">  compatibilityMode: false,</w:t>
        <w:br/>
        <w:t xml:space="preserve">  inputXmlCompatibilityPolicyId: "InputXmlCompatibilityPolicy.v1"</w:t>
        <w:br/>
        <w:t>},</w:t>
        <w:br/>
        <w:t>fields: [</w:t>
        <w:br/>
        <w:t xml:space="preserve">  { key: "compatibilityMode", label: "Compatibility mode", type: "checkbox" },</w:t>
        <w:br/>
        <w:t xml:space="preserve">  ...existingFields</w:t>
        <w:br/>
        <w:t>]</w:t>
      </w:r>
    </w:p>
    <w:p>
      <w:pPr>
        <w:pStyle w:val="Heading1"/>
      </w:pPr>
      <w:r>
        <w:t>12. Implementation phases and minimum 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180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3"/>
              </w:rPr>
              <w:t>Phase</w:t>
            </w:r>
          </w:p>
        </w:tc>
        <w:tc>
          <w:tcPr>
            <w:tcW w:type="dxa" w:w="30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3"/>
              </w:rPr>
              <w:t>Scope</w:t>
            </w:r>
          </w:p>
        </w:tc>
        <w:tc>
          <w:tcPr>
            <w:tcW w:type="dxa" w:w="388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3"/>
              </w:rPr>
              <w:t>Minimum tests</w:t>
            </w:r>
          </w:p>
        </w:tc>
        <w:tc>
          <w:tcPr>
            <w:tcW w:type="dxa" w:w="180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3"/>
              </w:rPr>
              <w:t>Exit gate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Phase 0 - Inventory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Freeze producer/dialect inventory and current outputs.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Golden sample per producer/dialect; identify duplicate implementations and current loss.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No production change.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Phase 1 - Schema copy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Vendor complete suite into XML_Compare_Utilities and 3DV with provenance.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Byte/hash equality; import resolution; golden XSD/Schematron tests.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Schema drift CI enabled.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Phase 2 - Dialect detector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Implement registry-driven exact profile detection.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Positive/negative/ambiguous samples for every registry entry.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No priority fallback.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Phase 3 - Structural adapters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Build immutable source models and normalization plans.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Alias conflict, namespace, fragment, categorized, custom Root, managed-stage and PDF fixtures.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No regex-only production normalization.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Phase 4 - Resolvers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Line, units, sentinel, node references, restraint slots, counts and extensions.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Carry-forward branch tests, &gt;6 restraints, duplicate nodes, count mismatches, unsupported evidence.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No data deletion.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Phase 5 - Canonical serializer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Emit exact canonical model using shared node plan.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XSD positive/negative, ordering, ID stability, deterministic output.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Canonical serializer side effects = 0.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Phase 6 - Semantic/parity gate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Run Schematron, topology parity and node-number parity.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Branch/junction/support/bend/rigid/SIF/hanger/nozzle ownership tests.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100% reference coverage.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Phase 7 - Downstream proof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Convert exact selected XML to CII and independently reparse.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Structure plus engineering-value assertions; selected hash equality.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No pre-validation/output substitution.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Phase 8 - Shadow/enforce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Compare compatibility and legacy paths, approve differences, enforce.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Benchmarks across all producers; rollback and schema-sync rehearsal.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3"/>
              </w:rPr>
              <w:t>Production selection requires PASS.</w:t>
            </w:r>
          </w:p>
        </w:tc>
      </w:tr>
    </w:tbl>
    <w:p>
      <w:pPr>
        <w:spacing w:after="20"/>
      </w:pPr>
    </w:p>
    <w:p>
      <w:pPr>
        <w:pStyle w:val="Heading1"/>
      </w:pPr>
      <w:r>
        <w:t>Repository evidence baseline</w:t>
      </w:r>
    </w:p>
    <w:p>
      <w:r>
        <w:t>The concept was framed against the following current default-branch baselines. File paths are evidence references, not ownership assignments.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59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Repository / commit</w:t>
            </w:r>
          </w:p>
        </w:tc>
        <w:tc>
          <w:tcPr>
            <w:tcW w:type="dxa" w:w="388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Evidence path</w:t>
            </w:r>
          </w:p>
        </w:tc>
        <w:tc>
          <w:tcPr>
            <w:tcW w:type="dxa" w:w="388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Confirmed behaviour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3D_Converters de694e4a7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contracts/inputxml/v1/inputxml-canonical-v1.xsd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Strict COADE root and canonical engineering contract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3D_Converters de694e4a7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contracts/inputxml/v1/inputxml-extension-v1.xsd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Evidence preservation and blocking dispositions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3D_Converters de694e4a7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contracts/inputxml/v1/inputxml-dialect-registry.json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Dialect IDs, signals, adapters and canonical acceptance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3D_Converters de694e4a7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converters/inputxml-field-adapter.js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Current text alias mapping and restraint-slot normalization/drop behaviour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3D_Converters de694e4a7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converters/scripts/stagedjson_to_inputxml.py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Managed-stage to CAESAR InputXML producer and inference policies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3D_Converters de694e4a7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tabs/model-converters/converter-registry.js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Current producers, options and compatibility-style flags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XML_Compare_Utilities 8c22337f6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xml-compare/CategorizedInputXmlConverter.js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Categorized review/reconciliation path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XML_Compare_Utilities 8c22337f6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converters/inputxml-managed-stage/*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InputXML to managed-stage round-trip source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3DV cfd604cb6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converters/inputxml-managed-stage/*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Viewer-side managed-stage and UXML sidecar path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3DV cfd604cb6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converters/scripts/pdf_to_inputxml*.py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Copied/parallel InputXML producer implementations</w:t>
            </w:r>
          </w:p>
        </w:tc>
      </w:tr>
    </w:tbl>
    <w:p>
      <w:pPr>
        <w:spacing w:after="20"/>
      </w:pPr>
    </w:p>
    <w:p>
      <w:pPr>
        <w:pStyle w:val="Heading1"/>
      </w:pPr>
      <w:r>
        <w:t>14. Open decisions and approval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30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468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Recommended position</w:t>
            </w:r>
          </w:p>
        </w:tc>
        <w:tc>
          <w:tcPr>
            <w:tcW w:type="dxa" w:w="223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Approval evidence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Schema-suite authority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3D_Converters remains authority; copies are immutable sync artifacts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Repository-owner approval and CI hashes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Overflow restraints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 by default; no silent drop. Approve semantic distribution only with engineering proof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Dedicated ADR and golden CII result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Extension handling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Preserve evidence; critical unsupported records continue to block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Schematron rules and downstream proof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Legacy field adapter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Characterize then remove from enforced path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Parity report across existing benchmarks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Compatibility default state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False in characterization/shadow; true only after release gate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Programme release decision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Canonical node numbering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Use shared EngineeringNodePlan.v1 across InputXML and PSI XML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Cross-format parity benchmark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t>Approve the complete schema-suite copy and synchronization model.</w:t>
      </w:r>
    </w:p>
    <w:p>
      <w:pPr>
        <w:pStyle w:val="ListBullet"/>
        <w:spacing w:after="50"/>
      </w:pPr>
      <w:r>
        <w:t>Approve Compatibility mode as a strict gate for producers, mutators and consumers.</w:t>
      </w:r>
    </w:p>
    <w:p>
      <w:pPr>
        <w:pStyle w:val="ListBullet"/>
        <w:spacing w:after="50"/>
      </w:pPr>
      <w:r>
        <w:t>Approve structural normalization and prohibit regex-only production authority.</w:t>
      </w:r>
    </w:p>
    <w:p>
      <w:pPr>
        <w:pStyle w:val="ListBullet"/>
        <w:spacing w:after="50"/>
      </w:pPr>
      <w:r>
        <w:t>Approve no-silent-loss handling for restraint overflow and unsupported evidence.</w:t>
      </w:r>
    </w:p>
    <w:p>
      <w:pPr>
        <w:pStyle w:val="ListBullet"/>
        <w:spacing w:after="50"/>
      </w:pPr>
      <w:r>
        <w:t>Approve XSD + Schematron + topology parity + downstream proof as the production acceptance chain.</w:t>
      </w:r>
    </w:p>
    <w:p>
      <w:pPr>
        <w:pStyle w:val="ListBullet"/>
        <w:spacing w:after="50"/>
      </w:pPr>
      <w:r>
        <w:t>Approve the phased implementation and minimum test requirements.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666666"/>
        <w:sz w:val="16"/>
      </w:rPr>
    </w:r>
    <w:r>
      <w:rPr>
        <w:rFonts w:ascii="Aptos" w:hAnsi="Aptos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F4E78"/>
      </w:pBdr>
    </w:pPr>
    <w:r/>
    <w:r>
      <w:rPr>
        <w:rFonts w:ascii="Aptos" w:hAnsi="Aptos"/>
        <w:b/>
        <w:color w:val="1F4E78"/>
        <w:sz w:val="16"/>
      </w:rPr>
      <w:t>InputXML Compatibility Adapter and Resolver Gate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30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 Display" w:hAnsi="Aptos Display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9" w:right="115"/>
    </w:pPr>
    <w:rPr>
      <w:rFonts w:ascii="Cascadia Mono" w:hAnsi="Cascadia Mono"/>
      <w:sz w:val="16"/>
    </w:rPr>
  </w:style>
  <w:style w:type="paragraph" w:customStyle="1" w:styleId="SmallNote">
    <w:name w:val="Small Note"/>
    <w:pPr>
      <w:spacing w:after="60"/>
    </w:pPr>
    <w:rPr>
      <w:rFonts w:ascii="Aptos" w:hAnsi="Aptos"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