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Label"/>
        <w:jc w:val="center"/>
      </w:pPr>
      <w:r>
        <w:t>CONCEPT DOCUMENT</w:t>
      </w:r>
    </w:p>
    <w:p>
      <w:pPr>
        <w:pStyle w:val="Title"/>
        <w:spacing w:before="680" w:after="240"/>
        <w:jc w:val="center"/>
      </w:pPr>
      <w:r>
        <w:t>InputXML Upgrade</w:t>
      </w:r>
    </w:p>
    <w:p>
      <w:pPr>
        <w:spacing w:after="360"/>
        <w:jc w:val="center"/>
      </w:pPr>
      <w:r>
        <w:rPr>
          <w:rFonts w:ascii="Aptos" w:hAnsi="Aptos"/>
          <w:color w:val="444444"/>
          <w:sz w:val="26"/>
        </w:rPr>
        <w:t>Canonical engineering model, deterministic node identity, topology assurance, and CII(2019) projection</w:t>
      </w:r>
    </w:p>
    <w:tbl>
      <w:tblPr>
        <w:tblW w:type="auto" w:w="0"/>
        <w:jc w:val="center"/>
        <w:tblLook w:firstColumn="1" w:firstRow="1" w:lastColumn="0" w:lastRow="0" w:noHBand="0" w:noVBand="1" w:val="04A0"/>
      </w:tblPr>
      <w:tblGrid>
        <w:gridCol w:w="10166"/>
      </w:tblGrid>
      <w:tr>
        <w:trPr>
          <w:cantSplit w:val="true"/>
        </w:trPr>
        <w:tc>
          <w:tcPr>
            <w:tcW w:type="dxa" w:w="10166"/>
            <w:shd w:fill="FFF2CC"/>
            <w:tcMar>
              <w:top w:w="150" w:type="dxa"/>
              <w:start w:w="180" w:type="dxa"/>
              <w:bottom w:w="150" w:type="dxa"/>
              <w:end w:w="180" w:type="dxa"/>
            </w:tcMar>
          </w:tcPr>
          <w:p>
            <w:pPr>
              <w:spacing w:after="80"/>
            </w:pPr>
            <w:r>
              <w:rPr>
                <w:rFonts w:ascii="Aptos" w:hAnsi="Aptos"/>
                <w:b/>
                <w:color w:val="7F6000"/>
                <w:sz w:val="21"/>
              </w:rPr>
              <w:t>Scope boundary</w:t>
            </w:r>
          </w:p>
          <w:p>
            <w:pPr>
              <w:spacing w:after="0"/>
            </w:pPr>
            <w:r>
              <w:rPr>
                <w:rFonts w:ascii="Aptos" w:hAnsi="Aptos"/>
                <w:sz w:val="20"/>
              </w:rPr>
              <w:t>This document governs the InputXML upgrade only. Generic source-XML intake, XML dialect modernization, XML schema redesign, XML categorization, and XML-to-table UX are separate plans and are not part of this concept.</w:t>
            </w:r>
          </w:p>
        </w:tc>
      </w:tr>
    </w:tbl>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376"/>
            <w:shd w:fill="D9E2F3"/>
            <w:tcMar>
              <w:top w:w="90" w:type="dxa"/>
              <w:start w:w="90" w:type="dxa"/>
              <w:bottom w:w="90" w:type="dxa"/>
              <w:end w:w="90" w:type="dxa"/>
            </w:tcMar>
            <w:vAlign w:val="center"/>
          </w:tcPr>
          <w:p>
            <w:pPr>
              <w:jc w:val="left"/>
            </w:pPr>
            <w:r>
              <w:rPr>
                <w:rFonts w:ascii="Aptos" w:hAnsi="Aptos"/>
                <w:b/>
                <w:color w:val="1F3757"/>
                <w:sz w:val="19"/>
              </w:rPr>
              <w:t>Field</w:t>
            </w:r>
          </w:p>
        </w:tc>
        <w:tc>
          <w:tcPr>
            <w:tcW w:type="dxa" w:w="7704"/>
            <w:shd w:fill="D9E2F3"/>
            <w:tcMar>
              <w:top w:w="90" w:type="dxa"/>
              <w:start w:w="90" w:type="dxa"/>
              <w:bottom w:w="90" w:type="dxa"/>
              <w:end w:w="90" w:type="dxa"/>
            </w:tcMar>
            <w:vAlign w:val="center"/>
          </w:tcPr>
          <w:p>
            <w:pPr>
              <w:jc w:val="left"/>
            </w:pPr>
            <w:r>
              <w:rPr>
                <w:rFonts w:ascii="Aptos" w:hAnsi="Aptos"/>
                <w:b/>
                <w:color w:val="1F3757"/>
                <w:sz w:val="19"/>
              </w:rPr>
              <w:t>Value</w:t>
            </w:r>
          </w:p>
        </w:tc>
      </w:tr>
      <w:tr>
        <w:trPr>
          <w:cantSplit w:val="true"/>
        </w:trPr>
        <w:tc>
          <w:tcPr>
            <w:tcW w:type="dxa" w:w="2376"/>
            <w:tcMar>
              <w:top w:w="80" w:type="dxa"/>
              <w:start w:w="90" w:type="dxa"/>
              <w:bottom w:w="80" w:type="dxa"/>
              <w:end w:w="90" w:type="dxa"/>
            </w:tcMar>
            <w:vAlign w:val="top"/>
          </w:tcPr>
          <w:p>
            <w:pPr>
              <w:spacing w:after="0"/>
            </w:pPr>
            <w:r>
              <w:rPr>
                <w:rFonts w:ascii="Aptos" w:hAnsi="Aptos"/>
                <w:sz w:val="19"/>
              </w:rPr>
              <w:t>Repository</w:t>
            </w:r>
          </w:p>
        </w:tc>
        <w:tc>
          <w:tcPr>
            <w:tcW w:type="dxa" w:w="7704"/>
            <w:tcMar>
              <w:top w:w="80" w:type="dxa"/>
              <w:start w:w="90" w:type="dxa"/>
              <w:bottom w:w="80" w:type="dxa"/>
              <w:end w:w="90" w:type="dxa"/>
            </w:tcMar>
            <w:vAlign w:val="top"/>
          </w:tcPr>
          <w:p>
            <w:pPr>
              <w:spacing w:after="0"/>
            </w:pPr>
            <w:r>
              <w:rPr>
                <w:rFonts w:ascii="Aptos" w:hAnsi="Aptos"/>
                <w:sz w:val="19"/>
              </w:rPr>
              <w:t>reallaksh19/3D_Converters</w:t>
            </w:r>
          </w:p>
        </w:tc>
      </w:tr>
      <w:tr>
        <w:trPr>
          <w:cantSplit w:val="true"/>
        </w:trPr>
        <w:tc>
          <w:tcPr>
            <w:tcW w:type="dxa" w:w="2376"/>
            <w:tcMar>
              <w:top w:w="80" w:type="dxa"/>
              <w:start w:w="90" w:type="dxa"/>
              <w:bottom w:w="80" w:type="dxa"/>
              <w:end w:w="90" w:type="dxa"/>
            </w:tcMar>
            <w:vAlign w:val="top"/>
          </w:tcPr>
          <w:p>
            <w:pPr>
              <w:spacing w:after="0"/>
            </w:pPr>
            <w:r>
              <w:rPr>
                <w:rFonts w:ascii="Aptos" w:hAnsi="Aptos"/>
                <w:sz w:val="19"/>
              </w:rPr>
              <w:t>Baseline</w:t>
            </w:r>
          </w:p>
        </w:tc>
        <w:tc>
          <w:tcPr>
            <w:tcW w:type="dxa" w:w="7704"/>
            <w:tcMar>
              <w:top w:w="80" w:type="dxa"/>
              <w:start w:w="90" w:type="dxa"/>
              <w:bottom w:w="80" w:type="dxa"/>
              <w:end w:w="90" w:type="dxa"/>
            </w:tcMar>
            <w:vAlign w:val="top"/>
          </w:tcPr>
          <w:p>
            <w:pPr>
              <w:spacing w:after="0"/>
            </w:pPr>
            <w:r>
              <w:rPr>
                <w:rFonts w:ascii="Aptos" w:hAnsi="Aptos"/>
                <w:sz w:val="19"/>
              </w:rPr>
              <w:t>main after PR #201; merge SHA e1c25d4850b683433751761f3484943e6e2f7462</w:t>
            </w:r>
          </w:p>
        </w:tc>
      </w:tr>
      <w:tr>
        <w:trPr>
          <w:cantSplit w:val="true"/>
        </w:trPr>
        <w:tc>
          <w:tcPr>
            <w:tcW w:type="dxa" w:w="2376"/>
            <w:tcMar>
              <w:top w:w="80" w:type="dxa"/>
              <w:start w:w="90" w:type="dxa"/>
              <w:bottom w:w="80" w:type="dxa"/>
              <w:end w:w="90" w:type="dxa"/>
            </w:tcMar>
            <w:vAlign w:val="top"/>
          </w:tcPr>
          <w:p>
            <w:pPr>
              <w:spacing w:after="0"/>
            </w:pPr>
            <w:r>
              <w:rPr>
                <w:rFonts w:ascii="Aptos" w:hAnsi="Aptos"/>
                <w:sz w:val="19"/>
              </w:rPr>
              <w:t>Document status</w:t>
            </w:r>
          </w:p>
        </w:tc>
        <w:tc>
          <w:tcPr>
            <w:tcW w:type="dxa" w:w="7704"/>
            <w:tcMar>
              <w:top w:w="80" w:type="dxa"/>
              <w:start w:w="90" w:type="dxa"/>
              <w:bottom w:w="80" w:type="dxa"/>
              <w:end w:w="90" w:type="dxa"/>
            </w:tcMar>
            <w:vAlign w:val="top"/>
          </w:tcPr>
          <w:p>
            <w:pPr>
              <w:spacing w:after="0"/>
            </w:pPr>
            <w:r>
              <w:rPr>
                <w:rFonts w:ascii="Aptos" w:hAnsi="Aptos"/>
                <w:sz w:val="19"/>
              </w:rPr>
              <w:t>Concept - architectural direction and implementation boundaries</w:t>
            </w:r>
          </w:p>
        </w:tc>
      </w:tr>
      <w:tr>
        <w:trPr>
          <w:cantSplit w:val="true"/>
        </w:trPr>
        <w:tc>
          <w:tcPr>
            <w:tcW w:type="dxa" w:w="2376"/>
            <w:tcMar>
              <w:top w:w="80" w:type="dxa"/>
              <w:start w:w="90" w:type="dxa"/>
              <w:bottom w:w="80" w:type="dxa"/>
              <w:end w:w="90" w:type="dxa"/>
            </w:tcMar>
            <w:vAlign w:val="top"/>
          </w:tcPr>
          <w:p>
            <w:pPr>
              <w:spacing w:after="0"/>
            </w:pPr>
            <w:r>
              <w:rPr>
                <w:rFonts w:ascii="Aptos" w:hAnsi="Aptos"/>
                <w:sz w:val="19"/>
              </w:rPr>
              <w:t>Primary downstream target</w:t>
            </w:r>
          </w:p>
        </w:tc>
        <w:tc>
          <w:tcPr>
            <w:tcW w:type="dxa" w:w="7704"/>
            <w:tcMar>
              <w:top w:w="80" w:type="dxa"/>
              <w:start w:w="90" w:type="dxa"/>
              <w:bottom w:w="80" w:type="dxa"/>
              <w:end w:w="90" w:type="dxa"/>
            </w:tcMar>
            <w:vAlign w:val="top"/>
          </w:tcPr>
          <w:p>
            <w:pPr>
              <w:spacing w:after="0"/>
            </w:pPr>
            <w:r>
              <w:rPr>
                <w:rFonts w:ascii="Aptos" w:hAnsi="Aptos"/>
                <w:sz w:val="19"/>
              </w:rPr>
              <w:t>CAESAR II Neutral File / CII(2019)</w:t>
            </w:r>
          </w:p>
        </w:tc>
      </w:tr>
      <w:tr>
        <w:trPr>
          <w:cantSplit w:val="true"/>
        </w:trPr>
        <w:tc>
          <w:tcPr>
            <w:tcW w:type="dxa" w:w="2376"/>
            <w:tcMar>
              <w:top w:w="80" w:type="dxa"/>
              <w:start w:w="90" w:type="dxa"/>
              <w:bottom w:w="80" w:type="dxa"/>
              <w:end w:w="90" w:type="dxa"/>
            </w:tcMar>
            <w:vAlign w:val="top"/>
          </w:tcPr>
          <w:p>
            <w:pPr>
              <w:spacing w:after="0"/>
            </w:pPr>
            <w:r>
              <w:rPr>
                <w:rFonts w:ascii="Aptos" w:hAnsi="Aptos"/>
                <w:sz w:val="19"/>
              </w:rPr>
              <w:t>Date</w:t>
            </w:r>
          </w:p>
        </w:tc>
        <w:tc>
          <w:tcPr>
            <w:tcW w:type="dxa" w:w="7704"/>
            <w:tcMar>
              <w:top w:w="80" w:type="dxa"/>
              <w:start w:w="90" w:type="dxa"/>
              <w:bottom w:w="80" w:type="dxa"/>
              <w:end w:w="90" w:type="dxa"/>
            </w:tcMar>
            <w:vAlign w:val="top"/>
          </w:tcPr>
          <w:p>
            <w:pPr>
              <w:spacing w:after="0"/>
            </w:pPr>
            <w:r>
              <w:rPr>
                <w:rFonts w:ascii="Aptos" w:hAnsi="Aptos"/>
                <w:sz w:val="19"/>
              </w:rPr>
              <w:t>19 July 2026</w:t>
            </w:r>
          </w:p>
        </w:tc>
      </w:tr>
    </w:tbl>
    <w:p>
      <w:pPr>
        <w:spacing w:after="0"/>
      </w:pPr>
    </w:p>
    <w:p/>
    <w:p>
      <w:pPr>
        <w:jc w:val="center"/>
      </w:pPr>
      <w:r>
        <w:rPr>
          <w:rFonts w:ascii="Aptos" w:hAnsi="Aptos"/>
          <w:b/>
          <w:color w:val="1F3757"/>
          <w:sz w:val="22"/>
        </w:rPr>
        <w:t>Authoritative concept: InputXML is the governed engineering interchange contract between approved source evidence and assured CII(2019) generation.</w:t>
      </w:r>
    </w:p>
    <w:p>
      <w:r>
        <w:br w:type="page"/>
      </w:r>
    </w:p>
    <w:p>
      <w:pPr>
        <w:pStyle w:val="Heading1"/>
        <w:keepNext/>
      </w:pPr>
      <w:r>
        <w:t>1. Purpose and executive concept</w:t>
      </w:r>
    </w:p>
    <w:p>
      <w:pPr>
        <w:spacing w:after="120" w:line="259" w:lineRule="auto"/>
      </w:pPr>
      <w:r>
        <w:rPr>
          <w:rFonts w:ascii="Aptos" w:hAnsi="Aptos"/>
          <w:sz w:val="21"/>
        </w:rPr>
        <w:t>The InputXML upgrade establishes one authoritative, auditable and deterministic engineering contract between upstream source evidence and downstream CII(2019) generation. The upgrade is not a cosmetic XML rewrite and is not a permissive schema exercise. It creates a controlled engineering model in which topology, component identity, node identity, support/restraint evidence, coordinate provenance, field lineage and projection decisions are explicit and testable.</w:t>
      </w:r>
    </w:p>
    <w:p>
      <w:pPr>
        <w:spacing w:after="120" w:line="259" w:lineRule="auto"/>
      </w:pPr>
      <w:r>
        <w:rPr>
          <w:rFonts w:ascii="Aptos" w:hAnsi="Aptos"/>
          <w:sz w:val="21"/>
        </w:rPr>
        <w:t>The target operating model is topology-first and assurance-first. A source dialect may enter through a dedicated adapter, but only canonical InputXML is allowed to cross the production boundary. Every accepted canonical file must be structurally valid, semantically complete, topology-consistent, traceable to source evidence and proven capable of producing a valid CII(2019) projection without silent data loss.</w:t>
      </w:r>
    </w:p>
    <w:tbl>
      <w:tblPr>
        <w:tblW w:type="auto" w:w="0"/>
        <w:jc w:val="center"/>
        <w:tblLook w:firstColumn="1" w:firstRow="1" w:lastColumn="0" w:lastRow="0" w:noHBand="0" w:noVBand="1" w:val="04A0"/>
      </w:tblPr>
      <w:tblGrid>
        <w:gridCol w:w="10166"/>
      </w:tblGrid>
      <w:tr>
        <w:trPr>
          <w:cantSplit w:val="true"/>
        </w:trPr>
        <w:tc>
          <w:tcPr>
            <w:tcW w:type="dxa" w:w="10166"/>
            <w:shd w:fill="EAF2F8"/>
            <w:tcMar>
              <w:top w:w="150" w:type="dxa"/>
              <w:start w:w="180" w:type="dxa"/>
              <w:bottom w:w="150" w:type="dxa"/>
              <w:end w:w="180" w:type="dxa"/>
            </w:tcMar>
          </w:tcPr>
          <w:p>
            <w:pPr>
              <w:spacing w:after="80"/>
            </w:pPr>
            <w:r>
              <w:rPr>
                <w:rFonts w:ascii="Aptos" w:hAnsi="Aptos"/>
                <w:b/>
                <w:color w:val="2F5597"/>
                <w:sz w:val="21"/>
              </w:rPr>
              <w:t>Core concept</w:t>
            </w:r>
          </w:p>
          <w:p>
            <w:pPr>
              <w:spacing w:after="0"/>
            </w:pPr>
            <w:r>
              <w:rPr>
                <w:rFonts w:ascii="Aptos" w:hAnsi="Aptos"/>
                <w:sz w:val="20"/>
              </w:rPr>
              <w:t>InputXML becomes a governed engineering product, not merely an intermediate XML file. Its validity is established by a chain of contracts and evidence, not by XSD acceptance alone.</w:t>
            </w:r>
          </w:p>
        </w:tc>
      </w:tr>
    </w:tbl>
    <w:p>
      <w:pPr>
        <w:pStyle w:val="Heading2"/>
        <w:keepNext/>
      </w:pPr>
      <w:r>
        <w:t>1.1 Concept at a glance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448"/>
            <w:shd w:fill="D9E2F3"/>
            <w:tcMar>
              <w:top w:w="90" w:type="dxa"/>
              <w:start w:w="90" w:type="dxa"/>
              <w:bottom w:w="90" w:type="dxa"/>
              <w:end w:w="90" w:type="dxa"/>
            </w:tcMar>
            <w:vAlign w:val="center"/>
          </w:tcPr>
          <w:p>
            <w:pPr>
              <w:jc w:val="left"/>
            </w:pPr>
            <w:r>
              <w:rPr>
                <w:rFonts w:ascii="Aptos" w:hAnsi="Aptos"/>
                <w:b/>
                <w:color w:val="1F3757"/>
                <w:sz w:val="18"/>
              </w:rPr>
              <w:t>Capability</w:t>
            </w:r>
          </w:p>
        </w:tc>
        <w:tc>
          <w:tcPr>
            <w:tcW w:type="dxa" w:w="7632"/>
            <w:shd w:fill="D9E2F3"/>
            <w:tcMar>
              <w:top w:w="90" w:type="dxa"/>
              <w:start w:w="90" w:type="dxa"/>
              <w:bottom w:w="90" w:type="dxa"/>
              <w:end w:w="90" w:type="dxa"/>
            </w:tcMar>
            <w:vAlign w:val="center"/>
          </w:tcPr>
          <w:p>
            <w:pPr>
              <w:jc w:val="left"/>
            </w:pPr>
            <w:r>
              <w:rPr>
                <w:rFonts w:ascii="Aptos" w:hAnsi="Aptos"/>
                <w:b/>
                <w:color w:val="1F3757"/>
                <w:sz w:val="18"/>
              </w:rPr>
              <w:t>Conceptual outcome</w:t>
            </w:r>
          </w:p>
        </w:tc>
      </w:tr>
      <w:tr>
        <w:trPr>
          <w:cantSplit w:val="true"/>
        </w:trPr>
        <w:tc>
          <w:tcPr>
            <w:tcW w:type="dxa" w:w="2448"/>
            <w:tcMar>
              <w:top w:w="80" w:type="dxa"/>
              <w:start w:w="90" w:type="dxa"/>
              <w:bottom w:w="80" w:type="dxa"/>
              <w:end w:w="90" w:type="dxa"/>
            </w:tcMar>
            <w:vAlign w:val="top"/>
          </w:tcPr>
          <w:p>
            <w:pPr>
              <w:spacing w:after="0"/>
            </w:pPr>
            <w:r>
              <w:rPr>
                <w:rFonts w:ascii="Aptos" w:hAnsi="Aptos"/>
                <w:sz w:val="18"/>
              </w:rPr>
              <w:t>Canonical contract</w:t>
            </w:r>
          </w:p>
        </w:tc>
        <w:tc>
          <w:tcPr>
            <w:tcW w:type="dxa" w:w="7632"/>
            <w:tcMar>
              <w:top w:w="80" w:type="dxa"/>
              <w:start w:w="90" w:type="dxa"/>
              <w:bottom w:w="80" w:type="dxa"/>
              <w:end w:w="90" w:type="dxa"/>
            </w:tcMar>
            <w:vAlign w:val="top"/>
          </w:tcPr>
          <w:p>
            <w:pPr>
              <w:spacing w:after="0"/>
            </w:pPr>
            <w:r>
              <w:rPr>
                <w:rFonts w:ascii="Aptos" w:hAnsi="Aptos"/>
                <w:sz w:val="18"/>
              </w:rPr>
              <w:t>One strict InputXML v1 contract with separate intake adapters for supported source dialects.</w:t>
            </w:r>
          </w:p>
        </w:tc>
      </w:tr>
      <w:tr>
        <w:trPr>
          <w:cantSplit w:val="true"/>
        </w:trPr>
        <w:tc>
          <w:tcPr>
            <w:tcW w:type="dxa" w:w="2448"/>
            <w:tcMar>
              <w:top w:w="80" w:type="dxa"/>
              <w:start w:w="90" w:type="dxa"/>
              <w:bottom w:w="80" w:type="dxa"/>
              <w:end w:w="90" w:type="dxa"/>
            </w:tcMar>
            <w:vAlign w:val="top"/>
          </w:tcPr>
          <w:p>
            <w:pPr>
              <w:spacing w:after="0"/>
            </w:pPr>
            <w:r>
              <w:rPr>
                <w:rFonts w:ascii="Aptos" w:hAnsi="Aptos"/>
                <w:sz w:val="18"/>
              </w:rPr>
              <w:t>Topology authority</w:t>
            </w:r>
          </w:p>
        </w:tc>
        <w:tc>
          <w:tcPr>
            <w:tcW w:type="dxa" w:w="7632"/>
            <w:tcMar>
              <w:top w:w="80" w:type="dxa"/>
              <w:start w:w="90" w:type="dxa"/>
              <w:bottom w:w="80" w:type="dxa"/>
              <w:end w:w="90" w:type="dxa"/>
            </w:tcMar>
            <w:vAlign w:val="top"/>
          </w:tcPr>
          <w:p>
            <w:pPr>
              <w:spacing w:after="0"/>
            </w:pPr>
            <w:r>
              <w:rPr>
                <w:rFonts w:ascii="Aptos" w:hAnsi="Aptos"/>
                <w:sz w:val="18"/>
              </w:rPr>
              <w:t>Canonical nodes, edges, junctions, boundaries, supports and restraints are explicit and source-grounded.</w:t>
            </w:r>
          </w:p>
        </w:tc>
      </w:tr>
      <w:tr>
        <w:trPr>
          <w:cantSplit w:val="true"/>
        </w:trPr>
        <w:tc>
          <w:tcPr>
            <w:tcW w:type="dxa" w:w="2448"/>
            <w:tcMar>
              <w:top w:w="80" w:type="dxa"/>
              <w:start w:w="90" w:type="dxa"/>
              <w:bottom w:w="80" w:type="dxa"/>
              <w:end w:w="90" w:type="dxa"/>
            </w:tcMar>
            <w:vAlign w:val="top"/>
          </w:tcPr>
          <w:p>
            <w:pPr>
              <w:spacing w:after="0"/>
            </w:pPr>
            <w:r>
              <w:rPr>
                <w:rFonts w:ascii="Aptos" w:hAnsi="Aptos"/>
                <w:sz w:val="18"/>
              </w:rPr>
              <w:t>Deterministic node identity</w:t>
            </w:r>
          </w:p>
        </w:tc>
        <w:tc>
          <w:tcPr>
            <w:tcW w:type="dxa" w:w="7632"/>
            <w:tcMar>
              <w:top w:w="80" w:type="dxa"/>
              <w:start w:w="90" w:type="dxa"/>
              <w:bottom w:w="80" w:type="dxa"/>
              <w:end w:w="90" w:type="dxa"/>
            </w:tcMar>
            <w:vAlign w:val="top"/>
          </w:tcPr>
          <w:p>
            <w:pPr>
              <w:spacing w:after="0"/>
            </w:pPr>
            <w:r>
              <w:rPr>
                <w:rFonts w:ascii="Aptos" w:hAnsi="Aptos"/>
                <w:sz w:val="18"/>
              </w:rPr>
              <w:t>One immutable node plan controls emitted engineering node numbers across PSI XML, InputXML and CII.</w:t>
            </w:r>
          </w:p>
        </w:tc>
      </w:tr>
      <w:tr>
        <w:trPr>
          <w:cantSplit w:val="true"/>
        </w:trPr>
        <w:tc>
          <w:tcPr>
            <w:tcW w:type="dxa" w:w="2448"/>
            <w:tcMar>
              <w:top w:w="80" w:type="dxa"/>
              <w:start w:w="90" w:type="dxa"/>
              <w:bottom w:w="80" w:type="dxa"/>
              <w:end w:w="90" w:type="dxa"/>
            </w:tcMar>
            <w:vAlign w:val="top"/>
          </w:tcPr>
          <w:p>
            <w:pPr>
              <w:spacing w:after="0"/>
            </w:pPr>
            <w:r>
              <w:rPr>
                <w:rFonts w:ascii="Aptos" w:hAnsi="Aptos"/>
                <w:sz w:val="18"/>
              </w:rPr>
              <w:t>Traceability</w:t>
            </w:r>
          </w:p>
        </w:tc>
        <w:tc>
          <w:tcPr>
            <w:tcW w:type="dxa" w:w="7632"/>
            <w:tcMar>
              <w:top w:w="80" w:type="dxa"/>
              <w:start w:w="90" w:type="dxa"/>
              <w:bottom w:w="80" w:type="dxa"/>
              <w:end w:w="90" w:type="dxa"/>
            </w:tcMar>
            <w:vAlign w:val="top"/>
          </w:tcPr>
          <w:p>
            <w:pPr>
              <w:spacing w:after="0"/>
            </w:pPr>
            <w:r>
              <w:rPr>
                <w:rFonts w:ascii="Aptos" w:hAnsi="Aptos"/>
                <w:sz w:val="18"/>
              </w:rPr>
              <w:t>Every projected field and topology decision retains source IDs, paths, references and transformation evidence.</w:t>
            </w:r>
          </w:p>
        </w:tc>
      </w:tr>
      <w:tr>
        <w:trPr>
          <w:cantSplit w:val="true"/>
        </w:trPr>
        <w:tc>
          <w:tcPr>
            <w:tcW w:type="dxa" w:w="2448"/>
            <w:tcMar>
              <w:top w:w="80" w:type="dxa"/>
              <w:start w:w="90" w:type="dxa"/>
              <w:bottom w:w="80" w:type="dxa"/>
              <w:end w:w="90" w:type="dxa"/>
            </w:tcMar>
            <w:vAlign w:val="top"/>
          </w:tcPr>
          <w:p>
            <w:pPr>
              <w:spacing w:after="0"/>
            </w:pPr>
            <w:r>
              <w:rPr>
                <w:rFonts w:ascii="Aptos" w:hAnsi="Aptos"/>
                <w:sz w:val="18"/>
              </w:rPr>
              <w:t>Assurance</w:t>
            </w:r>
          </w:p>
        </w:tc>
        <w:tc>
          <w:tcPr>
            <w:tcW w:type="dxa" w:w="7632"/>
            <w:tcMar>
              <w:top w:w="80" w:type="dxa"/>
              <w:start w:w="90" w:type="dxa"/>
              <w:bottom w:w="80" w:type="dxa"/>
              <w:end w:w="90" w:type="dxa"/>
            </w:tcMar>
            <w:vAlign w:val="top"/>
          </w:tcPr>
          <w:p>
            <w:pPr>
              <w:spacing w:after="0"/>
            </w:pPr>
            <w:r>
              <w:rPr>
                <w:rFonts w:ascii="Aptos" w:hAnsi="Aptos"/>
                <w:sz w:val="18"/>
              </w:rPr>
              <w:t>Pre-writer and post-writer ledgers fail closed on stale hashes, parity failures, omissions and unresolved ambiguity.</w:t>
            </w:r>
          </w:p>
        </w:tc>
      </w:tr>
      <w:tr>
        <w:trPr>
          <w:cantSplit w:val="true"/>
        </w:trPr>
        <w:tc>
          <w:tcPr>
            <w:tcW w:type="dxa" w:w="2448"/>
            <w:tcMar>
              <w:top w:w="80" w:type="dxa"/>
              <w:start w:w="90" w:type="dxa"/>
              <w:bottom w:w="80" w:type="dxa"/>
              <w:end w:w="90" w:type="dxa"/>
            </w:tcMar>
            <w:vAlign w:val="top"/>
          </w:tcPr>
          <w:p>
            <w:pPr>
              <w:spacing w:after="0"/>
            </w:pPr>
            <w:r>
              <w:rPr>
                <w:rFonts w:ascii="Aptos" w:hAnsi="Aptos"/>
                <w:sz w:val="18"/>
              </w:rPr>
              <w:t>CII proof</w:t>
            </w:r>
          </w:p>
        </w:tc>
        <w:tc>
          <w:tcPr>
            <w:tcW w:type="dxa" w:w="7632"/>
            <w:tcMar>
              <w:top w:w="80" w:type="dxa"/>
              <w:start w:w="90" w:type="dxa"/>
              <w:bottom w:w="80" w:type="dxa"/>
              <w:end w:w="90" w:type="dxa"/>
            </w:tcMar>
            <w:vAlign w:val="top"/>
          </w:tcPr>
          <w:p>
            <w:pPr>
              <w:spacing w:after="0"/>
            </w:pPr>
            <w:r>
              <w:rPr>
                <w:rFonts w:ascii="Aptos" w:hAnsi="Aptos"/>
                <w:sz w:val="18"/>
              </w:rPr>
              <w:t>The production projection is independently reparsed and checked for engineering equivalence.</w:t>
            </w:r>
          </w:p>
        </w:tc>
      </w:tr>
    </w:tbl>
    <w:p>
      <w:pPr>
        <w:spacing w:after="0"/>
      </w:pPr>
    </w:p>
    <w:p>
      <w:pPr>
        <w:pStyle w:val="Heading2"/>
        <w:keepNext/>
      </w:pPr>
      <w:r>
        <w:t>1.2 Governing proposition</w:t>
      </w:r>
    </w:p>
    <w:tbl>
      <w:tblPr>
        <w:tblW w:type="auto" w:w="0"/>
        <w:jc w:val="center"/>
        <w:tblLayout w:type="autofit"/>
        <w:tblLook w:firstColumn="1" w:firstRow="1" w:lastColumn="0" w:lastRow="0" w:noHBand="0" w:noVBand="1" w:val="04A0"/>
      </w:tblPr>
      <w:tblGrid>
        <w:gridCol w:w="10166"/>
      </w:tblGrid>
      <w:tr>
        <w:trPr>
          <w:cantSplit w:val="true"/>
        </w:trPr>
        <w:tc>
          <w:tcPr>
            <w:tcW w:type="dxa" w:w="10166"/>
            <w:shd w:fill="F4F6F8"/>
            <w:tcMar>
              <w:top w:w="120" w:type="dxa"/>
              <w:start w:w="140" w:type="dxa"/>
              <w:bottom w:w="120" w:type="dxa"/>
              <w:end w:w="140" w:type="dxa"/>
            </w:tcMar>
          </w:tcPr>
          <w:p>
            <w:pPr>
              <w:spacing w:after="0"/>
            </w:pPr>
            <w:r>
              <w:rPr>
                <w:rFonts w:ascii="Liberation Mono" w:hAnsi="Liberation Mono"/>
                <w:color w:val="282D32"/>
                <w:sz w:val="17"/>
              </w:rPr>
              <w:t>Approved source evidence</w:t>
            </w:r>
            <w:r>
              <w:br/>
            </w:r>
            <w:r>
              <w:rPr>
                <w:rFonts w:ascii="Liberation Mono" w:hAnsi="Liberation Mono"/>
                <w:color w:val="282D32"/>
                <w:sz w:val="17"/>
              </w:rPr>
              <w:t>-&gt; canonical source inventory</w:t>
            </w:r>
            <w:r>
              <w:br/>
            </w:r>
            <w:r>
              <w:rPr>
                <w:rFonts w:ascii="Liberation Mono" w:hAnsi="Liberation Mono"/>
                <w:color w:val="282D32"/>
                <w:sz w:val="17"/>
              </w:rPr>
              <w:t>-&gt; canonical engineering topology</w:t>
            </w:r>
            <w:r>
              <w:br/>
            </w:r>
            <w:r>
              <w:rPr>
                <w:rFonts w:ascii="Liberation Mono" w:hAnsi="Liberation Mono"/>
                <w:color w:val="282D32"/>
                <w:sz w:val="17"/>
              </w:rPr>
              <w:t>-&gt; deterministic node plan</w:t>
            </w:r>
            <w:r>
              <w:br/>
            </w:r>
            <w:r>
              <w:rPr>
                <w:rFonts w:ascii="Liberation Mono" w:hAnsi="Liberation Mono"/>
                <w:color w:val="282D32"/>
                <w:sz w:val="17"/>
              </w:rPr>
              <w:t>-&gt; canonical InputXML v1</w:t>
            </w:r>
            <w:r>
              <w:br/>
            </w:r>
            <w:r>
              <w:rPr>
                <w:rFonts w:ascii="Liberation Mono" w:hAnsi="Liberation Mono"/>
                <w:color w:val="282D32"/>
                <w:sz w:val="17"/>
              </w:rPr>
              <w:t>-&gt; InputXML assurance ledger</w:t>
            </w:r>
            <w:r>
              <w:br/>
            </w:r>
            <w:r>
              <w:rPr>
                <w:rFonts w:ascii="Liberation Mono" w:hAnsi="Liberation Mono"/>
                <w:color w:val="282D32"/>
                <w:sz w:val="17"/>
              </w:rPr>
              <w:t>-&gt; CII(2019) projection</w:t>
            </w:r>
            <w:r>
              <w:br/>
            </w:r>
            <w:r>
              <w:rPr>
                <w:rFonts w:ascii="Liberation Mono" w:hAnsi="Liberation Mono"/>
                <w:color w:val="282D32"/>
                <w:sz w:val="17"/>
              </w:rPr>
              <w:t>-&gt; independent CII reparse proof</w:t>
            </w:r>
          </w:p>
        </w:tc>
      </w:tr>
    </w:tbl>
    <w:p>
      <w:pPr>
        <w:spacing w:after="0"/>
      </w:pPr>
    </w:p>
    <w:p>
      <w:pPr>
        <w:pStyle w:val="Heading2"/>
        <w:keepNext/>
      </w:pPr>
      <w:r>
        <w:t>1.3 Explicit non-goals</w:t>
      </w:r>
    </w:p>
    <w:p>
      <w:pPr>
        <w:pStyle w:val="ListBullet"/>
        <w:spacing w:after="40"/>
      </w:pPr>
      <w:r>
        <w:rPr>
          <w:rFonts w:ascii="Aptos" w:hAnsi="Aptos"/>
          <w:sz w:val="21"/>
        </w:rPr>
        <w:t>Redesigning arbitrary vendor XML formats or creating a universal XML mega-schema.</w:t>
      </w:r>
    </w:p>
    <w:p>
      <w:pPr>
        <w:pStyle w:val="ListBullet"/>
        <w:spacing w:after="40"/>
      </w:pPr>
      <w:r>
        <w:rPr>
          <w:rFonts w:ascii="Aptos" w:hAnsi="Aptos"/>
          <w:sz w:val="21"/>
        </w:rPr>
        <w:t>Building a general XML compare, XML categorization, XML table, or XML transfer application.</w:t>
      </w:r>
    </w:p>
    <w:p>
      <w:pPr>
        <w:pStyle w:val="ListBullet"/>
        <w:spacing w:after="40"/>
      </w:pPr>
      <w:r>
        <w:rPr>
          <w:rFonts w:ascii="Aptos" w:hAnsi="Aptos"/>
          <w:sz w:val="21"/>
        </w:rPr>
        <w:t>Using InputXML as a storage substitute for all source-system content.</w:t>
      </w:r>
    </w:p>
    <w:p>
      <w:pPr>
        <w:pStyle w:val="ListBullet"/>
        <w:spacing w:after="40"/>
      </w:pPr>
      <w:r>
        <w:rPr>
          <w:rFonts w:ascii="Aptos" w:hAnsi="Aptos"/>
          <w:sz w:val="21"/>
        </w:rPr>
        <w:t>Allowing writers to infer topology or allocate node numbers independently.</w:t>
      </w:r>
    </w:p>
    <w:p>
      <w:pPr>
        <w:pStyle w:val="ListBullet"/>
        <w:spacing w:after="40"/>
      </w:pPr>
      <w:r>
        <w:rPr>
          <w:rFonts w:ascii="Aptos" w:hAnsi="Aptos"/>
          <w:sz w:val="21"/>
        </w:rPr>
        <w:t>Restoring dormant UI runtimes or adding unrelated 3D, solver or engineering-formula features.</w:t>
      </w:r>
    </w:p>
    <w:p>
      <w:pPr>
        <w:pStyle w:val="ListBullet"/>
        <w:spacing w:after="40"/>
      </w:pPr>
      <w:r>
        <w:rPr>
          <w:rFonts w:ascii="Aptos" w:hAnsi="Aptos"/>
          <w:sz w:val="21"/>
        </w:rPr>
        <w:t>Treating successful XML parsing or XSD validation as sufficient production assurance.</w:t>
      </w:r>
    </w:p>
    <w:p>
      <w:pPr>
        <w:pStyle w:val="Heading1"/>
        <w:keepNext/>
      </w:pPr>
      <w:r>
        <w:t>2. Separation from the XML Upgrade plan</w:t>
      </w:r>
    </w:p>
    <w:p>
      <w:pPr>
        <w:spacing w:after="120" w:line="259" w:lineRule="auto"/>
      </w:pPr>
      <w:r>
        <w:rPr>
          <w:rFonts w:ascii="Aptos" w:hAnsi="Aptos"/>
          <w:sz w:val="21"/>
        </w:rPr>
        <w:t>The XML Upgrade and the InputXML Upgrade are related only through a controlled handoff. They solve different problems and must not be combined into one delivery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944"/>
            <w:shd w:fill="D9E2F3"/>
            <w:tcMar>
              <w:top w:w="90" w:type="dxa"/>
              <w:start w:w="90" w:type="dxa"/>
              <w:bottom w:w="90" w:type="dxa"/>
              <w:end w:w="90" w:type="dxa"/>
            </w:tcMar>
            <w:vAlign w:val="center"/>
          </w:tcPr>
          <w:p>
            <w:pPr>
              <w:jc w:val="left"/>
            </w:pPr>
            <w:r>
              <w:rPr>
                <w:rFonts w:ascii="Aptos" w:hAnsi="Aptos"/>
                <w:b/>
                <w:color w:val="1F3757"/>
                <w:sz w:val="17"/>
              </w:rPr>
              <w:t>Dimension</w:t>
            </w:r>
          </w:p>
        </w:tc>
        <w:tc>
          <w:tcPr>
            <w:tcW w:type="dxa" w:w="4104"/>
            <w:shd w:fill="D9E2F3"/>
            <w:tcMar>
              <w:top w:w="90" w:type="dxa"/>
              <w:start w:w="90" w:type="dxa"/>
              <w:bottom w:w="90" w:type="dxa"/>
              <w:end w:w="90" w:type="dxa"/>
            </w:tcMar>
            <w:vAlign w:val="center"/>
          </w:tcPr>
          <w:p>
            <w:pPr>
              <w:jc w:val="left"/>
            </w:pPr>
            <w:r>
              <w:rPr>
                <w:rFonts w:ascii="Aptos" w:hAnsi="Aptos"/>
                <w:b/>
                <w:color w:val="1F3757"/>
                <w:sz w:val="17"/>
              </w:rPr>
              <w:t>XML Upgrade - separate plan</w:t>
            </w:r>
          </w:p>
        </w:tc>
        <w:tc>
          <w:tcPr>
            <w:tcW w:type="dxa" w:w="4104"/>
            <w:shd w:fill="D9E2F3"/>
            <w:tcMar>
              <w:top w:w="90" w:type="dxa"/>
              <w:start w:w="90" w:type="dxa"/>
              <w:bottom w:w="90" w:type="dxa"/>
              <w:end w:w="90" w:type="dxa"/>
            </w:tcMar>
            <w:vAlign w:val="center"/>
          </w:tcPr>
          <w:p>
            <w:pPr>
              <w:jc w:val="left"/>
            </w:pPr>
            <w:r>
              <w:rPr>
                <w:rFonts w:ascii="Aptos" w:hAnsi="Aptos"/>
                <w:b/>
                <w:color w:val="1F3757"/>
                <w:sz w:val="17"/>
              </w:rPr>
              <w:t>InputXML Upgrade - this concept</w:t>
            </w:r>
          </w:p>
        </w:tc>
      </w:tr>
      <w:tr>
        <w:trPr>
          <w:cantSplit w:val="true"/>
        </w:trPr>
        <w:tc>
          <w:tcPr>
            <w:tcW w:type="dxa" w:w="1944"/>
            <w:tcMar>
              <w:top w:w="80" w:type="dxa"/>
              <w:start w:w="90" w:type="dxa"/>
              <w:bottom w:w="80" w:type="dxa"/>
              <w:end w:w="90" w:type="dxa"/>
            </w:tcMar>
            <w:vAlign w:val="top"/>
          </w:tcPr>
          <w:p>
            <w:pPr>
              <w:spacing w:after="0"/>
            </w:pPr>
            <w:r>
              <w:rPr>
                <w:rFonts w:ascii="Aptos" w:hAnsi="Aptos"/>
                <w:sz w:val="17"/>
              </w:rPr>
              <w:t>Primary concern</w:t>
            </w:r>
          </w:p>
        </w:tc>
        <w:tc>
          <w:tcPr>
            <w:tcW w:type="dxa" w:w="4104"/>
            <w:tcMar>
              <w:top w:w="80" w:type="dxa"/>
              <w:start w:w="90" w:type="dxa"/>
              <w:bottom w:w="80" w:type="dxa"/>
              <w:end w:w="90" w:type="dxa"/>
            </w:tcMar>
            <w:vAlign w:val="top"/>
          </w:tcPr>
          <w:p>
            <w:pPr>
              <w:spacing w:after="0"/>
            </w:pPr>
            <w:r>
              <w:rPr>
                <w:rFonts w:ascii="Aptos" w:hAnsi="Aptos"/>
                <w:sz w:val="17"/>
              </w:rPr>
              <w:t>Source XML intake, dialect handling, categorization, repair and usability.</w:t>
            </w:r>
          </w:p>
        </w:tc>
        <w:tc>
          <w:tcPr>
            <w:tcW w:type="dxa" w:w="4104"/>
            <w:tcMar>
              <w:top w:w="80" w:type="dxa"/>
              <w:start w:w="90" w:type="dxa"/>
              <w:bottom w:w="80" w:type="dxa"/>
              <w:end w:w="90" w:type="dxa"/>
            </w:tcMar>
            <w:vAlign w:val="top"/>
          </w:tcPr>
          <w:p>
            <w:pPr>
              <w:spacing w:after="0"/>
            </w:pPr>
            <w:r>
              <w:rPr>
                <w:rFonts w:ascii="Aptos" w:hAnsi="Aptos"/>
                <w:sz w:val="17"/>
              </w:rPr>
              <w:t>Canonical engineering interchange and downstream analytical projection.</w:t>
            </w:r>
          </w:p>
        </w:tc>
      </w:tr>
      <w:tr>
        <w:trPr>
          <w:cantSplit w:val="true"/>
        </w:trPr>
        <w:tc>
          <w:tcPr>
            <w:tcW w:type="dxa" w:w="1944"/>
            <w:tcMar>
              <w:top w:w="80" w:type="dxa"/>
              <w:start w:w="90" w:type="dxa"/>
              <w:bottom w:w="80" w:type="dxa"/>
              <w:end w:w="90" w:type="dxa"/>
            </w:tcMar>
            <w:vAlign w:val="top"/>
          </w:tcPr>
          <w:p>
            <w:pPr>
              <w:spacing w:after="0"/>
            </w:pPr>
            <w:r>
              <w:rPr>
                <w:rFonts w:ascii="Aptos" w:hAnsi="Aptos"/>
                <w:sz w:val="17"/>
              </w:rPr>
              <w:t>Authority</w:t>
            </w:r>
          </w:p>
        </w:tc>
        <w:tc>
          <w:tcPr>
            <w:tcW w:type="dxa" w:w="4104"/>
            <w:tcMar>
              <w:top w:w="80" w:type="dxa"/>
              <w:start w:w="90" w:type="dxa"/>
              <w:bottom w:w="80" w:type="dxa"/>
              <w:end w:w="90" w:type="dxa"/>
            </w:tcMar>
            <w:vAlign w:val="top"/>
          </w:tcPr>
          <w:p>
            <w:pPr>
              <w:spacing w:after="0"/>
            </w:pPr>
            <w:r>
              <w:rPr>
                <w:rFonts w:ascii="Aptos" w:hAnsi="Aptos"/>
                <w:sz w:val="17"/>
              </w:rPr>
              <w:t>Source-format and intake policy.</w:t>
            </w:r>
          </w:p>
        </w:tc>
        <w:tc>
          <w:tcPr>
            <w:tcW w:type="dxa" w:w="4104"/>
            <w:tcMar>
              <w:top w:w="80" w:type="dxa"/>
              <w:start w:w="90" w:type="dxa"/>
              <w:bottom w:w="80" w:type="dxa"/>
              <w:end w:w="90" w:type="dxa"/>
            </w:tcMar>
            <w:vAlign w:val="top"/>
          </w:tcPr>
          <w:p>
            <w:pPr>
              <w:spacing w:after="0"/>
            </w:pPr>
            <w:r>
              <w:rPr>
                <w:rFonts w:ascii="Aptos" w:hAnsi="Aptos"/>
                <w:sz w:val="17"/>
              </w:rPr>
              <w:t>Canonical InputXML contract and assurance policy.</w:t>
            </w:r>
          </w:p>
        </w:tc>
      </w:tr>
      <w:tr>
        <w:trPr>
          <w:cantSplit w:val="true"/>
        </w:trPr>
        <w:tc>
          <w:tcPr>
            <w:tcW w:type="dxa" w:w="1944"/>
            <w:tcMar>
              <w:top w:w="80" w:type="dxa"/>
              <w:start w:w="90" w:type="dxa"/>
              <w:bottom w:w="80" w:type="dxa"/>
              <w:end w:w="90" w:type="dxa"/>
            </w:tcMar>
            <w:vAlign w:val="top"/>
          </w:tcPr>
          <w:p>
            <w:pPr>
              <w:spacing w:after="0"/>
            </w:pPr>
            <w:r>
              <w:rPr>
                <w:rFonts w:ascii="Aptos" w:hAnsi="Aptos"/>
                <w:sz w:val="17"/>
              </w:rPr>
              <w:t>Input variability</w:t>
            </w:r>
          </w:p>
        </w:tc>
        <w:tc>
          <w:tcPr>
            <w:tcW w:type="dxa" w:w="4104"/>
            <w:tcMar>
              <w:top w:w="80" w:type="dxa"/>
              <w:start w:w="90" w:type="dxa"/>
              <w:bottom w:w="80" w:type="dxa"/>
              <w:end w:w="90" w:type="dxa"/>
            </w:tcMar>
            <w:vAlign w:val="top"/>
          </w:tcPr>
          <w:p>
            <w:pPr>
              <w:spacing w:after="0"/>
            </w:pPr>
            <w:r>
              <w:rPr>
                <w:rFonts w:ascii="Aptos" w:hAnsi="Aptos"/>
                <w:sz w:val="17"/>
              </w:rPr>
              <w:t>Potentially broad and vendor-specific.</w:t>
            </w:r>
          </w:p>
        </w:tc>
        <w:tc>
          <w:tcPr>
            <w:tcW w:type="dxa" w:w="4104"/>
            <w:tcMar>
              <w:top w:w="80" w:type="dxa"/>
              <w:start w:w="90" w:type="dxa"/>
              <w:bottom w:w="80" w:type="dxa"/>
              <w:end w:w="90" w:type="dxa"/>
            </w:tcMar>
            <w:vAlign w:val="top"/>
          </w:tcPr>
          <w:p>
            <w:pPr>
              <w:spacing w:after="0"/>
            </w:pPr>
            <w:r>
              <w:rPr>
                <w:rFonts w:ascii="Aptos" w:hAnsi="Aptos"/>
                <w:sz w:val="17"/>
              </w:rPr>
              <w:t>Only registered adapters may enter canonical compilation.</w:t>
            </w:r>
          </w:p>
        </w:tc>
      </w:tr>
      <w:tr>
        <w:trPr>
          <w:cantSplit w:val="true"/>
        </w:trPr>
        <w:tc>
          <w:tcPr>
            <w:tcW w:type="dxa" w:w="1944"/>
            <w:tcMar>
              <w:top w:w="80" w:type="dxa"/>
              <w:start w:w="90" w:type="dxa"/>
              <w:bottom w:w="80" w:type="dxa"/>
              <w:end w:w="90" w:type="dxa"/>
            </w:tcMar>
            <w:vAlign w:val="top"/>
          </w:tcPr>
          <w:p>
            <w:pPr>
              <w:spacing w:after="0"/>
            </w:pPr>
            <w:r>
              <w:rPr>
                <w:rFonts w:ascii="Aptos" w:hAnsi="Aptos"/>
                <w:sz w:val="17"/>
              </w:rPr>
              <w:t>Output</w:t>
            </w:r>
          </w:p>
        </w:tc>
        <w:tc>
          <w:tcPr>
            <w:tcW w:type="dxa" w:w="4104"/>
            <w:tcMar>
              <w:top w:w="80" w:type="dxa"/>
              <w:start w:w="90" w:type="dxa"/>
              <w:bottom w:w="80" w:type="dxa"/>
              <w:end w:w="90" w:type="dxa"/>
            </w:tcMar>
            <w:vAlign w:val="top"/>
          </w:tcPr>
          <w:p>
            <w:pPr>
              <w:spacing w:after="0"/>
            </w:pPr>
            <w:r>
              <w:rPr>
                <w:rFonts w:ascii="Aptos" w:hAnsi="Aptos"/>
                <w:sz w:val="17"/>
              </w:rPr>
              <w:t>Normalized source evidence or adapter-ready inventory.</w:t>
            </w:r>
          </w:p>
        </w:tc>
        <w:tc>
          <w:tcPr>
            <w:tcW w:type="dxa" w:w="4104"/>
            <w:tcMar>
              <w:top w:w="80" w:type="dxa"/>
              <w:start w:w="90" w:type="dxa"/>
              <w:bottom w:w="80" w:type="dxa"/>
              <w:end w:w="90" w:type="dxa"/>
            </w:tcMar>
            <w:vAlign w:val="top"/>
          </w:tcPr>
          <w:p>
            <w:pPr>
              <w:spacing w:after="0"/>
            </w:pPr>
            <w:r>
              <w:rPr>
                <w:rFonts w:ascii="Aptos" w:hAnsi="Aptos"/>
                <w:sz w:val="17"/>
              </w:rPr>
              <w:t>Canonical InputXML plus ledgers, parity reports and CII proof.</w:t>
            </w:r>
          </w:p>
        </w:tc>
      </w:tr>
      <w:tr>
        <w:trPr>
          <w:cantSplit w:val="true"/>
        </w:trPr>
        <w:tc>
          <w:tcPr>
            <w:tcW w:type="dxa" w:w="1944"/>
            <w:tcMar>
              <w:top w:w="80" w:type="dxa"/>
              <w:start w:w="90" w:type="dxa"/>
              <w:bottom w:w="80" w:type="dxa"/>
              <w:end w:w="90" w:type="dxa"/>
            </w:tcMar>
            <w:vAlign w:val="top"/>
          </w:tcPr>
          <w:p>
            <w:pPr>
              <w:spacing w:after="0"/>
            </w:pPr>
            <w:r>
              <w:rPr>
                <w:rFonts w:ascii="Aptos" w:hAnsi="Aptos"/>
                <w:sz w:val="17"/>
              </w:rPr>
              <w:t>Topology responsibility</w:t>
            </w:r>
          </w:p>
        </w:tc>
        <w:tc>
          <w:tcPr>
            <w:tcW w:type="dxa" w:w="4104"/>
            <w:tcMar>
              <w:top w:w="80" w:type="dxa"/>
              <w:start w:w="90" w:type="dxa"/>
              <w:bottom w:w="80" w:type="dxa"/>
              <w:end w:w="90" w:type="dxa"/>
            </w:tcMar>
            <w:vAlign w:val="top"/>
          </w:tcPr>
          <w:p>
            <w:pPr>
              <w:spacing w:after="0"/>
            </w:pPr>
            <w:r>
              <w:rPr>
                <w:rFonts w:ascii="Aptos" w:hAnsi="Aptos"/>
                <w:sz w:val="17"/>
              </w:rPr>
              <w:t>Preserve and expose source evidence.</w:t>
            </w:r>
          </w:p>
        </w:tc>
        <w:tc>
          <w:tcPr>
            <w:tcW w:type="dxa" w:w="4104"/>
            <w:tcMar>
              <w:top w:w="80" w:type="dxa"/>
              <w:start w:w="90" w:type="dxa"/>
              <w:bottom w:w="80" w:type="dxa"/>
              <w:end w:w="90" w:type="dxa"/>
            </w:tcMar>
            <w:vAlign w:val="top"/>
          </w:tcPr>
          <w:p>
            <w:pPr>
              <w:spacing w:after="0"/>
            </w:pPr>
            <w:r>
              <w:rPr>
                <w:rFonts w:ascii="Aptos" w:hAnsi="Aptos"/>
                <w:sz w:val="17"/>
              </w:rPr>
              <w:t>Construct, validate and prove canonical topology.</w:t>
            </w:r>
          </w:p>
        </w:tc>
      </w:tr>
      <w:tr>
        <w:trPr>
          <w:cantSplit w:val="true"/>
        </w:trPr>
        <w:tc>
          <w:tcPr>
            <w:tcW w:type="dxa" w:w="1944"/>
            <w:tcMar>
              <w:top w:w="80" w:type="dxa"/>
              <w:start w:w="90" w:type="dxa"/>
              <w:bottom w:w="80" w:type="dxa"/>
              <w:end w:w="90" w:type="dxa"/>
            </w:tcMar>
            <w:vAlign w:val="top"/>
          </w:tcPr>
          <w:p>
            <w:pPr>
              <w:spacing w:after="0"/>
            </w:pPr>
            <w:r>
              <w:rPr>
                <w:rFonts w:ascii="Aptos" w:hAnsi="Aptos"/>
                <w:sz w:val="17"/>
              </w:rPr>
              <w:t>Node numbering</w:t>
            </w:r>
          </w:p>
        </w:tc>
        <w:tc>
          <w:tcPr>
            <w:tcW w:type="dxa" w:w="4104"/>
            <w:tcMar>
              <w:top w:w="80" w:type="dxa"/>
              <w:start w:w="90" w:type="dxa"/>
              <w:bottom w:w="80" w:type="dxa"/>
              <w:end w:w="90" w:type="dxa"/>
            </w:tcMar>
            <w:vAlign w:val="top"/>
          </w:tcPr>
          <w:p>
            <w:pPr>
              <w:spacing w:after="0"/>
            </w:pPr>
            <w:r>
              <w:rPr>
                <w:rFonts w:ascii="Aptos" w:hAnsi="Aptos"/>
                <w:sz w:val="17"/>
              </w:rPr>
              <w:t>No authority over final engineering numbering.</w:t>
            </w:r>
          </w:p>
        </w:tc>
        <w:tc>
          <w:tcPr>
            <w:tcW w:type="dxa" w:w="4104"/>
            <w:tcMar>
              <w:top w:w="80" w:type="dxa"/>
              <w:start w:w="90" w:type="dxa"/>
              <w:bottom w:w="80" w:type="dxa"/>
              <w:end w:w="90" w:type="dxa"/>
            </w:tcMar>
            <w:vAlign w:val="top"/>
          </w:tcPr>
          <w:p>
            <w:pPr>
              <w:spacing w:after="0"/>
            </w:pPr>
            <w:r>
              <w:rPr>
                <w:rFonts w:ascii="Aptos" w:hAnsi="Aptos"/>
                <w:sz w:val="17"/>
              </w:rPr>
              <w:t>Single deterministic node-plan authority.</w:t>
            </w:r>
          </w:p>
        </w:tc>
      </w:tr>
      <w:tr>
        <w:trPr>
          <w:cantSplit w:val="true"/>
        </w:trPr>
        <w:tc>
          <w:tcPr>
            <w:tcW w:type="dxa" w:w="1944"/>
            <w:tcMar>
              <w:top w:w="80" w:type="dxa"/>
              <w:start w:w="90" w:type="dxa"/>
              <w:bottom w:w="80" w:type="dxa"/>
              <w:end w:w="90" w:type="dxa"/>
            </w:tcMar>
            <w:vAlign w:val="top"/>
          </w:tcPr>
          <w:p>
            <w:pPr>
              <w:spacing w:after="0"/>
            </w:pPr>
            <w:r>
              <w:rPr>
                <w:rFonts w:ascii="Aptos" w:hAnsi="Aptos"/>
                <w:sz w:val="17"/>
              </w:rPr>
              <w:t>Failure mode</w:t>
            </w:r>
          </w:p>
        </w:tc>
        <w:tc>
          <w:tcPr>
            <w:tcW w:type="dxa" w:w="4104"/>
            <w:tcMar>
              <w:top w:w="80" w:type="dxa"/>
              <w:start w:w="90" w:type="dxa"/>
              <w:bottom w:w="80" w:type="dxa"/>
              <w:end w:w="90" w:type="dxa"/>
            </w:tcMar>
            <w:vAlign w:val="top"/>
          </w:tcPr>
          <w:p>
            <w:pPr>
              <w:spacing w:after="0"/>
            </w:pPr>
            <w:r>
              <w:rPr>
                <w:rFonts w:ascii="Aptos" w:hAnsi="Aptos"/>
                <w:sz w:val="17"/>
              </w:rPr>
              <w:t>Quarantine or reject unsupported/invalid source intake.</w:t>
            </w:r>
          </w:p>
        </w:tc>
        <w:tc>
          <w:tcPr>
            <w:tcW w:type="dxa" w:w="4104"/>
            <w:tcMar>
              <w:top w:w="80" w:type="dxa"/>
              <w:start w:w="90" w:type="dxa"/>
              <w:bottom w:w="80" w:type="dxa"/>
              <w:end w:w="90" w:type="dxa"/>
            </w:tcMar>
            <w:vAlign w:val="top"/>
          </w:tcPr>
          <w:p>
            <w:pPr>
              <w:spacing w:after="0"/>
            </w:pPr>
            <w:r>
              <w:rPr>
                <w:rFonts w:ascii="Aptos" w:hAnsi="Aptos"/>
                <w:sz w:val="17"/>
              </w:rPr>
              <w:t>Fail closed before production InputXML/CII release.</w:t>
            </w:r>
          </w:p>
        </w:tc>
      </w:tr>
    </w:tbl>
    <w:p>
      <w:pPr>
        <w:spacing w:after="0"/>
      </w:pPr>
    </w:p>
    <w:tbl>
      <w:tblPr>
        <w:tblW w:type="auto" w:w="0"/>
        <w:jc w:val="center"/>
        <w:tblLook w:firstColumn="1" w:firstRow="1" w:lastColumn="0" w:lastRow="0" w:noHBand="0" w:noVBand="1" w:val="04A0"/>
      </w:tblPr>
      <w:tblGrid>
        <w:gridCol w:w="10166"/>
      </w:tblGrid>
      <w:tr>
        <w:trPr>
          <w:cantSplit w:val="true"/>
        </w:trPr>
        <w:tc>
          <w:tcPr>
            <w:tcW w:type="dxa" w:w="10166"/>
            <w:shd w:fill="FCE4D6"/>
            <w:tcMar>
              <w:top w:w="150" w:type="dxa"/>
              <w:start w:w="180" w:type="dxa"/>
              <w:bottom w:w="150" w:type="dxa"/>
              <w:end w:w="180" w:type="dxa"/>
            </w:tcMar>
          </w:tcPr>
          <w:p>
            <w:pPr>
              <w:spacing w:after="80"/>
            </w:pPr>
            <w:r>
              <w:rPr>
                <w:rFonts w:ascii="Aptos" w:hAnsi="Aptos"/>
                <w:b/>
                <w:color w:val="843C0C"/>
                <w:sz w:val="21"/>
              </w:rPr>
              <w:t>Interface rule</w:t>
            </w:r>
          </w:p>
          <w:p>
            <w:pPr>
              <w:spacing w:after="0"/>
            </w:pPr>
            <w:r>
              <w:rPr>
                <w:rFonts w:ascii="Aptos" w:hAnsi="Aptos"/>
                <w:sz w:val="20"/>
              </w:rPr>
              <w:t>The XML Upgrade may supply normalized evidence, but it cannot declare canonical InputXML validity. Canonical acceptance is owned exclusively by the InputXML compiler and assurance gates.</w:t>
            </w:r>
          </w:p>
        </w:tc>
      </w:tr>
    </w:tbl>
    <w:p>
      <w:pPr>
        <w:pStyle w:val="Heading1"/>
        <w:keepNext/>
      </w:pPr>
      <w:r>
        <w:t>3. Current repository reality</w:t>
      </w:r>
    </w:p>
    <w:p>
      <w:pPr>
        <w:spacing w:after="120" w:line="259" w:lineRule="auto"/>
      </w:pPr>
      <w:r>
        <w:rPr>
          <w:rFonts w:ascii="Aptos" w:hAnsi="Aptos"/>
          <w:sz w:val="21"/>
        </w:rPr>
        <w:t>The repository already contains substantial parts of the target architecture: a canonical InputXML contract family, registered compiler adapters, managed-stage topology generation, topology trace evidence, pre-writer assurance ledgers, production CII projection proof, and independent reparse regression coverage. The concept therefore extends and reconciles existing work rather than replacing it wholesale.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04"/>
            <w:shd w:fill="D9E2F3"/>
            <w:tcMar>
              <w:top w:w="90" w:type="dxa"/>
              <w:start w:w="90" w:type="dxa"/>
              <w:bottom w:w="90" w:type="dxa"/>
              <w:end w:w="90" w:type="dxa"/>
            </w:tcMar>
            <w:vAlign w:val="center"/>
          </w:tcPr>
          <w:p>
            <w:pPr>
              <w:jc w:val="left"/>
            </w:pPr>
            <w:r>
              <w:rPr>
                <w:rFonts w:ascii="Aptos" w:hAnsi="Aptos"/>
                <w:b/>
                <w:color w:val="1F3757"/>
                <w:sz w:val="17"/>
              </w:rPr>
              <w:t>Area</w:t>
            </w:r>
          </w:p>
        </w:tc>
        <w:tc>
          <w:tcPr>
            <w:tcW w:type="dxa" w:w="3744"/>
            <w:shd w:fill="D9E2F3"/>
            <w:tcMar>
              <w:top w:w="90" w:type="dxa"/>
              <w:start w:w="90" w:type="dxa"/>
              <w:bottom w:w="90" w:type="dxa"/>
              <w:end w:w="90" w:type="dxa"/>
            </w:tcMar>
            <w:vAlign w:val="center"/>
          </w:tcPr>
          <w:p>
            <w:pPr>
              <w:jc w:val="left"/>
            </w:pPr>
            <w:r>
              <w:rPr>
                <w:rFonts w:ascii="Aptos" w:hAnsi="Aptos"/>
                <w:b/>
                <w:color w:val="1F3757"/>
                <w:sz w:val="17"/>
              </w:rPr>
              <w:t>Current state</w:t>
            </w:r>
          </w:p>
        </w:tc>
        <w:tc>
          <w:tcPr>
            <w:tcW w:type="dxa" w:w="4320"/>
            <w:shd w:fill="D9E2F3"/>
            <w:tcMar>
              <w:top w:w="90" w:type="dxa"/>
              <w:start w:w="90" w:type="dxa"/>
              <w:bottom w:w="90" w:type="dxa"/>
              <w:end w:w="90" w:type="dxa"/>
            </w:tcMar>
            <w:vAlign w:val="center"/>
          </w:tcPr>
          <w:p>
            <w:pPr>
              <w:jc w:val="left"/>
            </w:pPr>
            <w:r>
              <w:rPr>
                <w:rFonts w:ascii="Aptos" w:hAnsi="Aptos"/>
                <w:b/>
                <w:color w:val="1F3757"/>
                <w:sz w:val="17"/>
              </w:rPr>
              <w:t>Concept implication</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Canonical compiler and adapters</w:t>
            </w:r>
          </w:p>
        </w:tc>
        <w:tc>
          <w:tcPr>
            <w:tcW w:type="dxa" w:w="3744"/>
            <w:tcMar>
              <w:top w:w="80" w:type="dxa"/>
              <w:start w:w="90" w:type="dxa"/>
              <w:bottom w:w="80" w:type="dxa"/>
              <w:end w:w="90" w:type="dxa"/>
            </w:tcMar>
            <w:vAlign w:val="top"/>
          </w:tcPr>
          <w:p>
            <w:pPr>
              <w:spacing w:after="0"/>
            </w:pPr>
            <w:r>
              <w:rPr>
                <w:rFonts w:ascii="Aptos" w:hAnsi="Aptos"/>
                <w:sz w:val="17"/>
              </w:rPr>
              <w:t>Implemented for registered dialects with fail-closed handling for blocking profiles.</w:t>
            </w:r>
          </w:p>
        </w:tc>
        <w:tc>
          <w:tcPr>
            <w:tcW w:type="dxa" w:w="4320"/>
            <w:tcMar>
              <w:top w:w="80" w:type="dxa"/>
              <w:start w:w="90" w:type="dxa"/>
              <w:bottom w:w="80" w:type="dxa"/>
              <w:end w:w="90" w:type="dxa"/>
            </w:tcMar>
            <w:vAlign w:val="top"/>
          </w:tcPr>
          <w:p>
            <w:pPr>
              <w:spacing w:after="0"/>
            </w:pPr>
            <w:r>
              <w:rPr>
                <w:rFonts w:ascii="Aptos" w:hAnsi="Aptos"/>
                <w:sz w:val="17"/>
              </w:rPr>
              <w:t>Retain as the sole canonical intake authority.</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Topology production</w:t>
            </w:r>
          </w:p>
        </w:tc>
        <w:tc>
          <w:tcPr>
            <w:tcW w:type="dxa" w:w="3744"/>
            <w:tcMar>
              <w:top w:w="80" w:type="dxa"/>
              <w:start w:w="90" w:type="dxa"/>
              <w:bottom w:w="80" w:type="dxa"/>
              <w:end w:w="90" w:type="dxa"/>
            </w:tcMar>
            <w:vAlign w:val="top"/>
          </w:tcPr>
          <w:p>
            <w:pPr>
              <w:spacing w:after="0"/>
            </w:pPr>
            <w:r>
              <w:rPr>
                <w:rFonts w:ascii="Aptos" w:hAnsi="Aptos"/>
                <w:sz w:val="17"/>
              </w:rPr>
              <w:t>Canonical topology and trace evidence exist for managed-stage sources.</w:t>
            </w:r>
          </w:p>
        </w:tc>
        <w:tc>
          <w:tcPr>
            <w:tcW w:type="dxa" w:w="4320"/>
            <w:tcMar>
              <w:top w:w="80" w:type="dxa"/>
              <w:start w:w="90" w:type="dxa"/>
              <w:bottom w:w="80" w:type="dxa"/>
              <w:end w:w="90" w:type="dxa"/>
            </w:tcMar>
            <w:vAlign w:val="top"/>
          </w:tcPr>
          <w:p>
            <w:pPr>
              <w:spacing w:after="0"/>
            </w:pPr>
            <w:r>
              <w:rPr>
                <w:rFonts w:ascii="Aptos" w:hAnsi="Aptos"/>
                <w:sz w:val="17"/>
              </w:rPr>
              <w:t>Promote topology artifacts to mandatory production inputs.</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Assurance ledger</w:t>
            </w:r>
          </w:p>
        </w:tc>
        <w:tc>
          <w:tcPr>
            <w:tcW w:type="dxa" w:w="3744"/>
            <w:tcMar>
              <w:top w:w="80" w:type="dxa"/>
              <w:start w:w="90" w:type="dxa"/>
              <w:bottom w:w="80" w:type="dxa"/>
              <w:end w:w="90" w:type="dxa"/>
            </w:tcMar>
            <w:vAlign w:val="top"/>
          </w:tcPr>
          <w:p>
            <w:pPr>
              <w:spacing w:after="0"/>
            </w:pPr>
            <w:r>
              <w:rPr>
                <w:rFonts w:ascii="Aptos" w:hAnsi="Aptos"/>
                <w:sz w:val="17"/>
              </w:rPr>
              <w:t>Framework exists, but the real topology parity report shape and consumer expectations are misaligned.</w:t>
            </w:r>
          </w:p>
        </w:tc>
        <w:tc>
          <w:tcPr>
            <w:tcW w:type="dxa" w:w="4320"/>
            <w:tcMar>
              <w:top w:w="80" w:type="dxa"/>
              <w:start w:w="90" w:type="dxa"/>
              <w:bottom w:w="80" w:type="dxa"/>
              <w:end w:w="90" w:type="dxa"/>
            </w:tcMar>
            <w:vAlign w:val="top"/>
          </w:tcPr>
          <w:p>
            <w:pPr>
              <w:spacing w:after="0"/>
            </w:pPr>
            <w:r>
              <w:rPr>
                <w:rFonts w:ascii="Aptos" w:hAnsi="Aptos"/>
                <w:sz w:val="17"/>
              </w:rPr>
              <w:t>Correct the producer-consumer contract before further expansion.</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Post-canonical parity</w:t>
            </w:r>
          </w:p>
        </w:tc>
        <w:tc>
          <w:tcPr>
            <w:tcW w:type="dxa" w:w="3744"/>
            <w:tcMar>
              <w:top w:w="80" w:type="dxa"/>
              <w:start w:w="90" w:type="dxa"/>
              <w:bottom w:w="80" w:type="dxa"/>
              <w:end w:w="90" w:type="dxa"/>
            </w:tcMar>
            <w:vAlign w:val="top"/>
          </w:tcPr>
          <w:p>
            <w:pPr>
              <w:spacing w:after="0"/>
            </w:pPr>
            <w:r>
              <w:rPr>
                <w:rFonts w:ascii="Aptos" w:hAnsi="Aptos"/>
                <w:sz w:val="17"/>
              </w:rPr>
              <w:t>Exact parity between canonical topology and final sanitized canonical InputXML is not yet complete.</w:t>
            </w:r>
          </w:p>
        </w:tc>
        <w:tc>
          <w:tcPr>
            <w:tcW w:type="dxa" w:w="4320"/>
            <w:tcMar>
              <w:top w:w="80" w:type="dxa"/>
              <w:start w:w="90" w:type="dxa"/>
              <w:bottom w:w="80" w:type="dxa"/>
              <w:end w:w="90" w:type="dxa"/>
            </w:tcMar>
            <w:vAlign w:val="top"/>
          </w:tcPr>
          <w:p>
            <w:pPr>
              <w:spacing w:after="0"/>
            </w:pPr>
            <w:r>
              <w:rPr>
                <w:rFonts w:ascii="Aptos" w:hAnsi="Aptos"/>
                <w:sz w:val="17"/>
              </w:rPr>
              <w:t>Add a dedicated post-canonical topology gate.</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PSI writers</w:t>
            </w:r>
          </w:p>
        </w:tc>
        <w:tc>
          <w:tcPr>
            <w:tcW w:type="dxa" w:w="3744"/>
            <w:tcMar>
              <w:top w:w="80" w:type="dxa"/>
              <w:start w:w="90" w:type="dxa"/>
              <w:bottom w:w="80" w:type="dxa"/>
              <w:end w:w="90" w:type="dxa"/>
            </w:tcMar>
            <w:vAlign w:val="top"/>
          </w:tcPr>
          <w:p>
            <w:pPr>
              <w:spacing w:after="0"/>
            </w:pPr>
            <w:r>
              <w:rPr>
                <w:rFonts w:ascii="Aptos" w:hAnsi="Aptos"/>
                <w:sz w:val="17"/>
              </w:rPr>
              <w:t>Canonical and sequential writers can allocate different numbers because the shared legacy writer owns numbering.</w:t>
            </w:r>
          </w:p>
        </w:tc>
        <w:tc>
          <w:tcPr>
            <w:tcW w:type="dxa" w:w="4320"/>
            <w:tcMar>
              <w:top w:w="80" w:type="dxa"/>
              <w:start w:w="90" w:type="dxa"/>
              <w:bottom w:w="80" w:type="dxa"/>
              <w:end w:w="90" w:type="dxa"/>
            </w:tcMar>
            <w:vAlign w:val="top"/>
          </w:tcPr>
          <w:p>
            <w:pPr>
              <w:spacing w:after="0"/>
            </w:pPr>
            <w:r>
              <w:rPr>
                <w:rFonts w:ascii="Aptos" w:hAnsi="Aptos"/>
                <w:sz w:val="17"/>
              </w:rPr>
              <w:t>Move numbering upstream into one immutable node plan.</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CII proof</w:t>
            </w:r>
          </w:p>
        </w:tc>
        <w:tc>
          <w:tcPr>
            <w:tcW w:type="dxa" w:w="3744"/>
            <w:tcMar>
              <w:top w:w="80" w:type="dxa"/>
              <w:start w:w="90" w:type="dxa"/>
              <w:bottom w:w="80" w:type="dxa"/>
              <w:end w:w="90" w:type="dxa"/>
            </w:tcMar>
            <w:vAlign w:val="top"/>
          </w:tcPr>
          <w:p>
            <w:pPr>
              <w:spacing w:after="0"/>
            </w:pPr>
            <w:r>
              <w:rPr>
                <w:rFonts w:ascii="Aptos" w:hAnsi="Aptos"/>
                <w:sz w:val="17"/>
              </w:rPr>
              <w:t>Projection and independent reparse evidence exist.</w:t>
            </w:r>
          </w:p>
        </w:tc>
        <w:tc>
          <w:tcPr>
            <w:tcW w:type="dxa" w:w="4320"/>
            <w:tcMar>
              <w:top w:w="80" w:type="dxa"/>
              <w:start w:w="90" w:type="dxa"/>
              <w:bottom w:w="80" w:type="dxa"/>
              <w:end w:w="90" w:type="dxa"/>
            </w:tcMar>
            <w:vAlign w:val="top"/>
          </w:tcPr>
          <w:p>
            <w:pPr>
              <w:spacing w:after="0"/>
            </w:pPr>
            <w:r>
              <w:rPr>
                <w:rFonts w:ascii="Aptos" w:hAnsi="Aptos"/>
                <w:sz w:val="17"/>
              </w:rPr>
              <w:t>Bind them to the same node plan and canonical topology hashes.</w:t>
            </w:r>
          </w:p>
        </w:tc>
      </w:tr>
    </w:tbl>
    <w:p>
      <w:pPr>
        <w:spacing w:after="0"/>
      </w:pPr>
    </w:p>
    <w:p>
      <w:pPr>
        <w:pStyle w:val="Heading2"/>
        <w:keepNext/>
      </w:pPr>
      <w:r>
        <w:t>3.1 Immediate architectural defects to close</w:t>
      </w:r>
    </w:p>
    <w:p>
      <w:pPr>
        <w:spacing w:after="40"/>
        <w:ind w:left="403" w:hanging="317"/>
      </w:pPr>
      <w:r>
        <w:rPr>
          <w:rFonts w:ascii="Aptos" w:hAnsi="Aptos"/>
          <w:sz w:val="21"/>
        </w:rPr>
        <w:t>1.  Real TopologyParityReport.v1 fields are not consumed consistently by the assurance ledger.</w:t>
      </w:r>
    </w:p>
    <w:p>
      <w:pPr>
        <w:spacing w:after="40"/>
        <w:ind w:left="403" w:hanging="317"/>
      </w:pPr>
      <w:r>
        <w:rPr>
          <w:rFonts w:ascii="Aptos" w:hAnsi="Aptos"/>
          <w:sz w:val="21"/>
        </w:rPr>
        <w:t>2.  The all-dialect end-to-end matrix can remain green without passing real topology trace and parity artifacts into assurance.</w:t>
      </w:r>
    </w:p>
    <w:p>
      <w:pPr>
        <w:spacing w:after="40"/>
        <w:ind w:left="403" w:hanging="317"/>
      </w:pPr>
      <w:r>
        <w:rPr>
          <w:rFonts w:ascii="Aptos" w:hAnsi="Aptos"/>
          <w:sz w:val="21"/>
        </w:rPr>
        <w:t>3.  Final canonical InputXML is not yet proven exactly equivalent to the authoritative canonical topology after sanitation and field relocation.</w:t>
      </w:r>
    </w:p>
    <w:p>
      <w:pPr>
        <w:spacing w:after="40"/>
        <w:ind w:left="403" w:hanging="317"/>
      </w:pPr>
      <w:r>
        <w:rPr>
          <w:rFonts w:ascii="Aptos" w:hAnsi="Aptos"/>
          <w:sz w:val="21"/>
        </w:rPr>
        <w:t>4.  PSI writers still allocate numbers internally and mutate records, creating multiple numbering authorities.</w:t>
      </w:r>
    </w:p>
    <w:p>
      <w:pPr>
        <w:spacing w:after="40"/>
        <w:ind w:left="403" w:hanging="317"/>
      </w:pPr>
      <w:r>
        <w:rPr>
          <w:rFonts w:ascii="Aptos" w:hAnsi="Aptos"/>
          <w:sz w:val="21"/>
        </w:rPr>
        <w:t>5.  The component-topology path also generates engineering node numbers independently.</w:t>
      </w:r>
    </w:p>
    <w:p>
      <w:pPr>
        <w:pStyle w:val="Heading1"/>
        <w:keepNext/>
      </w:pPr>
      <w:r>
        <w:t>4. Design principles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880"/>
            <w:shd w:fill="D9E2F3"/>
            <w:tcMar>
              <w:top w:w="90" w:type="dxa"/>
              <w:start w:w="90" w:type="dxa"/>
              <w:bottom w:w="90" w:type="dxa"/>
              <w:end w:w="90" w:type="dxa"/>
            </w:tcMar>
            <w:vAlign w:val="center"/>
          </w:tcPr>
          <w:p>
            <w:pPr>
              <w:jc w:val="left"/>
            </w:pPr>
            <w:r>
              <w:rPr>
                <w:rFonts w:ascii="Aptos" w:hAnsi="Aptos"/>
                <w:b/>
                <w:color w:val="1F3757"/>
                <w:sz w:val="18"/>
              </w:rPr>
              <w:t>Principle</w:t>
            </w:r>
          </w:p>
        </w:tc>
        <w:tc>
          <w:tcPr>
            <w:tcW w:type="dxa" w:w="7200"/>
            <w:shd w:fill="D9E2F3"/>
            <w:tcMar>
              <w:top w:w="90" w:type="dxa"/>
              <w:start w:w="90" w:type="dxa"/>
              <w:bottom w:w="90" w:type="dxa"/>
              <w:end w:w="90" w:type="dxa"/>
            </w:tcMar>
            <w:vAlign w:val="center"/>
          </w:tcPr>
          <w:p>
            <w:pPr>
              <w:jc w:val="left"/>
            </w:pPr>
            <w:r>
              <w:rPr>
                <w:rFonts w:ascii="Aptos" w:hAnsi="Aptos"/>
                <w:b/>
                <w:color w:val="1F3757"/>
                <w:sz w:val="18"/>
              </w:rPr>
              <w:t>Meaning</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8"/>
              </w:rPr>
              <w:t>One canonical contract</w:t>
            </w:r>
          </w:p>
        </w:tc>
        <w:tc>
          <w:tcPr>
            <w:tcW w:type="dxa" w:w="7200"/>
            <w:tcMar>
              <w:top w:w="80" w:type="dxa"/>
              <w:start w:w="90" w:type="dxa"/>
              <w:bottom w:w="80" w:type="dxa"/>
              <w:end w:w="90" w:type="dxa"/>
            </w:tcMar>
            <w:vAlign w:val="top"/>
          </w:tcPr>
          <w:p>
            <w:pPr>
              <w:spacing w:after="0"/>
            </w:pPr>
            <w:r>
              <w:rPr>
                <w:rFonts w:ascii="Aptos" w:hAnsi="Aptos"/>
                <w:sz w:val="18"/>
              </w:rPr>
              <w:t>Canonical InputXML v1 is strict. Other dialects enter through named, versioned adapters.</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8"/>
              </w:rPr>
              <w:t>Topology before serialization</w:t>
            </w:r>
          </w:p>
        </w:tc>
        <w:tc>
          <w:tcPr>
            <w:tcW w:type="dxa" w:w="7200"/>
            <w:tcMar>
              <w:top w:w="80" w:type="dxa"/>
              <w:start w:w="90" w:type="dxa"/>
              <w:bottom w:w="80" w:type="dxa"/>
              <w:end w:w="90" w:type="dxa"/>
            </w:tcMar>
            <w:vAlign w:val="top"/>
          </w:tcPr>
          <w:p>
            <w:pPr>
              <w:spacing w:after="0"/>
            </w:pPr>
            <w:r>
              <w:rPr>
                <w:rFonts w:ascii="Aptos" w:hAnsi="Aptos"/>
                <w:sz w:val="18"/>
              </w:rPr>
              <w:t>Nodes, edges, junctions, supports and boundaries are resolved before any XML writer runs.</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8"/>
              </w:rPr>
              <w:t>Single node-number authority</w:t>
            </w:r>
          </w:p>
        </w:tc>
        <w:tc>
          <w:tcPr>
            <w:tcW w:type="dxa" w:w="7200"/>
            <w:tcMar>
              <w:top w:w="80" w:type="dxa"/>
              <w:start w:w="90" w:type="dxa"/>
              <w:bottom w:w="80" w:type="dxa"/>
              <w:end w:w="90" w:type="dxa"/>
            </w:tcMar>
            <w:vAlign w:val="top"/>
          </w:tcPr>
          <w:p>
            <w:pPr>
              <w:spacing w:after="0"/>
            </w:pPr>
            <w:r>
              <w:rPr>
                <w:rFonts w:ascii="Aptos" w:hAnsi="Aptos"/>
                <w:sz w:val="18"/>
              </w:rPr>
              <w:t>An immutable node plan allocates or reuses every engineering number; serializers only read it.</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8"/>
              </w:rPr>
              <w:t>Source evidence is never discarded silently</w:t>
            </w:r>
          </w:p>
        </w:tc>
        <w:tc>
          <w:tcPr>
            <w:tcW w:type="dxa" w:w="7200"/>
            <w:tcMar>
              <w:top w:w="80" w:type="dxa"/>
              <w:start w:w="90" w:type="dxa"/>
              <w:bottom w:w="80" w:type="dxa"/>
              <w:end w:w="90" w:type="dxa"/>
            </w:tcMar>
            <w:vAlign w:val="top"/>
          </w:tcPr>
          <w:p>
            <w:pPr>
              <w:spacing w:after="0"/>
            </w:pPr>
            <w:r>
              <w:rPr>
                <w:rFonts w:ascii="Aptos" w:hAnsi="Aptos"/>
                <w:sz w:val="18"/>
              </w:rPr>
              <w:t>Source IDs, paths, references, coordinates and transformation decisions remain available in ledgers or extension evidence.</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8"/>
              </w:rPr>
              <w:t>Fail closed on uncertainty</w:t>
            </w:r>
          </w:p>
        </w:tc>
        <w:tc>
          <w:tcPr>
            <w:tcW w:type="dxa" w:w="7200"/>
            <w:tcMar>
              <w:top w:w="80" w:type="dxa"/>
              <w:start w:w="90" w:type="dxa"/>
              <w:bottom w:w="80" w:type="dxa"/>
              <w:end w:w="90" w:type="dxa"/>
            </w:tcMar>
            <w:vAlign w:val="top"/>
          </w:tcPr>
          <w:p>
            <w:pPr>
              <w:spacing w:after="0"/>
            </w:pPr>
            <w:r>
              <w:rPr>
                <w:rFonts w:ascii="Aptos" w:hAnsi="Aptos"/>
                <w:sz w:val="18"/>
              </w:rPr>
              <w:t>Ambiguous identity, topology conflict, stale registry state or parity mismatch blocks production release.</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8"/>
              </w:rPr>
              <w:t>Deterministic execution</w:t>
            </w:r>
          </w:p>
        </w:tc>
        <w:tc>
          <w:tcPr>
            <w:tcW w:type="dxa" w:w="7200"/>
            <w:tcMar>
              <w:top w:w="80" w:type="dxa"/>
              <w:start w:w="90" w:type="dxa"/>
              <w:bottom w:w="80" w:type="dxa"/>
              <w:end w:w="90" w:type="dxa"/>
            </w:tcMar>
            <w:vAlign w:val="top"/>
          </w:tcPr>
          <w:p>
            <w:pPr>
              <w:spacing w:after="0"/>
            </w:pPr>
            <w:r>
              <w:rPr>
                <w:rFonts w:ascii="Aptos" w:hAnsi="Aptos"/>
                <w:sz w:val="18"/>
              </w:rPr>
              <w:t>Identical inputs, configuration, registry snapshot and evaluation metadata produce identical semantic artifacts and hashes.</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8"/>
              </w:rPr>
              <w:t>Independent proof</w:t>
            </w:r>
          </w:p>
        </w:tc>
        <w:tc>
          <w:tcPr>
            <w:tcW w:type="dxa" w:w="7200"/>
            <w:tcMar>
              <w:top w:w="80" w:type="dxa"/>
              <w:start w:w="90" w:type="dxa"/>
              <w:bottom w:w="80" w:type="dxa"/>
              <w:end w:w="90" w:type="dxa"/>
            </w:tcMar>
            <w:vAlign w:val="top"/>
          </w:tcPr>
          <w:p>
            <w:pPr>
              <w:spacing w:after="0"/>
            </w:pPr>
            <w:r>
              <w:rPr>
                <w:rFonts w:ascii="Aptos" w:hAnsi="Aptos"/>
                <w:sz w:val="18"/>
              </w:rPr>
              <w:t>The generated CII file is reparsed independently; producer self-report alone is insufficient.</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8"/>
              </w:rPr>
              <w:t>Separation of internal identity and emitted number</w:t>
            </w:r>
          </w:p>
        </w:tc>
        <w:tc>
          <w:tcPr>
            <w:tcW w:type="dxa" w:w="7200"/>
            <w:tcMar>
              <w:top w:w="80" w:type="dxa"/>
              <w:start w:w="90" w:type="dxa"/>
              <w:bottom w:w="80" w:type="dxa"/>
              <w:end w:w="90" w:type="dxa"/>
            </w:tcMar>
            <w:vAlign w:val="top"/>
          </w:tcPr>
          <w:p>
            <w:pPr>
              <w:spacing w:after="0"/>
            </w:pPr>
            <w:r>
              <w:rPr>
                <w:rFonts w:ascii="Aptos" w:hAnsi="Aptos"/>
                <w:sz w:val="18"/>
              </w:rPr>
              <w:t>Stable canonical IDs and history IDs are not the same as engineering node numbers.</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8"/>
              </w:rPr>
              <w:t>No browser transaction authority</w:t>
            </w:r>
          </w:p>
        </w:tc>
        <w:tc>
          <w:tcPr>
            <w:tcW w:type="dxa" w:w="7200"/>
            <w:tcMar>
              <w:top w:w="80" w:type="dxa"/>
              <w:start w:w="90" w:type="dxa"/>
              <w:bottom w:w="80" w:type="dxa"/>
              <w:end w:w="90" w:type="dxa"/>
            </w:tcMar>
            <w:vAlign w:val="top"/>
          </w:tcPr>
          <w:p>
            <w:pPr>
              <w:spacing w:after="0"/>
            </w:pPr>
            <w:r>
              <w:rPr>
                <w:rFonts w:ascii="Aptos" w:hAnsi="Aptos"/>
                <w:sz w:val="18"/>
              </w:rPr>
              <w:t>Registry changes are proposed by the application and approved through validated repository changes.</w:t>
            </w:r>
          </w:p>
        </w:tc>
      </w:tr>
    </w:tbl>
    <w:p>
      <w:pPr>
        <w:spacing w:after="0"/>
      </w:pPr>
    </w:p>
    <w:p>
      <w:pPr>
        <w:pStyle w:val="Heading1"/>
        <w:keepNext/>
      </w:pPr>
      <w:r>
        <w:t>5. Target architecture</w:t>
      </w:r>
    </w:p>
    <w:tbl>
      <w:tblPr>
        <w:tblW w:type="auto" w:w="0"/>
        <w:jc w:val="center"/>
        <w:tblLayout w:type="autofit"/>
        <w:tblLook w:firstColumn="1" w:firstRow="1" w:lastColumn="0" w:lastRow="0" w:noHBand="0" w:noVBand="1" w:val="04A0"/>
      </w:tblPr>
      <w:tblGrid>
        <w:gridCol w:w="10166"/>
      </w:tblGrid>
      <w:tr>
        <w:trPr>
          <w:cantSplit w:val="true"/>
        </w:trPr>
        <w:tc>
          <w:tcPr>
            <w:tcW w:type="dxa" w:w="10166"/>
            <w:shd w:fill="F4F6F8"/>
            <w:tcMar>
              <w:top w:w="120" w:type="dxa"/>
              <w:start w:w="140" w:type="dxa"/>
              <w:bottom w:w="120" w:type="dxa"/>
              <w:end w:w="140" w:type="dxa"/>
            </w:tcMar>
          </w:tcPr>
          <w:p>
            <w:pPr>
              <w:spacing w:after="0"/>
            </w:pPr>
            <w:r>
              <w:rPr>
                <w:rFonts w:ascii="Liberation Mono" w:hAnsi="Liberation Mono"/>
                <w:color w:val="282D32"/>
                <w:sz w:val="17"/>
              </w:rPr>
              <w:t>Source adapter output / approved normalized evidence</w:t>
            </w:r>
            <w:r>
              <w:br/>
            </w:r>
            <w:r>
              <w:rPr>
                <w:rFonts w:ascii="Liberation Mono" w:hAnsi="Liberation Mono"/>
                <w:color w:val="282D32"/>
                <w:sz w:val="17"/>
              </w:rPr>
              <w:t xml:space="preserve">                  |</w:t>
            </w:r>
            <w:r>
              <w:br/>
            </w:r>
            <w:r>
              <w:rPr>
                <w:rFonts w:ascii="Liberation Mono" w:hAnsi="Liberation Mono"/>
                <w:color w:val="282D32"/>
                <w:sz w:val="17"/>
              </w:rPr>
              <w:t xml:space="preserve">                  v</w:t>
            </w:r>
            <w:r>
              <w:br/>
            </w:r>
            <w:r>
              <w:rPr>
                <w:rFonts w:ascii="Liberation Mono" w:hAnsi="Liberation Mono"/>
                <w:color w:val="282D32"/>
                <w:sz w:val="17"/>
              </w:rPr>
              <w:t xml:space="preserve">         SourceInventory.v1</w:t>
            </w:r>
            <w:r>
              <w:br/>
            </w:r>
            <w:r>
              <w:rPr>
                <w:rFonts w:ascii="Liberation Mono" w:hAnsi="Liberation Mono"/>
                <w:color w:val="282D32"/>
                <w:sz w:val="17"/>
              </w:rPr>
              <w:t xml:space="preserve">                  |</w:t>
            </w:r>
            <w:r>
              <w:br/>
            </w:r>
            <w:r>
              <w:rPr>
                <w:rFonts w:ascii="Liberation Mono" w:hAnsi="Liberation Mono"/>
                <w:color w:val="282D32"/>
                <w:sz w:val="17"/>
              </w:rPr>
              <w:t xml:space="preserve">                  v</w:t>
            </w:r>
            <w:r>
              <w:br/>
            </w:r>
            <w:r>
              <w:rPr>
                <w:rFonts w:ascii="Liberation Mono" w:hAnsi="Liberation Mono"/>
                <w:color w:val="282D32"/>
                <w:sz w:val="17"/>
              </w:rPr>
              <w:t xml:space="preserve">       CanonicalTopology.v1</w:t>
            </w:r>
            <w:r>
              <w:br/>
            </w:r>
            <w:r>
              <w:rPr>
                <w:rFonts w:ascii="Liberation Mono" w:hAnsi="Liberation Mono"/>
                <w:color w:val="282D32"/>
                <w:sz w:val="17"/>
              </w:rPr>
              <w:t xml:space="preserve">  + TopologyTraceLedger.v1</w:t>
            </w:r>
            <w:r>
              <w:br/>
            </w:r>
            <w:r>
              <w:rPr>
                <w:rFonts w:ascii="Liberation Mono" w:hAnsi="Liberation Mono"/>
                <w:color w:val="282D32"/>
                <w:sz w:val="17"/>
              </w:rPr>
              <w:t xml:space="preserve">  + TopologyParityReport.v1</w:t>
            </w:r>
            <w:r>
              <w:br/>
            </w:r>
            <w:r>
              <w:rPr>
                <w:rFonts w:ascii="Liberation Mono" w:hAnsi="Liberation Mono"/>
                <w:color w:val="282D32"/>
                <w:sz w:val="17"/>
              </w:rPr>
              <w:t xml:space="preserve">                  |</w:t>
            </w:r>
            <w:r>
              <w:br/>
            </w:r>
            <w:r>
              <w:rPr>
                <w:rFonts w:ascii="Liberation Mono" w:hAnsi="Liberation Mono"/>
                <w:color w:val="282D32"/>
                <w:sz w:val="17"/>
              </w:rPr>
              <w:t xml:space="preserve">                  v</w:t>
            </w:r>
            <w:r>
              <w:br/>
            </w:r>
            <w:r>
              <w:rPr>
                <w:rFonts w:ascii="Liberation Mono" w:hAnsi="Liberation Mono"/>
                <w:color w:val="282D32"/>
                <w:sz w:val="17"/>
              </w:rPr>
              <w:t xml:space="preserve">       PsiNodePreprocessResult.v1</w:t>
            </w:r>
            <w:r>
              <w:br/>
            </w:r>
            <w:r>
              <w:rPr>
                <w:rFonts w:ascii="Liberation Mono" w:hAnsi="Liberation Mono"/>
                <w:color w:val="282D32"/>
                <w:sz w:val="17"/>
              </w:rPr>
              <w:t xml:space="preserve">  + LogicalPsiGraph.v1</w:t>
            </w:r>
            <w:r>
              <w:br/>
            </w:r>
            <w:r>
              <w:rPr>
                <w:rFonts w:ascii="Liberation Mono" w:hAnsi="Liberation Mono"/>
                <w:color w:val="282D32"/>
                <w:sz w:val="17"/>
              </w:rPr>
              <w:t xml:space="preserve">  + NodeHistoryMatchPlan.v1</w:t>
            </w:r>
            <w:r>
              <w:br/>
            </w:r>
            <w:r>
              <w:rPr>
                <w:rFonts w:ascii="Liberation Mono" w:hAnsi="Liberation Mono"/>
                <w:color w:val="282D32"/>
                <w:sz w:val="17"/>
              </w:rPr>
              <w:t xml:space="preserve">  + PsiNodeAllocationPlan.v1</w:t>
            </w:r>
            <w:r>
              <w:br/>
            </w:r>
            <w:r>
              <w:rPr>
                <w:rFonts w:ascii="Liberation Mono" w:hAnsi="Liberation Mono"/>
                <w:color w:val="282D32"/>
                <w:sz w:val="17"/>
              </w:rPr>
              <w:t xml:space="preserve">  + PsiNodePlan.v1</w:t>
            </w:r>
            <w:r>
              <w:br/>
            </w:r>
            <w:r>
              <w:rPr>
                <w:rFonts w:ascii="Liberation Mono" w:hAnsi="Liberation Mono"/>
                <w:color w:val="282D32"/>
                <w:sz w:val="17"/>
              </w:rPr>
              <w:t xml:space="preserve">                  |</w:t>
            </w:r>
            <w:r>
              <w:br/>
            </w:r>
            <w:r>
              <w:rPr>
                <w:rFonts w:ascii="Liberation Mono" w:hAnsi="Liberation Mono"/>
                <w:color w:val="282D32"/>
                <w:sz w:val="17"/>
              </w:rPr>
              <w:t xml:space="preserve">        +---------+---------+</w:t>
            </w:r>
            <w:r>
              <w:br/>
            </w:r>
            <w:r>
              <w:rPr>
                <w:rFonts w:ascii="Liberation Mono" w:hAnsi="Liberation Mono"/>
                <w:color w:val="282D32"/>
                <w:sz w:val="17"/>
              </w:rPr>
              <w:t xml:space="preserve">        |                   |</w:t>
            </w:r>
            <w:r>
              <w:br/>
            </w:r>
            <w:r>
              <w:rPr>
                <w:rFonts w:ascii="Liberation Mono" w:hAnsi="Liberation Mono"/>
                <w:color w:val="282D32"/>
                <w:sz w:val="17"/>
              </w:rPr>
              <w:t xml:space="preserve">        v                   v</w:t>
            </w:r>
            <w:r>
              <w:br/>
            </w:r>
            <w:r>
              <w:rPr>
                <w:rFonts w:ascii="Liberation Mono" w:hAnsi="Liberation Mono"/>
                <w:color w:val="282D32"/>
                <w:sz w:val="17"/>
              </w:rPr>
              <w:t>Canonical PSI writer   Sequential PSI writer</w:t>
            </w:r>
            <w:r>
              <w:br/>
            </w:r>
            <w:r>
              <w:rPr>
                <w:rFonts w:ascii="Liberation Mono" w:hAnsi="Liberation Mono"/>
                <w:color w:val="282D32"/>
                <w:sz w:val="17"/>
              </w:rPr>
              <w:t xml:space="preserve">        |                   |</w:t>
            </w:r>
            <w:r>
              <w:br/>
            </w:r>
            <w:r>
              <w:rPr>
                <w:rFonts w:ascii="Liberation Mono" w:hAnsi="Liberation Mono"/>
                <w:color w:val="282D32"/>
                <w:sz w:val="17"/>
              </w:rPr>
              <w:t xml:space="preserve">        +---------+---------+</w:t>
            </w:r>
            <w:r>
              <w:br/>
            </w:r>
            <w:r>
              <w:rPr>
                <w:rFonts w:ascii="Liberation Mono" w:hAnsi="Liberation Mono"/>
                <w:color w:val="282D32"/>
                <w:sz w:val="17"/>
              </w:rPr>
              <w:t xml:space="preserve">                  |</w:t>
            </w:r>
            <w:r>
              <w:br/>
            </w:r>
            <w:r>
              <w:rPr>
                <w:rFonts w:ascii="Liberation Mono" w:hAnsi="Liberation Mono"/>
                <w:color w:val="282D32"/>
                <w:sz w:val="17"/>
              </w:rPr>
              <w:t xml:space="preserve">                  v</w:t>
            </w:r>
            <w:r>
              <w:br/>
            </w:r>
            <w:r>
              <w:rPr>
                <w:rFonts w:ascii="Liberation Mono" w:hAnsi="Liberation Mono"/>
                <w:color w:val="282D32"/>
                <w:sz w:val="17"/>
              </w:rPr>
              <w:t xml:space="preserve">       Canonical InputXML v1</w:t>
            </w:r>
            <w:r>
              <w:br/>
            </w:r>
            <w:r>
              <w:rPr>
                <w:rFonts w:ascii="Liberation Mono" w:hAnsi="Liberation Mono"/>
                <w:color w:val="282D32"/>
                <w:sz w:val="17"/>
              </w:rPr>
              <w:t xml:space="preserve">                  |</w:t>
            </w:r>
            <w:r>
              <w:br/>
            </w:r>
            <w:r>
              <w:rPr>
                <w:rFonts w:ascii="Liberation Mono" w:hAnsi="Liberation Mono"/>
                <w:color w:val="282D32"/>
                <w:sz w:val="17"/>
              </w:rPr>
              <w:t xml:space="preserve">                  v</w:t>
            </w:r>
            <w:r>
              <w:br/>
            </w:r>
            <w:r>
              <w:rPr>
                <w:rFonts w:ascii="Liberation Mono" w:hAnsi="Liberation Mono"/>
                <w:color w:val="282D32"/>
                <w:sz w:val="17"/>
              </w:rPr>
              <w:t xml:space="preserve"> InputXmlCiiAssuranceLedger.v1</w:t>
            </w:r>
            <w:r>
              <w:br/>
            </w:r>
            <w:r>
              <w:rPr>
                <w:rFonts w:ascii="Liberation Mono" w:hAnsi="Liberation Mono"/>
                <w:color w:val="282D32"/>
                <w:sz w:val="17"/>
              </w:rPr>
              <w:t xml:space="preserve"> + PostCanonicalTopologyParity.v1</w:t>
            </w:r>
            <w:r>
              <w:br/>
            </w:r>
            <w:r>
              <w:rPr>
                <w:rFonts w:ascii="Liberation Mono" w:hAnsi="Liberation Mono"/>
                <w:color w:val="282D32"/>
                <w:sz w:val="17"/>
              </w:rPr>
              <w:t xml:space="preserve">                  |</w:t>
            </w:r>
            <w:r>
              <w:br/>
            </w:r>
            <w:r>
              <w:rPr>
                <w:rFonts w:ascii="Liberation Mono" w:hAnsi="Liberation Mono"/>
                <w:color w:val="282D32"/>
                <w:sz w:val="17"/>
              </w:rPr>
              <w:t xml:space="preserve">                  v</w:t>
            </w:r>
            <w:r>
              <w:br/>
            </w:r>
            <w:r>
              <w:rPr>
                <w:rFonts w:ascii="Liberation Mono" w:hAnsi="Liberation Mono"/>
                <w:color w:val="282D32"/>
                <w:sz w:val="17"/>
              </w:rPr>
              <w:t xml:space="preserve">         CII(2019) writer</w:t>
            </w:r>
            <w:r>
              <w:br/>
            </w:r>
            <w:r>
              <w:rPr>
                <w:rFonts w:ascii="Liberation Mono" w:hAnsi="Liberation Mono"/>
                <w:color w:val="282D32"/>
                <w:sz w:val="17"/>
              </w:rPr>
              <w:t xml:space="preserve">                  |</w:t>
            </w:r>
            <w:r>
              <w:br/>
            </w:r>
            <w:r>
              <w:rPr>
                <w:rFonts w:ascii="Liberation Mono" w:hAnsi="Liberation Mono"/>
                <w:color w:val="282D32"/>
                <w:sz w:val="17"/>
              </w:rPr>
              <w:t xml:space="preserve">                  v</w:t>
            </w:r>
            <w:r>
              <w:br/>
            </w:r>
            <w:r>
              <w:rPr>
                <w:rFonts w:ascii="Liberation Mono" w:hAnsi="Liberation Mono"/>
                <w:color w:val="282D32"/>
                <w:sz w:val="17"/>
              </w:rPr>
              <w:t xml:space="preserve"> InputXmlCiiProjectionLedger.v1</w:t>
            </w:r>
            <w:r>
              <w:br/>
            </w:r>
            <w:r>
              <w:rPr>
                <w:rFonts w:ascii="Liberation Mono" w:hAnsi="Liberation Mono"/>
                <w:color w:val="282D32"/>
                <w:sz w:val="17"/>
              </w:rPr>
              <w:t xml:space="preserve"> + independent CII reparse proof</w:t>
            </w:r>
          </w:p>
        </w:tc>
      </w:tr>
    </w:tbl>
    <w:p>
      <w:pPr>
        <w:spacing w:after="0"/>
      </w:pPr>
    </w:p>
    <w:p>
      <w:pPr>
        <w:pStyle w:val="Heading2"/>
        <w:keepNext/>
      </w:pPr>
      <w:r>
        <w:t>5.1 Authority layers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088"/>
            <w:shd w:fill="D9E2F3"/>
            <w:tcMar>
              <w:top w:w="90" w:type="dxa"/>
              <w:start w:w="90" w:type="dxa"/>
              <w:bottom w:w="90" w:type="dxa"/>
              <w:end w:w="90" w:type="dxa"/>
            </w:tcMar>
            <w:vAlign w:val="center"/>
          </w:tcPr>
          <w:p>
            <w:pPr>
              <w:jc w:val="left"/>
            </w:pPr>
            <w:r>
              <w:rPr>
                <w:rFonts w:ascii="Aptos" w:hAnsi="Aptos"/>
                <w:b/>
                <w:color w:val="1F3757"/>
                <w:sz w:val="17"/>
              </w:rPr>
              <w:t>Layer</w:t>
            </w:r>
          </w:p>
        </w:tc>
        <w:tc>
          <w:tcPr>
            <w:tcW w:type="dxa" w:w="3672"/>
            <w:shd w:fill="D9E2F3"/>
            <w:tcMar>
              <w:top w:w="90" w:type="dxa"/>
              <w:start w:w="90" w:type="dxa"/>
              <w:bottom w:w="90" w:type="dxa"/>
              <w:end w:w="90" w:type="dxa"/>
            </w:tcMar>
            <w:vAlign w:val="center"/>
          </w:tcPr>
          <w:p>
            <w:pPr>
              <w:jc w:val="left"/>
            </w:pPr>
            <w:r>
              <w:rPr>
                <w:rFonts w:ascii="Aptos" w:hAnsi="Aptos"/>
                <w:b/>
                <w:color w:val="1F3757"/>
                <w:sz w:val="17"/>
              </w:rPr>
              <w:t>Authoritative object</w:t>
            </w:r>
          </w:p>
        </w:tc>
        <w:tc>
          <w:tcPr>
            <w:tcW w:type="dxa" w:w="4320"/>
            <w:shd w:fill="D9E2F3"/>
            <w:tcMar>
              <w:top w:w="90" w:type="dxa"/>
              <w:start w:w="90" w:type="dxa"/>
              <w:bottom w:w="90" w:type="dxa"/>
              <w:end w:w="90" w:type="dxa"/>
            </w:tcMar>
            <w:vAlign w:val="center"/>
          </w:tcPr>
          <w:p>
            <w:pPr>
              <w:jc w:val="left"/>
            </w:pPr>
            <w:r>
              <w:rPr>
                <w:rFonts w:ascii="Aptos" w:hAnsi="Aptos"/>
                <w:b/>
                <w:color w:val="1F3757"/>
                <w:sz w:val="17"/>
              </w:rPr>
              <w:t>Prohibited behaviour</w:t>
            </w:r>
          </w:p>
        </w:tc>
      </w:tr>
      <w:tr>
        <w:trPr>
          <w:cantSplit w:val="true"/>
        </w:trPr>
        <w:tc>
          <w:tcPr>
            <w:tcW w:type="dxa" w:w="2088"/>
            <w:tcMar>
              <w:top w:w="80" w:type="dxa"/>
              <w:start w:w="90" w:type="dxa"/>
              <w:bottom w:w="80" w:type="dxa"/>
              <w:end w:w="90" w:type="dxa"/>
            </w:tcMar>
            <w:vAlign w:val="top"/>
          </w:tcPr>
          <w:p>
            <w:pPr>
              <w:spacing w:after="0"/>
            </w:pPr>
            <w:r>
              <w:rPr>
                <w:rFonts w:ascii="Aptos" w:hAnsi="Aptos"/>
                <w:sz w:val="17"/>
              </w:rPr>
              <w:t>Source evidence</w:t>
            </w:r>
          </w:p>
        </w:tc>
        <w:tc>
          <w:tcPr>
            <w:tcW w:type="dxa" w:w="3672"/>
            <w:tcMar>
              <w:top w:w="80" w:type="dxa"/>
              <w:start w:w="90" w:type="dxa"/>
              <w:bottom w:w="80" w:type="dxa"/>
              <w:end w:w="90" w:type="dxa"/>
            </w:tcMar>
            <w:vAlign w:val="top"/>
          </w:tcPr>
          <w:p>
            <w:pPr>
              <w:spacing w:after="0"/>
            </w:pPr>
            <w:r>
              <w:rPr>
                <w:rFonts w:ascii="Aptos" w:hAnsi="Aptos"/>
                <w:sz w:val="17"/>
              </w:rPr>
              <w:t>SourceInventory.v1</w:t>
            </w:r>
          </w:p>
        </w:tc>
        <w:tc>
          <w:tcPr>
            <w:tcW w:type="dxa" w:w="4320"/>
            <w:tcMar>
              <w:top w:w="80" w:type="dxa"/>
              <w:start w:w="90" w:type="dxa"/>
              <w:bottom w:w="80" w:type="dxa"/>
              <w:end w:w="90" w:type="dxa"/>
            </w:tcMar>
            <w:vAlign w:val="top"/>
          </w:tcPr>
          <w:p>
            <w:pPr>
              <w:spacing w:after="0"/>
            </w:pPr>
            <w:r>
              <w:rPr>
                <w:rFonts w:ascii="Aptos" w:hAnsi="Aptos"/>
                <w:sz w:val="17"/>
              </w:rPr>
              <w:t>Writers reading arbitrary source structures directly.</w:t>
            </w:r>
          </w:p>
        </w:tc>
      </w:tr>
      <w:tr>
        <w:trPr>
          <w:cantSplit w:val="true"/>
        </w:trPr>
        <w:tc>
          <w:tcPr>
            <w:tcW w:type="dxa" w:w="2088"/>
            <w:tcMar>
              <w:top w:w="80" w:type="dxa"/>
              <w:start w:w="90" w:type="dxa"/>
              <w:bottom w:w="80" w:type="dxa"/>
              <w:end w:w="90" w:type="dxa"/>
            </w:tcMar>
            <w:vAlign w:val="top"/>
          </w:tcPr>
          <w:p>
            <w:pPr>
              <w:spacing w:after="0"/>
            </w:pPr>
            <w:r>
              <w:rPr>
                <w:rFonts w:ascii="Aptos" w:hAnsi="Aptos"/>
                <w:sz w:val="17"/>
              </w:rPr>
              <w:t>Engineering topology</w:t>
            </w:r>
          </w:p>
        </w:tc>
        <w:tc>
          <w:tcPr>
            <w:tcW w:type="dxa" w:w="3672"/>
            <w:tcMar>
              <w:top w:w="80" w:type="dxa"/>
              <w:start w:w="90" w:type="dxa"/>
              <w:bottom w:w="80" w:type="dxa"/>
              <w:end w:w="90" w:type="dxa"/>
            </w:tcMar>
            <w:vAlign w:val="top"/>
          </w:tcPr>
          <w:p>
            <w:pPr>
              <w:spacing w:after="0"/>
            </w:pPr>
            <w:r>
              <w:rPr>
                <w:rFonts w:ascii="Aptos" w:hAnsi="Aptos"/>
                <w:sz w:val="17"/>
              </w:rPr>
              <w:t>CanonicalTopology.v1</w:t>
            </w:r>
          </w:p>
        </w:tc>
        <w:tc>
          <w:tcPr>
            <w:tcW w:type="dxa" w:w="4320"/>
            <w:tcMar>
              <w:top w:w="80" w:type="dxa"/>
              <w:start w:w="90" w:type="dxa"/>
              <w:bottom w:w="80" w:type="dxa"/>
              <w:end w:w="90" w:type="dxa"/>
            </w:tcMar>
            <w:vAlign w:val="top"/>
          </w:tcPr>
          <w:p>
            <w:pPr>
              <w:spacing w:after="0"/>
            </w:pPr>
            <w:r>
              <w:rPr>
                <w:rFonts w:ascii="Aptos" w:hAnsi="Aptos"/>
                <w:sz w:val="17"/>
              </w:rPr>
              <w:t>Creating connectivity solely from proximity.</w:t>
            </w:r>
          </w:p>
        </w:tc>
      </w:tr>
      <w:tr>
        <w:trPr>
          <w:cantSplit w:val="true"/>
        </w:trPr>
        <w:tc>
          <w:tcPr>
            <w:tcW w:type="dxa" w:w="2088"/>
            <w:tcMar>
              <w:top w:w="80" w:type="dxa"/>
              <w:start w:w="90" w:type="dxa"/>
              <w:bottom w:w="80" w:type="dxa"/>
              <w:end w:w="90" w:type="dxa"/>
            </w:tcMar>
            <w:vAlign w:val="top"/>
          </w:tcPr>
          <w:p>
            <w:pPr>
              <w:spacing w:after="0"/>
            </w:pPr>
            <w:r>
              <w:rPr>
                <w:rFonts w:ascii="Aptos" w:hAnsi="Aptos"/>
                <w:sz w:val="17"/>
              </w:rPr>
              <w:t>Historical identity</w:t>
            </w:r>
          </w:p>
        </w:tc>
        <w:tc>
          <w:tcPr>
            <w:tcW w:type="dxa" w:w="3672"/>
            <w:tcMar>
              <w:top w:w="80" w:type="dxa"/>
              <w:start w:w="90" w:type="dxa"/>
              <w:bottom w:w="80" w:type="dxa"/>
              <w:end w:w="90" w:type="dxa"/>
            </w:tcMar>
            <w:vAlign w:val="top"/>
          </w:tcPr>
          <w:p>
            <w:pPr>
              <w:spacing w:after="0"/>
            </w:pPr>
            <w:r>
              <w:rPr>
                <w:rFonts w:ascii="Aptos" w:hAnsi="Aptos"/>
                <w:sz w:val="17"/>
              </w:rPr>
              <w:t>NodeHistoryMatchPlan.v1 and registry snapshot</w:t>
            </w:r>
          </w:p>
        </w:tc>
        <w:tc>
          <w:tcPr>
            <w:tcW w:type="dxa" w:w="4320"/>
            <w:tcMar>
              <w:top w:w="80" w:type="dxa"/>
              <w:start w:w="90" w:type="dxa"/>
              <w:bottom w:w="80" w:type="dxa"/>
              <w:end w:w="90" w:type="dxa"/>
            </w:tcMar>
            <w:vAlign w:val="top"/>
          </w:tcPr>
          <w:p>
            <w:pPr>
              <w:spacing w:after="0"/>
            </w:pPr>
            <w:r>
              <w:rPr>
                <w:rFonts w:ascii="Aptos" w:hAnsi="Aptos"/>
                <w:sz w:val="17"/>
              </w:rPr>
              <w:t>Reusing a number from position alone.</w:t>
            </w:r>
          </w:p>
        </w:tc>
      </w:tr>
      <w:tr>
        <w:trPr>
          <w:cantSplit w:val="true"/>
        </w:trPr>
        <w:tc>
          <w:tcPr>
            <w:tcW w:type="dxa" w:w="2088"/>
            <w:tcMar>
              <w:top w:w="80" w:type="dxa"/>
              <w:start w:w="90" w:type="dxa"/>
              <w:bottom w:w="80" w:type="dxa"/>
              <w:end w:w="90" w:type="dxa"/>
            </w:tcMar>
            <w:vAlign w:val="top"/>
          </w:tcPr>
          <w:p>
            <w:pPr>
              <w:spacing w:after="0"/>
            </w:pPr>
            <w:r>
              <w:rPr>
                <w:rFonts w:ascii="Aptos" w:hAnsi="Aptos"/>
                <w:sz w:val="17"/>
              </w:rPr>
              <w:t>Engineering numbering</w:t>
            </w:r>
          </w:p>
        </w:tc>
        <w:tc>
          <w:tcPr>
            <w:tcW w:type="dxa" w:w="3672"/>
            <w:tcMar>
              <w:top w:w="80" w:type="dxa"/>
              <w:start w:w="90" w:type="dxa"/>
              <w:bottom w:w="80" w:type="dxa"/>
              <w:end w:w="90" w:type="dxa"/>
            </w:tcMar>
            <w:vAlign w:val="top"/>
          </w:tcPr>
          <w:p>
            <w:pPr>
              <w:spacing w:after="0"/>
            </w:pPr>
            <w:r>
              <w:rPr>
                <w:rFonts w:ascii="Aptos" w:hAnsi="Aptos"/>
                <w:sz w:val="17"/>
              </w:rPr>
              <w:t>PsiNodePlan.v1</w:t>
            </w:r>
          </w:p>
        </w:tc>
        <w:tc>
          <w:tcPr>
            <w:tcW w:type="dxa" w:w="4320"/>
            <w:tcMar>
              <w:top w:w="80" w:type="dxa"/>
              <w:start w:w="90" w:type="dxa"/>
              <w:bottom w:w="80" w:type="dxa"/>
              <w:end w:w="90" w:type="dxa"/>
            </w:tcMar>
            <w:vAlign w:val="top"/>
          </w:tcPr>
          <w:p>
            <w:pPr>
              <w:spacing w:after="0"/>
            </w:pPr>
            <w:r>
              <w:rPr>
                <w:rFonts w:ascii="Aptos" w:hAnsi="Aptos"/>
                <w:sz w:val="17"/>
              </w:rPr>
              <w:t>Writer counters, +10 inference or record mutation.</w:t>
            </w:r>
          </w:p>
        </w:tc>
      </w:tr>
      <w:tr>
        <w:trPr>
          <w:cantSplit w:val="true"/>
        </w:trPr>
        <w:tc>
          <w:tcPr>
            <w:tcW w:type="dxa" w:w="2088"/>
            <w:tcMar>
              <w:top w:w="80" w:type="dxa"/>
              <w:start w:w="90" w:type="dxa"/>
              <w:bottom w:w="80" w:type="dxa"/>
              <w:end w:w="90" w:type="dxa"/>
            </w:tcMar>
            <w:vAlign w:val="top"/>
          </w:tcPr>
          <w:p>
            <w:pPr>
              <w:spacing w:after="0"/>
            </w:pPr>
            <w:r>
              <w:rPr>
                <w:rFonts w:ascii="Aptos" w:hAnsi="Aptos"/>
                <w:sz w:val="17"/>
              </w:rPr>
              <w:t>Canonical XML</w:t>
            </w:r>
          </w:p>
        </w:tc>
        <w:tc>
          <w:tcPr>
            <w:tcW w:type="dxa" w:w="3672"/>
            <w:tcMar>
              <w:top w:w="80" w:type="dxa"/>
              <w:start w:w="90" w:type="dxa"/>
              <w:bottom w:w="80" w:type="dxa"/>
              <w:end w:w="90" w:type="dxa"/>
            </w:tcMar>
            <w:vAlign w:val="top"/>
          </w:tcPr>
          <w:p>
            <w:pPr>
              <w:spacing w:after="0"/>
            </w:pPr>
            <w:r>
              <w:rPr>
                <w:rFonts w:ascii="Aptos" w:hAnsi="Aptos"/>
                <w:sz w:val="17"/>
              </w:rPr>
              <w:t>Canonical InputXML v1</w:t>
            </w:r>
          </w:p>
        </w:tc>
        <w:tc>
          <w:tcPr>
            <w:tcW w:type="dxa" w:w="4320"/>
            <w:tcMar>
              <w:top w:w="80" w:type="dxa"/>
              <w:start w:w="90" w:type="dxa"/>
              <w:bottom w:w="80" w:type="dxa"/>
              <w:end w:w="90" w:type="dxa"/>
            </w:tcMar>
            <w:vAlign w:val="top"/>
          </w:tcPr>
          <w:p>
            <w:pPr>
              <w:spacing w:after="0"/>
            </w:pPr>
            <w:r>
              <w:rPr>
                <w:rFonts w:ascii="Aptos" w:hAnsi="Aptos"/>
                <w:sz w:val="17"/>
              </w:rPr>
              <w:t>Dialect-specific fields bypassing canonical policy.</w:t>
            </w:r>
          </w:p>
        </w:tc>
      </w:tr>
      <w:tr>
        <w:trPr>
          <w:cantSplit w:val="true"/>
        </w:trPr>
        <w:tc>
          <w:tcPr>
            <w:tcW w:type="dxa" w:w="2088"/>
            <w:tcMar>
              <w:top w:w="80" w:type="dxa"/>
              <w:start w:w="90" w:type="dxa"/>
              <w:bottom w:w="80" w:type="dxa"/>
              <w:end w:w="90" w:type="dxa"/>
            </w:tcMar>
            <w:vAlign w:val="top"/>
          </w:tcPr>
          <w:p>
            <w:pPr>
              <w:spacing w:after="0"/>
            </w:pPr>
            <w:r>
              <w:rPr>
                <w:rFonts w:ascii="Aptos" w:hAnsi="Aptos"/>
                <w:sz w:val="17"/>
              </w:rPr>
              <w:t>Production assurance</w:t>
            </w:r>
          </w:p>
        </w:tc>
        <w:tc>
          <w:tcPr>
            <w:tcW w:type="dxa" w:w="3672"/>
            <w:tcMar>
              <w:top w:w="80" w:type="dxa"/>
              <w:start w:w="90" w:type="dxa"/>
              <w:bottom w:w="80" w:type="dxa"/>
              <w:end w:w="90" w:type="dxa"/>
            </w:tcMar>
            <w:vAlign w:val="top"/>
          </w:tcPr>
          <w:p>
            <w:pPr>
              <w:spacing w:after="0"/>
            </w:pPr>
            <w:r>
              <w:rPr>
                <w:rFonts w:ascii="Aptos" w:hAnsi="Aptos"/>
                <w:sz w:val="17"/>
              </w:rPr>
              <w:t>Assurance and parity ledgers</w:t>
            </w:r>
          </w:p>
        </w:tc>
        <w:tc>
          <w:tcPr>
            <w:tcW w:type="dxa" w:w="4320"/>
            <w:tcMar>
              <w:top w:w="80" w:type="dxa"/>
              <w:start w:w="90" w:type="dxa"/>
              <w:bottom w:w="80" w:type="dxa"/>
              <w:end w:w="90" w:type="dxa"/>
            </w:tcMar>
            <w:vAlign w:val="top"/>
          </w:tcPr>
          <w:p>
            <w:pPr>
              <w:spacing w:after="0"/>
            </w:pPr>
            <w:r>
              <w:rPr>
                <w:rFonts w:ascii="Aptos" w:hAnsi="Aptos"/>
                <w:sz w:val="17"/>
              </w:rPr>
              <w:t>Treating warnings as success when blockers exist.</w:t>
            </w:r>
          </w:p>
        </w:tc>
      </w:tr>
      <w:tr>
        <w:trPr>
          <w:cantSplit w:val="true"/>
        </w:trPr>
        <w:tc>
          <w:tcPr>
            <w:tcW w:type="dxa" w:w="2088"/>
            <w:tcMar>
              <w:top w:w="80" w:type="dxa"/>
              <w:start w:w="90" w:type="dxa"/>
              <w:bottom w:w="80" w:type="dxa"/>
              <w:end w:w="90" w:type="dxa"/>
            </w:tcMar>
            <w:vAlign w:val="top"/>
          </w:tcPr>
          <w:p>
            <w:pPr>
              <w:spacing w:after="0"/>
            </w:pPr>
            <w:r>
              <w:rPr>
                <w:rFonts w:ascii="Aptos" w:hAnsi="Aptos"/>
                <w:sz w:val="17"/>
              </w:rPr>
              <w:t>CII release</w:t>
            </w:r>
          </w:p>
        </w:tc>
        <w:tc>
          <w:tcPr>
            <w:tcW w:type="dxa" w:w="3672"/>
            <w:tcMar>
              <w:top w:w="80" w:type="dxa"/>
              <w:start w:w="90" w:type="dxa"/>
              <w:bottom w:w="80" w:type="dxa"/>
              <w:end w:w="90" w:type="dxa"/>
            </w:tcMar>
            <w:vAlign w:val="top"/>
          </w:tcPr>
          <w:p>
            <w:pPr>
              <w:spacing w:after="0"/>
            </w:pPr>
            <w:r>
              <w:rPr>
                <w:rFonts w:ascii="Aptos" w:hAnsi="Aptos"/>
                <w:sz w:val="17"/>
              </w:rPr>
              <w:t>Projection ledger plus independent reparse proof</w:t>
            </w:r>
          </w:p>
        </w:tc>
        <w:tc>
          <w:tcPr>
            <w:tcW w:type="dxa" w:w="4320"/>
            <w:tcMar>
              <w:top w:w="80" w:type="dxa"/>
              <w:start w:w="90" w:type="dxa"/>
              <w:bottom w:w="80" w:type="dxa"/>
              <w:end w:w="90" w:type="dxa"/>
            </w:tcMar>
            <w:vAlign w:val="top"/>
          </w:tcPr>
          <w:p>
            <w:pPr>
              <w:spacing w:after="0"/>
            </w:pPr>
            <w:r>
              <w:rPr>
                <w:rFonts w:ascii="Aptos" w:hAnsi="Aptos"/>
                <w:sz w:val="17"/>
              </w:rPr>
              <w:t>Publishing unverified producer output.</w:t>
            </w:r>
          </w:p>
        </w:tc>
      </w:tr>
    </w:tbl>
    <w:p>
      <w:pPr>
        <w:spacing w:after="0"/>
      </w:pPr>
    </w:p>
    <w:p>
      <w:pPr>
        <w:pStyle w:val="Heading1"/>
        <w:keepNext/>
      </w:pPr>
      <w:r>
        <w:t>6. Proposed contract family</w:t>
      </w:r>
    </w:p>
    <w:p>
      <w:pPr>
        <w:spacing w:after="120" w:line="259" w:lineRule="auto"/>
      </w:pPr>
      <w:r>
        <w:rPr>
          <w:rFonts w:ascii="Aptos" w:hAnsi="Aptos"/>
          <w:sz w:val="21"/>
        </w:rPr>
        <w:t>The upgrade should be expressed as a versioned contract suite rather than a large procedural module. Each contract has a narrow owner, an immutable hash, explicit validation status and a defined consumer.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240"/>
            <w:shd w:fill="D9E2F3"/>
            <w:tcMar>
              <w:top w:w="90" w:type="dxa"/>
              <w:start w:w="90" w:type="dxa"/>
              <w:bottom w:w="90" w:type="dxa"/>
              <w:end w:w="90" w:type="dxa"/>
            </w:tcMar>
            <w:vAlign w:val="center"/>
          </w:tcPr>
          <w:p>
            <w:pPr>
              <w:jc w:val="left"/>
            </w:pPr>
            <w:r>
              <w:rPr>
                <w:rFonts w:ascii="Aptos" w:hAnsi="Aptos"/>
                <w:b/>
                <w:color w:val="1F3757"/>
                <w:sz w:val="17"/>
              </w:rPr>
              <w:t>Contract</w:t>
            </w:r>
          </w:p>
        </w:tc>
        <w:tc>
          <w:tcPr>
            <w:tcW w:type="dxa" w:w="6840"/>
            <w:shd w:fill="D9E2F3"/>
            <w:tcMar>
              <w:top w:w="90" w:type="dxa"/>
              <w:start w:w="90" w:type="dxa"/>
              <w:bottom w:w="90" w:type="dxa"/>
              <w:end w:w="90" w:type="dxa"/>
            </w:tcMar>
            <w:vAlign w:val="center"/>
          </w:tcPr>
          <w:p>
            <w:pPr>
              <w:jc w:val="left"/>
            </w:pPr>
            <w:r>
              <w:rPr>
                <w:rFonts w:ascii="Aptos" w:hAnsi="Aptos"/>
                <w:b/>
                <w:color w:val="1F3757"/>
                <w:sz w:val="17"/>
              </w:rPr>
              <w:t>Responsibility</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SourceInventory.v1</w:t>
            </w:r>
          </w:p>
        </w:tc>
        <w:tc>
          <w:tcPr>
            <w:tcW w:type="dxa" w:w="6840"/>
            <w:tcMar>
              <w:top w:w="80" w:type="dxa"/>
              <w:start w:w="90" w:type="dxa"/>
              <w:bottom w:w="80" w:type="dxa"/>
              <w:end w:w="90" w:type="dxa"/>
            </w:tcMar>
            <w:vAlign w:val="top"/>
          </w:tcPr>
          <w:p>
            <w:pPr>
              <w:spacing w:after="0"/>
            </w:pPr>
            <w:r>
              <w:rPr>
                <w:rFonts w:ascii="Aptos" w:hAnsi="Aptos"/>
                <w:sz w:val="17"/>
              </w:rPr>
              <w:t>Normalized source entities, ports, branch identity, REF/CREF/HREF/TREF, coordinates and enrichment evidence.</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CanonicalTopology.v1</w:t>
            </w:r>
          </w:p>
        </w:tc>
        <w:tc>
          <w:tcPr>
            <w:tcW w:type="dxa" w:w="6840"/>
            <w:tcMar>
              <w:top w:w="80" w:type="dxa"/>
              <w:start w:w="90" w:type="dxa"/>
              <w:bottom w:w="80" w:type="dxa"/>
              <w:end w:w="90" w:type="dxa"/>
            </w:tcMar>
            <w:vAlign w:val="top"/>
          </w:tcPr>
          <w:p>
            <w:pPr>
              <w:spacing w:after="0"/>
            </w:pPr>
            <w:r>
              <w:rPr>
                <w:rFonts w:ascii="Aptos" w:hAnsi="Aptos"/>
                <w:sz w:val="17"/>
              </w:rPr>
              <w:t>Canonical nodes, edges, junctions, boundaries, supports and topology identities.</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TopologyTraceLedger.v1</w:t>
            </w:r>
          </w:p>
        </w:tc>
        <w:tc>
          <w:tcPr>
            <w:tcW w:type="dxa" w:w="6840"/>
            <w:tcMar>
              <w:top w:w="80" w:type="dxa"/>
              <w:start w:w="90" w:type="dxa"/>
              <w:bottom w:w="80" w:type="dxa"/>
              <w:end w:w="90" w:type="dxa"/>
            </w:tcMar>
            <w:vAlign w:val="top"/>
          </w:tcPr>
          <w:p>
            <w:pPr>
              <w:spacing w:after="0"/>
            </w:pPr>
            <w:r>
              <w:rPr>
                <w:rFonts w:ascii="Aptos" w:hAnsi="Aptos"/>
                <w:sz w:val="17"/>
              </w:rPr>
              <w:t>Source-to-topology lineage for every canonical topology object.</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TopologyParityReport.v1</w:t>
            </w:r>
          </w:p>
        </w:tc>
        <w:tc>
          <w:tcPr>
            <w:tcW w:type="dxa" w:w="6840"/>
            <w:tcMar>
              <w:top w:w="80" w:type="dxa"/>
              <w:start w:w="90" w:type="dxa"/>
              <w:bottom w:w="80" w:type="dxa"/>
              <w:end w:w="90" w:type="dxa"/>
            </w:tcMar>
            <w:vAlign w:val="top"/>
          </w:tcPr>
          <w:p>
            <w:pPr>
              <w:spacing w:after="0"/>
            </w:pPr>
            <w:r>
              <w:rPr>
                <w:rFonts w:ascii="Aptos" w:hAnsi="Aptos"/>
                <w:sz w:val="17"/>
              </w:rPr>
              <w:t>Producer proof that topology-derived projections remain aligned.</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LogicalPsiGraph.v1</w:t>
            </w:r>
          </w:p>
        </w:tc>
        <w:tc>
          <w:tcPr>
            <w:tcW w:type="dxa" w:w="6840"/>
            <w:tcMar>
              <w:top w:w="80" w:type="dxa"/>
              <w:start w:w="90" w:type="dxa"/>
              <w:bottom w:w="80" w:type="dxa"/>
              <w:end w:w="90" w:type="dxa"/>
            </w:tcMar>
            <w:vAlign w:val="top"/>
          </w:tcPr>
          <w:p>
            <w:pPr>
              <w:spacing w:after="0"/>
            </w:pPr>
            <w:r>
              <w:rPr>
                <w:rFonts w:ascii="Aptos" w:hAnsi="Aptos"/>
                <w:sz w:val="17"/>
              </w:rPr>
              <w:t>Post-normalization logical node graph, raw-port aliases and consumed/snap evidence.</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NodeHistoryMatchPlan.v1</w:t>
            </w:r>
          </w:p>
        </w:tc>
        <w:tc>
          <w:tcPr>
            <w:tcW w:type="dxa" w:w="6840"/>
            <w:tcMar>
              <w:top w:w="80" w:type="dxa"/>
              <w:start w:w="90" w:type="dxa"/>
              <w:bottom w:w="80" w:type="dxa"/>
              <w:end w:w="90" w:type="dxa"/>
            </w:tcMar>
            <w:vAlign w:val="top"/>
          </w:tcPr>
          <w:p>
            <w:pPr>
              <w:spacing w:after="0"/>
            </w:pPr>
            <w:r>
              <w:rPr>
                <w:rFonts w:ascii="Aptos" w:hAnsi="Aptos"/>
                <w:sz w:val="17"/>
              </w:rPr>
              <w:t>Eligible candidates, hard conflicts, scores, assignment and ambiguity outcomes.</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PsiNodeAllocationPlan.v1</w:t>
            </w:r>
          </w:p>
        </w:tc>
        <w:tc>
          <w:tcPr>
            <w:tcW w:type="dxa" w:w="6840"/>
            <w:tcMar>
              <w:top w:w="80" w:type="dxa"/>
              <w:start w:w="90" w:type="dxa"/>
              <w:bottom w:w="80" w:type="dxa"/>
              <w:end w:w="90" w:type="dxa"/>
            </w:tcMar>
            <w:vAlign w:val="top"/>
          </w:tcPr>
          <w:p>
            <w:pPr>
              <w:spacing w:after="0"/>
            </w:pPr>
            <w:r>
              <w:rPr>
                <w:rFonts w:ascii="Aptos" w:hAnsi="Aptos"/>
                <w:sz w:val="17"/>
              </w:rPr>
              <w:t>Historical reuse, new allocation, lease ownership, retirements and reactivation.</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PsiNodePlan.v1</w:t>
            </w:r>
          </w:p>
        </w:tc>
        <w:tc>
          <w:tcPr>
            <w:tcW w:type="dxa" w:w="6840"/>
            <w:tcMar>
              <w:top w:w="80" w:type="dxa"/>
              <w:start w:w="90" w:type="dxa"/>
              <w:bottom w:w="80" w:type="dxa"/>
              <w:end w:w="90" w:type="dxa"/>
            </w:tcMar>
            <w:vAlign w:val="top"/>
          </w:tcPr>
          <w:p>
            <w:pPr>
              <w:spacing w:after="0"/>
            </w:pPr>
            <w:r>
              <w:rPr>
                <w:rFonts w:ascii="Aptos" w:hAnsi="Aptos"/>
                <w:sz w:val="17"/>
              </w:rPr>
              <w:t>Final logical-to-emitted-node mapping and the sole engineering-number authority.</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CanonicalInputXml.v1</w:t>
            </w:r>
          </w:p>
        </w:tc>
        <w:tc>
          <w:tcPr>
            <w:tcW w:type="dxa" w:w="6840"/>
            <w:tcMar>
              <w:top w:w="80" w:type="dxa"/>
              <w:start w:w="90" w:type="dxa"/>
              <w:bottom w:w="80" w:type="dxa"/>
              <w:end w:w="90" w:type="dxa"/>
            </w:tcMar>
            <w:vAlign w:val="top"/>
          </w:tcPr>
          <w:p>
            <w:pPr>
              <w:spacing w:after="0"/>
            </w:pPr>
            <w:r>
              <w:rPr>
                <w:rFonts w:ascii="Aptos" w:hAnsi="Aptos"/>
                <w:sz w:val="17"/>
              </w:rPr>
              <w:t>Strict production InputXML document conforming to XSD and Schematron constraints.</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InputXmlCiiAssuranceLedger.v1</w:t>
            </w:r>
          </w:p>
        </w:tc>
        <w:tc>
          <w:tcPr>
            <w:tcW w:type="dxa" w:w="6840"/>
            <w:tcMar>
              <w:top w:w="80" w:type="dxa"/>
              <w:start w:w="90" w:type="dxa"/>
              <w:bottom w:w="80" w:type="dxa"/>
              <w:end w:w="90" w:type="dxa"/>
            </w:tcMar>
            <w:vAlign w:val="top"/>
          </w:tcPr>
          <w:p>
            <w:pPr>
              <w:spacing w:after="0"/>
            </w:pPr>
            <w:r>
              <w:rPr>
                <w:rFonts w:ascii="Aptos" w:hAnsi="Aptos"/>
                <w:sz w:val="17"/>
              </w:rPr>
              <w:t>Pre-writer structural, semantic, topology, trace and hash gate.</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PostCanonicalTopologyParity.v1</w:t>
            </w:r>
          </w:p>
        </w:tc>
        <w:tc>
          <w:tcPr>
            <w:tcW w:type="dxa" w:w="6840"/>
            <w:tcMar>
              <w:top w:w="80" w:type="dxa"/>
              <w:start w:w="90" w:type="dxa"/>
              <w:bottom w:w="80" w:type="dxa"/>
              <w:end w:w="90" w:type="dxa"/>
            </w:tcMar>
            <w:vAlign w:val="top"/>
          </w:tcPr>
          <w:p>
            <w:pPr>
              <w:spacing w:after="0"/>
            </w:pPr>
            <w:r>
              <w:rPr>
                <w:rFonts w:ascii="Aptos" w:hAnsi="Aptos"/>
                <w:sz w:val="17"/>
              </w:rPr>
              <w:t>Exact canonical topology versus final canonical InputXML topology proof.</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InputXmlCiiProjectionLedger.v1</w:t>
            </w:r>
          </w:p>
        </w:tc>
        <w:tc>
          <w:tcPr>
            <w:tcW w:type="dxa" w:w="6840"/>
            <w:tcMar>
              <w:top w:w="80" w:type="dxa"/>
              <w:start w:w="90" w:type="dxa"/>
              <w:bottom w:w="80" w:type="dxa"/>
              <w:end w:w="90" w:type="dxa"/>
            </w:tcMar>
            <w:vAlign w:val="top"/>
          </w:tcPr>
          <w:p>
            <w:pPr>
              <w:spacing w:after="0"/>
            </w:pPr>
            <w:r>
              <w:rPr>
                <w:rFonts w:ascii="Aptos" w:hAnsi="Aptos"/>
                <w:sz w:val="17"/>
              </w:rPr>
              <w:t>Field-level and topology-level InputXML-to-CII projection evidence.</w:t>
            </w:r>
          </w:p>
        </w:tc>
      </w:tr>
      <w:tr>
        <w:trPr>
          <w:cantSplit w:val="true"/>
        </w:trPr>
        <w:tc>
          <w:tcPr>
            <w:tcW w:type="dxa" w:w="3240"/>
            <w:tcMar>
              <w:top w:w="80" w:type="dxa"/>
              <w:start w:w="90" w:type="dxa"/>
              <w:bottom w:w="80" w:type="dxa"/>
              <w:end w:w="90" w:type="dxa"/>
            </w:tcMar>
            <w:vAlign w:val="top"/>
          </w:tcPr>
          <w:p>
            <w:pPr>
              <w:spacing w:after="0"/>
            </w:pPr>
            <w:r>
              <w:rPr>
                <w:rFonts w:ascii="Aptos" w:hAnsi="Aptos"/>
                <w:sz w:val="17"/>
              </w:rPr>
              <w:t>CiiReparseProof.v1</w:t>
            </w:r>
          </w:p>
        </w:tc>
        <w:tc>
          <w:tcPr>
            <w:tcW w:type="dxa" w:w="6840"/>
            <w:tcMar>
              <w:top w:w="80" w:type="dxa"/>
              <w:start w:w="90" w:type="dxa"/>
              <w:bottom w:w="80" w:type="dxa"/>
              <w:end w:w="90" w:type="dxa"/>
            </w:tcMar>
            <w:vAlign w:val="top"/>
          </w:tcPr>
          <w:p>
            <w:pPr>
              <w:spacing w:after="0"/>
            </w:pPr>
            <w:r>
              <w:rPr>
                <w:rFonts w:ascii="Aptos" w:hAnsi="Aptos"/>
                <w:sz w:val="17"/>
              </w:rPr>
              <w:t>Independent CII parser evidence and equivalence checks.</w:t>
            </w:r>
          </w:p>
        </w:tc>
      </w:tr>
    </w:tbl>
    <w:p>
      <w:pPr>
        <w:spacing w:after="0"/>
      </w:pPr>
    </w:p>
    <w:p>
      <w:pPr>
        <w:pStyle w:val="Heading2"/>
        <w:keepNext/>
      </w:pPr>
      <w:r>
        <w:t>6.1 Canonical InputXML acceptance</w:t>
      </w:r>
    </w:p>
    <w:p>
      <w:pPr>
        <w:spacing w:after="120" w:line="259" w:lineRule="auto"/>
      </w:pPr>
      <w:r>
        <w:rPr>
          <w:rFonts w:ascii="Aptos" w:hAnsi="Aptos"/>
          <w:sz w:val="21"/>
        </w:rPr>
        <w:t>An InputXML document is production-acceptable only when all of the following are true:</w:t>
      </w:r>
    </w:p>
    <w:p>
      <w:pPr>
        <w:pStyle w:val="ListBullet"/>
        <w:spacing w:after="40"/>
      </w:pPr>
      <w:r>
        <w:rPr>
          <w:rFonts w:ascii="Aptos" w:hAnsi="Aptos"/>
          <w:sz w:val="21"/>
        </w:rPr>
        <w:t>It conforms to the strict canonical XSD and Schematron rules.</w:t>
      </w:r>
    </w:p>
    <w:p>
      <w:pPr>
        <w:pStyle w:val="ListBullet"/>
        <w:spacing w:after="40"/>
      </w:pPr>
      <w:r>
        <w:rPr>
          <w:rFonts w:ascii="Aptos" w:hAnsi="Aptos"/>
          <w:sz w:val="21"/>
        </w:rPr>
        <w:t>Its dialect adapter and compiler version are registered and recorded.</w:t>
      </w:r>
    </w:p>
    <w:p>
      <w:pPr>
        <w:pStyle w:val="ListBullet"/>
        <w:spacing w:after="40"/>
      </w:pPr>
      <w:r>
        <w:rPr>
          <w:rFonts w:ascii="Aptos" w:hAnsi="Aptos"/>
          <w:sz w:val="21"/>
        </w:rPr>
        <w:t>Every topology node and element is traceable to canonical source evidence.</w:t>
      </w:r>
    </w:p>
    <w:p>
      <w:pPr>
        <w:pStyle w:val="ListBullet"/>
        <w:spacing w:after="40"/>
      </w:pPr>
      <w:r>
        <w:rPr>
          <w:rFonts w:ascii="Aptos" w:hAnsi="Aptos"/>
          <w:sz w:val="21"/>
        </w:rPr>
        <w:t>Its emitted engineering node numbers are exactly those in PsiNodePlan.v1.</w:t>
      </w:r>
    </w:p>
    <w:p>
      <w:pPr>
        <w:pStyle w:val="ListBullet"/>
        <w:spacing w:after="40"/>
      </w:pPr>
      <w:r>
        <w:rPr>
          <w:rFonts w:ascii="Aptos" w:hAnsi="Aptos"/>
          <w:sz w:val="21"/>
        </w:rPr>
        <w:t>Its node, edge, support and restraint topology matches CanonicalTopology.v1 after sanitation.</w:t>
      </w:r>
    </w:p>
    <w:p>
      <w:pPr>
        <w:pStyle w:val="ListBullet"/>
        <w:spacing w:after="40"/>
      </w:pPr>
      <w:r>
        <w:rPr>
          <w:rFonts w:ascii="Aptos" w:hAnsi="Aptos"/>
          <w:sz w:val="21"/>
        </w:rPr>
        <w:t>No blocker or unresolved review item remains in the assurance ledger.</w:t>
      </w:r>
    </w:p>
    <w:p>
      <w:pPr>
        <w:pStyle w:val="ListBullet"/>
        <w:spacing w:after="40"/>
      </w:pPr>
      <w:r>
        <w:rPr>
          <w:rFonts w:ascii="Aptos" w:hAnsi="Aptos"/>
          <w:sz w:val="21"/>
        </w:rPr>
        <w:t>Its CII projection passes production projection checks and independent reparse proof.</w:t>
      </w:r>
    </w:p>
    <w:p>
      <w:pPr>
        <w:pStyle w:val="Heading1"/>
        <w:keepNext/>
      </w:pPr>
      <w:r>
        <w:t>7. Deterministic node identity and numbering</w:t>
      </w:r>
    </w:p>
    <w:p>
      <w:pPr>
        <w:spacing w:after="120" w:line="259" w:lineRule="auto"/>
      </w:pPr>
      <w:r>
        <w:rPr>
          <w:rFonts w:ascii="Aptos" w:hAnsi="Aptos"/>
          <w:sz w:val="21"/>
        </w:rPr>
        <w:t>Node identity is a first-class InputXML concern because the same node numbers must remain stable across revisions and must be consistent across PSI XML, canonical InputXML and CII. The upgrade separates three concepts that are currently easy to conflate.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736"/>
            <w:shd w:fill="D9E2F3"/>
            <w:tcMar>
              <w:top w:w="90" w:type="dxa"/>
              <w:start w:w="90" w:type="dxa"/>
              <w:bottom w:w="90" w:type="dxa"/>
              <w:end w:w="90" w:type="dxa"/>
            </w:tcMar>
            <w:vAlign w:val="center"/>
          </w:tcPr>
          <w:p>
            <w:pPr>
              <w:jc w:val="left"/>
            </w:pPr>
            <w:r>
              <w:rPr>
                <w:rFonts w:ascii="Aptos" w:hAnsi="Aptos"/>
                <w:b/>
                <w:color w:val="1F3757"/>
                <w:sz w:val="18"/>
              </w:rPr>
              <w:t>Identity type</w:t>
            </w:r>
          </w:p>
        </w:tc>
        <w:tc>
          <w:tcPr>
            <w:tcW w:type="dxa" w:w="2592"/>
            <w:shd w:fill="D9E2F3"/>
            <w:tcMar>
              <w:top w:w="90" w:type="dxa"/>
              <w:start w:w="90" w:type="dxa"/>
              <w:bottom w:w="90" w:type="dxa"/>
              <w:end w:w="90" w:type="dxa"/>
            </w:tcMar>
            <w:vAlign w:val="center"/>
          </w:tcPr>
          <w:p>
            <w:pPr>
              <w:jc w:val="left"/>
            </w:pPr>
            <w:r>
              <w:rPr>
                <w:rFonts w:ascii="Aptos" w:hAnsi="Aptos"/>
                <w:b/>
                <w:color w:val="1F3757"/>
                <w:sz w:val="18"/>
              </w:rPr>
              <w:t>Example</w:t>
            </w:r>
          </w:p>
        </w:tc>
        <w:tc>
          <w:tcPr>
            <w:tcW w:type="dxa" w:w="4752"/>
            <w:shd w:fill="D9E2F3"/>
            <w:tcMar>
              <w:top w:w="90" w:type="dxa"/>
              <w:start w:w="90" w:type="dxa"/>
              <w:bottom w:w="90" w:type="dxa"/>
              <w:end w:w="90" w:type="dxa"/>
            </w:tcMar>
            <w:vAlign w:val="center"/>
          </w:tcPr>
          <w:p>
            <w:pPr>
              <w:jc w:val="left"/>
            </w:pPr>
            <w:r>
              <w:rPr>
                <w:rFonts w:ascii="Aptos" w:hAnsi="Aptos"/>
                <w:b/>
                <w:color w:val="1F3757"/>
                <w:sz w:val="18"/>
              </w:rPr>
              <w:t>Purpose</w:t>
            </w:r>
          </w:p>
        </w:tc>
      </w:tr>
      <w:tr>
        <w:trPr>
          <w:cantSplit w:val="true"/>
        </w:trPr>
        <w:tc>
          <w:tcPr>
            <w:tcW w:type="dxa" w:w="2736"/>
            <w:tcMar>
              <w:top w:w="80" w:type="dxa"/>
              <w:start w:w="90" w:type="dxa"/>
              <w:bottom w:w="80" w:type="dxa"/>
              <w:end w:w="90" w:type="dxa"/>
            </w:tcMar>
            <w:vAlign w:val="top"/>
          </w:tcPr>
          <w:p>
            <w:pPr>
              <w:spacing w:after="0"/>
            </w:pPr>
            <w:r>
              <w:rPr>
                <w:rFonts w:ascii="Aptos" w:hAnsi="Aptos"/>
                <w:sz w:val="18"/>
              </w:rPr>
              <w:t>Canonical topology ID</w:t>
            </w:r>
          </w:p>
        </w:tc>
        <w:tc>
          <w:tcPr>
            <w:tcW w:type="dxa" w:w="2592"/>
            <w:tcMar>
              <w:top w:w="80" w:type="dxa"/>
              <w:start w:w="90" w:type="dxa"/>
              <w:bottom w:w="80" w:type="dxa"/>
              <w:end w:w="90" w:type="dxa"/>
            </w:tcMar>
            <w:vAlign w:val="top"/>
          </w:tcPr>
          <w:p>
            <w:pPr>
              <w:spacing w:after="0"/>
            </w:pPr>
            <w:r>
              <w:rPr>
                <w:rFonts w:ascii="Aptos" w:hAnsi="Aptos"/>
                <w:sz w:val="18"/>
              </w:rPr>
              <w:t>CN-000017</w:t>
            </w:r>
          </w:p>
        </w:tc>
        <w:tc>
          <w:tcPr>
            <w:tcW w:type="dxa" w:w="4752"/>
            <w:tcMar>
              <w:top w:w="80" w:type="dxa"/>
              <w:start w:w="90" w:type="dxa"/>
              <w:bottom w:w="80" w:type="dxa"/>
              <w:end w:w="90" w:type="dxa"/>
            </w:tcMar>
            <w:vAlign w:val="top"/>
          </w:tcPr>
          <w:p>
            <w:pPr>
              <w:spacing w:after="0"/>
            </w:pPr>
            <w:r>
              <w:rPr>
                <w:rFonts w:ascii="Aptos" w:hAnsi="Aptos"/>
                <w:sz w:val="18"/>
              </w:rPr>
              <w:t>Stable identity inside the canonical topology graph.</w:t>
            </w:r>
          </w:p>
        </w:tc>
      </w:tr>
      <w:tr>
        <w:trPr>
          <w:cantSplit w:val="true"/>
        </w:trPr>
        <w:tc>
          <w:tcPr>
            <w:tcW w:type="dxa" w:w="2736"/>
            <w:tcMar>
              <w:top w:w="80" w:type="dxa"/>
              <w:start w:w="90" w:type="dxa"/>
              <w:bottom w:w="80" w:type="dxa"/>
              <w:end w:w="90" w:type="dxa"/>
            </w:tcMar>
            <w:vAlign w:val="top"/>
          </w:tcPr>
          <w:p>
            <w:pPr>
              <w:spacing w:after="0"/>
            </w:pPr>
            <w:r>
              <w:rPr>
                <w:rFonts w:ascii="Aptos" w:hAnsi="Aptos"/>
                <w:sz w:val="18"/>
              </w:rPr>
              <w:t>Historical node ID</w:t>
            </w:r>
          </w:p>
        </w:tc>
        <w:tc>
          <w:tcPr>
            <w:tcW w:type="dxa" w:w="2592"/>
            <w:tcMar>
              <w:top w:w="80" w:type="dxa"/>
              <w:start w:w="90" w:type="dxa"/>
              <w:bottom w:w="80" w:type="dxa"/>
              <w:end w:w="90" w:type="dxa"/>
            </w:tcMar>
            <w:vAlign w:val="top"/>
          </w:tcPr>
          <w:p>
            <w:pPr>
              <w:spacing w:after="0"/>
            </w:pPr>
            <w:r>
              <w:rPr>
                <w:rFonts w:ascii="Aptos" w:hAnsi="Aptos"/>
                <w:sz w:val="18"/>
              </w:rPr>
              <w:t>HN-93c78fbd51</w:t>
            </w:r>
          </w:p>
        </w:tc>
        <w:tc>
          <w:tcPr>
            <w:tcW w:type="dxa" w:w="4752"/>
            <w:tcMar>
              <w:top w:w="80" w:type="dxa"/>
              <w:start w:w="90" w:type="dxa"/>
              <w:bottom w:w="80" w:type="dxa"/>
              <w:end w:w="90" w:type="dxa"/>
            </w:tcMar>
            <w:vAlign w:val="top"/>
          </w:tcPr>
          <w:p>
            <w:pPr>
              <w:spacing w:after="0"/>
            </w:pPr>
            <w:r>
              <w:rPr>
                <w:rFonts w:ascii="Aptos" w:hAnsi="Aptos"/>
                <w:sz w:val="18"/>
              </w:rPr>
              <w:t>Long-lived identity across source revisions.</w:t>
            </w:r>
          </w:p>
        </w:tc>
      </w:tr>
      <w:tr>
        <w:trPr>
          <w:cantSplit w:val="true"/>
        </w:trPr>
        <w:tc>
          <w:tcPr>
            <w:tcW w:type="dxa" w:w="2736"/>
            <w:tcMar>
              <w:top w:w="80" w:type="dxa"/>
              <w:start w:w="90" w:type="dxa"/>
              <w:bottom w:w="80" w:type="dxa"/>
              <w:end w:w="90" w:type="dxa"/>
            </w:tcMar>
            <w:vAlign w:val="top"/>
          </w:tcPr>
          <w:p>
            <w:pPr>
              <w:spacing w:after="0"/>
            </w:pPr>
            <w:r>
              <w:rPr>
                <w:rFonts w:ascii="Aptos" w:hAnsi="Aptos"/>
                <w:sz w:val="18"/>
              </w:rPr>
              <w:t>Engineering node number</w:t>
            </w:r>
          </w:p>
        </w:tc>
        <w:tc>
          <w:tcPr>
            <w:tcW w:type="dxa" w:w="2592"/>
            <w:tcMar>
              <w:top w:w="80" w:type="dxa"/>
              <w:start w:w="90" w:type="dxa"/>
              <w:bottom w:w="80" w:type="dxa"/>
              <w:end w:w="90" w:type="dxa"/>
            </w:tcMar>
            <w:vAlign w:val="top"/>
          </w:tcPr>
          <w:p>
            <w:pPr>
              <w:spacing w:after="0"/>
            </w:pPr>
            <w:r>
              <w:rPr>
                <w:rFonts w:ascii="Aptos" w:hAnsi="Aptos"/>
                <w:sz w:val="18"/>
              </w:rPr>
              <w:t>530</w:t>
            </w:r>
          </w:p>
        </w:tc>
        <w:tc>
          <w:tcPr>
            <w:tcW w:type="dxa" w:w="4752"/>
            <w:tcMar>
              <w:top w:w="80" w:type="dxa"/>
              <w:start w:w="90" w:type="dxa"/>
              <w:bottom w:w="80" w:type="dxa"/>
              <w:end w:w="90" w:type="dxa"/>
            </w:tcMar>
            <w:vAlign w:val="top"/>
          </w:tcPr>
          <w:p>
            <w:pPr>
              <w:spacing w:after="0"/>
            </w:pPr>
            <w:r>
              <w:rPr>
                <w:rFonts w:ascii="Aptos" w:hAnsi="Aptos"/>
                <w:sz w:val="18"/>
              </w:rPr>
              <w:t>Number emitted to PSI XML, InputXML and CII.</w:t>
            </w:r>
          </w:p>
        </w:tc>
      </w:tr>
    </w:tbl>
    <w:p>
      <w:pPr>
        <w:spacing w:after="0"/>
      </w:pPr>
    </w:p>
    <w:p>
      <w:pPr>
        <w:pStyle w:val="Heading2"/>
        <w:keepNext/>
      </w:pPr>
      <w:r>
        <w:t>7.1 Node plan minimum model</w:t>
      </w:r>
    </w:p>
    <w:tbl>
      <w:tblPr>
        <w:tblW w:type="auto" w:w="0"/>
        <w:jc w:val="center"/>
        <w:tblLayout w:type="autofit"/>
        <w:tblLook w:firstColumn="1" w:firstRow="1" w:lastColumn="0" w:lastRow="0" w:noHBand="0" w:noVBand="1" w:val="04A0"/>
      </w:tblPr>
      <w:tblGrid>
        <w:gridCol w:w="10166"/>
      </w:tblGrid>
      <w:tr>
        <w:trPr>
          <w:cantSplit w:val="true"/>
        </w:trPr>
        <w:tc>
          <w:tcPr>
            <w:tcW w:type="dxa" w:w="10166"/>
            <w:shd w:fill="F4F6F8"/>
            <w:tcMar>
              <w:top w:w="120" w:type="dxa"/>
              <w:start w:w="140" w:type="dxa"/>
              <w:bottom w:w="120" w:type="dxa"/>
              <w:end w:w="140" w:type="dxa"/>
            </w:tcMar>
          </w:tcPr>
          <w:p>
            <w:pPr>
              <w:spacing w:after="0"/>
            </w:pPr>
            <w:r>
              <w:rPr>
                <w:rFonts w:ascii="Liberation Mono" w:hAnsi="Liberation Mono"/>
                <w:color w:val="282D32"/>
                <w:sz w:val="17"/>
              </w:rPr>
              <w:t>{</w:t>
            </w:r>
            <w:r>
              <w:br/>
            </w:r>
            <w:r>
              <w:rPr>
                <w:rFonts w:ascii="Liberation Mono" w:hAnsi="Liberation Mono"/>
                <w:color w:val="282D32"/>
                <w:sz w:val="17"/>
              </w:rPr>
              <w:t xml:space="preserve">  "schema": "PsiNodePlan.v1",</w:t>
            </w:r>
            <w:r>
              <w:br/>
            </w:r>
            <w:r>
              <w:rPr>
                <w:rFonts w:ascii="Liberation Mono" w:hAnsi="Liberation Mono"/>
                <w:color w:val="282D32"/>
                <w:sz w:val="17"/>
              </w:rPr>
              <w:t xml:space="preserve">  "projectId": "PROJECT-001",</w:t>
            </w:r>
            <w:r>
              <w:br/>
            </w:r>
            <w:r>
              <w:rPr>
                <w:rFonts w:ascii="Liberation Mono" w:hAnsi="Liberation Mono"/>
                <w:color w:val="282D32"/>
                <w:sz w:val="17"/>
              </w:rPr>
              <w:t xml:space="preserve">  "zoneId": "ZONE-A",</w:t>
            </w:r>
            <w:r>
              <w:br/>
            </w:r>
            <w:r>
              <w:rPr>
                <w:rFonts w:ascii="Liberation Mono" w:hAnsi="Liberation Mono"/>
                <w:color w:val="282D32"/>
                <w:sz w:val="17"/>
              </w:rPr>
              <w:t xml:space="preserve">  "logicalNodes": [...],</w:t>
            </w:r>
            <w:r>
              <w:br/>
            </w:r>
            <w:r>
              <w:rPr>
                <w:rFonts w:ascii="Liberation Mono" w:hAnsi="Liberation Mono"/>
                <w:color w:val="282D32"/>
                <w:sz w:val="17"/>
              </w:rPr>
              <w:t xml:space="preserve">  "emittedNodes": [...],</w:t>
            </w:r>
            <w:r>
              <w:br/>
            </w:r>
            <w:r>
              <w:rPr>
                <w:rFonts w:ascii="Liberation Mono" w:hAnsi="Liberation Mono"/>
                <w:color w:val="282D32"/>
                <w:sz w:val="17"/>
              </w:rPr>
              <w:t xml:space="preserve">  "rawPortMappings": [...],</w:t>
            </w:r>
            <w:r>
              <w:br/>
            </w:r>
            <w:r>
              <w:rPr>
                <w:rFonts w:ascii="Liberation Mono" w:hAnsi="Liberation Mono"/>
                <w:color w:val="282D32"/>
                <w:sz w:val="17"/>
              </w:rPr>
              <w:t xml:space="preserve">  "componentProjection": [...],</w:t>
            </w:r>
            <w:r>
              <w:br/>
            </w:r>
            <w:r>
              <w:rPr>
                <w:rFonts w:ascii="Liberation Mono" w:hAnsi="Liberation Mono"/>
                <w:color w:val="282D32"/>
                <w:sz w:val="17"/>
              </w:rPr>
              <w:t xml:space="preserve">  "baseRegistrySnapshotHash": "sha256:...",</w:t>
            </w:r>
            <w:r>
              <w:br/>
            </w:r>
            <w:r>
              <w:rPr>
                <w:rFonts w:ascii="Liberation Mono" w:hAnsi="Liberation Mono"/>
                <w:color w:val="282D32"/>
                <w:sz w:val="17"/>
              </w:rPr>
              <w:t xml:space="preserve">  "validation": {</w:t>
            </w:r>
            <w:r>
              <w:br/>
            </w:r>
            <w:r>
              <w:rPr>
                <w:rFonts w:ascii="Liberation Mono" w:hAnsi="Liberation Mono"/>
                <w:color w:val="282D32"/>
                <w:sz w:val="17"/>
              </w:rPr>
              <w:t xml:space="preserve">    "status": "PASS",</w:t>
            </w:r>
            <w:r>
              <w:br/>
            </w:r>
            <w:r>
              <w:rPr>
                <w:rFonts w:ascii="Liberation Mono" w:hAnsi="Liberation Mono"/>
                <w:color w:val="282D32"/>
                <w:sz w:val="17"/>
              </w:rPr>
              <w:t xml:space="preserve">    "blockers": [],</w:t>
            </w:r>
            <w:r>
              <w:br/>
            </w:r>
            <w:r>
              <w:rPr>
                <w:rFonts w:ascii="Liberation Mono" w:hAnsi="Liberation Mono"/>
                <w:color w:val="282D32"/>
                <w:sz w:val="17"/>
              </w:rPr>
              <w:t xml:space="preserve">    "reviewItems": [],</w:t>
            </w:r>
            <w:r>
              <w:br/>
            </w:r>
            <w:r>
              <w:rPr>
                <w:rFonts w:ascii="Liberation Mono" w:hAnsi="Liberation Mono"/>
                <w:color w:val="282D32"/>
                <w:sz w:val="17"/>
              </w:rPr>
              <w:t xml:space="preserve">    "warnings": []</w:t>
            </w:r>
            <w:r>
              <w:br/>
            </w:r>
            <w:r>
              <w:rPr>
                <w:rFonts w:ascii="Liberation Mono" w:hAnsi="Liberation Mono"/>
                <w:color w:val="282D32"/>
                <w:sz w:val="17"/>
              </w:rPr>
              <w:t xml:space="preserve">  },</w:t>
            </w:r>
            <w:r>
              <w:br/>
            </w:r>
            <w:r>
              <w:rPr>
                <w:rFonts w:ascii="Liberation Mono" w:hAnsi="Liberation Mono"/>
                <w:color w:val="282D32"/>
                <w:sz w:val="17"/>
              </w:rPr>
              <w:t xml:space="preserve">  "nodePlanHash": "sha256:..."</w:t>
            </w:r>
            <w:r>
              <w:br/>
            </w:r>
            <w:r>
              <w:rPr>
                <w:rFonts w:ascii="Liberation Mono" w:hAnsi="Liberation Mono"/>
                <w:color w:val="282D32"/>
                <w:sz w:val="17"/>
              </w:rPr>
              <w:t>}</w:t>
            </w:r>
          </w:p>
        </w:tc>
      </w:tr>
    </w:tbl>
    <w:p>
      <w:pPr>
        <w:spacing w:after="0"/>
      </w:pPr>
    </w:p>
    <w:p>
      <w:pPr>
        <w:pStyle w:val="Heading2"/>
        <w:keepNext/>
      </w:pPr>
      <w:r>
        <w:t>7.2 Writer contract</w:t>
      </w:r>
    </w:p>
    <w:tbl>
      <w:tblPr>
        <w:tblW w:type="auto" w:w="0"/>
        <w:jc w:val="center"/>
        <w:tblLook w:firstColumn="1" w:firstRow="1" w:lastColumn="0" w:lastRow="0" w:noHBand="0" w:noVBand="1" w:val="04A0"/>
      </w:tblPr>
      <w:tblGrid>
        <w:gridCol w:w="10166"/>
      </w:tblGrid>
      <w:tr>
        <w:trPr>
          <w:cantSplit w:val="true"/>
        </w:trPr>
        <w:tc>
          <w:tcPr>
            <w:tcW w:type="dxa" w:w="10166"/>
            <w:shd w:fill="FCE4D6"/>
            <w:tcMar>
              <w:top w:w="150" w:type="dxa"/>
              <w:start w:w="180" w:type="dxa"/>
              <w:bottom w:w="150" w:type="dxa"/>
              <w:end w:w="180" w:type="dxa"/>
            </w:tcMar>
          </w:tcPr>
          <w:p>
            <w:pPr>
              <w:spacing w:after="80"/>
            </w:pPr>
            <w:r>
              <w:rPr>
                <w:rFonts w:ascii="Aptos" w:hAnsi="Aptos"/>
                <w:b/>
                <w:color w:val="843C0C"/>
                <w:sz w:val="21"/>
              </w:rPr>
              <w:t>Non-negotiable writer rule</w:t>
            </w:r>
          </w:p>
          <w:p>
            <w:pPr>
              <w:spacing w:after="0"/>
            </w:pPr>
            <w:r>
              <w:rPr>
                <w:rFonts w:ascii="Aptos" w:hAnsi="Aptos"/>
                <w:sz w:val="20"/>
              </w:rPr>
              <w:t>Canonical and sequential writers may choose presentation order and branch grouping, but they may not allocate, increment, replace, infer or mutate node numbers. Missing plan entries are blocking defects.</w:t>
            </w:r>
          </w:p>
        </w:tc>
      </w:tr>
    </w:tbl>
    <w:p>
      <w:pPr>
        <w:pStyle w:val="Heading2"/>
        <w:keepNext/>
      </w:pPr>
      <w:r>
        <w:t>7.3 Historical registry concept</w:t>
      </w:r>
    </w:p>
    <w:p>
      <w:pPr>
        <w:spacing w:after="120" w:line="259" w:lineRule="auto"/>
      </w:pPr>
      <w:r>
        <w:rPr>
          <w:rFonts w:ascii="Aptos" w:hAnsi="Aptos"/>
          <w:sz w:val="21"/>
        </w:rPr>
        <w:t>The reviewed registry is organized by project and zone. Node numbers are zone-global, while main lines own non-overlapping leases. Historical numbers are retained, retired numbers are not recycled by default, and every registry change is proposed against an immutable base snapshot hash.</w:t>
      </w:r>
    </w:p>
    <w:tbl>
      <w:tblPr>
        <w:tblW w:type="auto" w:w="0"/>
        <w:jc w:val="center"/>
        <w:tblLayout w:type="autofit"/>
        <w:tblLook w:firstColumn="1" w:firstRow="1" w:lastColumn="0" w:lastRow="0" w:noHBand="0" w:noVBand="1" w:val="04A0"/>
      </w:tblPr>
      <w:tblGrid>
        <w:gridCol w:w="10166"/>
      </w:tblGrid>
      <w:tr>
        <w:trPr>
          <w:cantSplit w:val="true"/>
        </w:trPr>
        <w:tc>
          <w:tcPr>
            <w:tcW w:type="dxa" w:w="10166"/>
            <w:shd w:fill="F4F6F8"/>
            <w:tcMar>
              <w:top w:w="120" w:type="dxa"/>
              <w:start w:w="140" w:type="dxa"/>
              <w:bottom w:w="120" w:type="dxa"/>
              <w:end w:w="140" w:type="dxa"/>
            </w:tcMar>
          </w:tcPr>
          <w:p>
            <w:pPr>
              <w:spacing w:after="0"/>
            </w:pPr>
            <w:r>
              <w:rPr>
                <w:rFonts w:ascii="Liberation Mono" w:hAnsi="Liberation Mono"/>
                <w:color w:val="282D32"/>
                <w:sz w:val="17"/>
              </w:rPr>
              <w:t>node-history/</w:t>
            </w:r>
            <w:r>
              <w:br/>
            </w:r>
            <w:r>
              <w:rPr>
                <w:rFonts w:ascii="Liberation Mono" w:hAnsi="Liberation Mono"/>
                <w:color w:val="282D32"/>
                <w:sz w:val="17"/>
              </w:rPr>
              <w:t xml:space="preserve">  schemas/</w:t>
            </w:r>
            <w:r>
              <w:br/>
            </w:r>
            <w:r>
              <w:rPr>
                <w:rFonts w:ascii="Liberation Mono" w:hAnsi="Liberation Mono"/>
                <w:color w:val="282D32"/>
                <w:sz w:val="17"/>
              </w:rPr>
              <w:t xml:space="preserve">  projects/PROJECT-001/</w:t>
            </w:r>
            <w:r>
              <w:br/>
            </w:r>
            <w:r>
              <w:rPr>
                <w:rFonts w:ascii="Liberation Mono" w:hAnsi="Liberation Mono"/>
                <w:color w:val="282D32"/>
                <w:sz w:val="17"/>
              </w:rPr>
              <w:t xml:space="preserve">    zones/ZONE-A/</w:t>
            </w:r>
            <w:r>
              <w:br/>
            </w:r>
            <w:r>
              <w:rPr>
                <w:rFonts w:ascii="Liberation Mono" w:hAnsi="Liberation Mono"/>
                <w:color w:val="282D32"/>
                <w:sz w:val="17"/>
              </w:rPr>
              <w:t xml:space="preserve">      pool.json</w:t>
            </w:r>
            <w:r>
              <w:br/>
            </w:r>
            <w:r>
              <w:rPr>
                <w:rFonts w:ascii="Liberation Mono" w:hAnsi="Liberation Mono"/>
                <w:color w:val="282D32"/>
                <w:sz w:val="17"/>
              </w:rPr>
              <w:t xml:space="preserve">      lines/P101550.json</w:t>
            </w:r>
            <w:r>
              <w:br/>
            </w:r>
            <w:r>
              <w:rPr>
                <w:rFonts w:ascii="Liberation Mono" w:hAnsi="Liberation Mono"/>
                <w:color w:val="282D32"/>
                <w:sz w:val="17"/>
              </w:rPr>
              <w:t xml:space="preserve">      runs/RUN-20260719-8a71f923.json</w:t>
            </w:r>
          </w:p>
        </w:tc>
      </w:tr>
    </w:tbl>
    <w:p>
      <w:pPr>
        <w:spacing w:after="0"/>
      </w:pPr>
    </w:p>
    <w:p>
      <w:pPr>
        <w:pStyle w:val="Heading1"/>
        <w:keepNext/>
      </w:pPr>
      <w:r>
        <w:t>8. Topology and micro-geometry concept</w:t>
      </w:r>
    </w:p>
    <w:p>
      <w:pPr>
        <w:spacing w:after="120" w:line="259" w:lineRule="auto"/>
      </w:pPr>
      <w:r>
        <w:rPr>
          <w:rFonts w:ascii="Aptos" w:hAnsi="Aptos"/>
          <w:sz w:val="21"/>
        </w:rPr>
        <w:t>InputXML topology must be based on explicit source order, branch references, component ports and engineering compatibility. Spatial proximity may verify an explicit relationship but cannot create unrelated connectivity.</w:t>
      </w:r>
    </w:p>
    <w:p>
      <w:pPr>
        <w:pStyle w:val="Heading2"/>
        <w:keepNext/>
      </w:pPr>
      <w:r>
        <w:t>8.1 Micro-component consumption</w:t>
      </w:r>
    </w:p>
    <w:p>
      <w:pPr>
        <w:spacing w:after="120" w:line="259" w:lineRule="auto"/>
      </w:pPr>
      <w:r>
        <w:rPr>
          <w:rFonts w:ascii="Aptos" w:hAnsi="Aptos"/>
          <w:sz w:val="21"/>
        </w:rPr>
        <w:t>Short geometry is not automatically disposable. Consumption is permitted only for configured component categories and only when engineering properties can be transferred without changing the analytical meaning. The original component remains in the audit ledger with its source path, endpoints, length, properties, disposition and resulting logical node.</w:t>
      </w:r>
    </w:p>
    <w:p>
      <w:pPr>
        <w:pStyle w:val="Heading2"/>
        <w:keepNext/>
      </w:pPr>
      <w:r>
        <w:t>8.2 Micro-gap snapping</w:t>
      </w:r>
    </w:p>
    <w:p>
      <w:pPr>
        <w:spacing w:after="120" w:line="259" w:lineRule="auto"/>
      </w:pPr>
      <w:r>
        <w:rPr>
          <w:rFonts w:ascii="Aptos" w:hAnsi="Aptos"/>
          <w:sz w:val="21"/>
        </w:rPr>
        <w:t>A small endpoint gap may be snapped only when zone, main-line or explicit-reference authority, source adjacency, port compatibility, bore/carrier compatibility and historical-identity checks all pass. Distance never overrides a historical or topology conflict.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312"/>
            <w:shd w:fill="D9E2F3"/>
            <w:tcMar>
              <w:top w:w="90" w:type="dxa"/>
              <w:start w:w="90" w:type="dxa"/>
              <w:bottom w:w="90" w:type="dxa"/>
              <w:end w:w="90" w:type="dxa"/>
            </w:tcMar>
            <w:vAlign w:val="center"/>
          </w:tcPr>
          <w:p>
            <w:pPr>
              <w:jc w:val="left"/>
            </w:pPr>
            <w:r>
              <w:rPr>
                <w:rFonts w:ascii="Aptos" w:hAnsi="Aptos"/>
                <w:b/>
                <w:color w:val="1F3757"/>
                <w:sz w:val="18"/>
              </w:rPr>
              <w:t>Disposition</w:t>
            </w:r>
          </w:p>
        </w:tc>
        <w:tc>
          <w:tcPr>
            <w:tcW w:type="dxa" w:w="6768"/>
            <w:shd w:fill="D9E2F3"/>
            <w:tcMar>
              <w:top w:w="90" w:type="dxa"/>
              <w:start w:w="90" w:type="dxa"/>
              <w:bottom w:w="90" w:type="dxa"/>
              <w:end w:w="90" w:type="dxa"/>
            </w:tcMar>
            <w:vAlign w:val="center"/>
          </w:tcPr>
          <w:p>
            <w:pPr>
              <w:jc w:val="left"/>
            </w:pPr>
            <w:r>
              <w:rPr>
                <w:rFonts w:ascii="Aptos" w:hAnsi="Aptos"/>
                <w:b/>
                <w:color w:val="1F3757"/>
                <w:sz w:val="18"/>
              </w:rPr>
              <w:t>Meaning</w:t>
            </w:r>
          </w:p>
        </w:tc>
      </w:tr>
      <w:tr>
        <w:trPr>
          <w:cantSplit w:val="true"/>
        </w:trPr>
        <w:tc>
          <w:tcPr>
            <w:tcW w:type="dxa" w:w="3312"/>
            <w:tcMar>
              <w:top w:w="80" w:type="dxa"/>
              <w:start w:w="90" w:type="dxa"/>
              <w:bottom w:w="80" w:type="dxa"/>
              <w:end w:w="90" w:type="dxa"/>
            </w:tcMar>
            <w:vAlign w:val="top"/>
          </w:tcPr>
          <w:p>
            <w:pPr>
              <w:spacing w:after="0"/>
            </w:pPr>
            <w:r>
              <w:rPr>
                <w:rFonts w:ascii="Aptos" w:hAnsi="Aptos"/>
                <w:sz w:val="18"/>
              </w:rPr>
              <w:t>CONSUME_MICRO_COMPONENT</w:t>
            </w:r>
          </w:p>
        </w:tc>
        <w:tc>
          <w:tcPr>
            <w:tcW w:type="dxa" w:w="6768"/>
            <w:tcMar>
              <w:top w:w="80" w:type="dxa"/>
              <w:start w:w="90" w:type="dxa"/>
              <w:bottom w:w="80" w:type="dxa"/>
              <w:end w:w="90" w:type="dxa"/>
            </w:tcMar>
            <w:vAlign w:val="top"/>
          </w:tcPr>
          <w:p>
            <w:pPr>
              <w:spacing w:after="0"/>
            </w:pPr>
            <w:r>
              <w:rPr>
                <w:rFonts w:ascii="Aptos" w:hAnsi="Aptos"/>
                <w:sz w:val="18"/>
              </w:rPr>
              <w:t>Approved short component is collapsed into one logical node with retained evidence.</w:t>
            </w:r>
          </w:p>
        </w:tc>
      </w:tr>
      <w:tr>
        <w:trPr>
          <w:cantSplit w:val="true"/>
        </w:trPr>
        <w:tc>
          <w:tcPr>
            <w:tcW w:type="dxa" w:w="3312"/>
            <w:tcMar>
              <w:top w:w="80" w:type="dxa"/>
              <w:start w:w="90" w:type="dxa"/>
              <w:bottom w:w="80" w:type="dxa"/>
              <w:end w:w="90" w:type="dxa"/>
            </w:tcMar>
            <w:vAlign w:val="top"/>
          </w:tcPr>
          <w:p>
            <w:pPr>
              <w:spacing w:after="0"/>
            </w:pPr>
            <w:r>
              <w:rPr>
                <w:rFonts w:ascii="Aptos" w:hAnsi="Aptos"/>
                <w:sz w:val="18"/>
              </w:rPr>
              <w:t>SNAP_MICRO_GAP</w:t>
            </w:r>
          </w:p>
        </w:tc>
        <w:tc>
          <w:tcPr>
            <w:tcW w:type="dxa" w:w="6768"/>
            <w:tcMar>
              <w:top w:w="80" w:type="dxa"/>
              <w:start w:w="90" w:type="dxa"/>
              <w:bottom w:w="80" w:type="dxa"/>
              <w:end w:w="90" w:type="dxa"/>
            </w:tcMar>
            <w:vAlign w:val="top"/>
          </w:tcPr>
          <w:p>
            <w:pPr>
              <w:spacing w:after="0"/>
            </w:pPr>
            <w:r>
              <w:rPr>
                <w:rFonts w:ascii="Aptos" w:hAnsi="Aptos"/>
                <w:sz w:val="18"/>
              </w:rPr>
              <w:t>Explicitly related compatible endpoints are merged within tolerance.</w:t>
            </w:r>
          </w:p>
        </w:tc>
      </w:tr>
      <w:tr>
        <w:trPr>
          <w:cantSplit w:val="true"/>
        </w:trPr>
        <w:tc>
          <w:tcPr>
            <w:tcW w:type="dxa" w:w="3312"/>
            <w:tcMar>
              <w:top w:w="80" w:type="dxa"/>
              <w:start w:w="90" w:type="dxa"/>
              <w:bottom w:w="80" w:type="dxa"/>
              <w:end w:w="90" w:type="dxa"/>
            </w:tcMar>
            <w:vAlign w:val="top"/>
          </w:tcPr>
          <w:p>
            <w:pPr>
              <w:spacing w:after="0"/>
            </w:pPr>
            <w:r>
              <w:rPr>
                <w:rFonts w:ascii="Aptos" w:hAnsi="Aptos"/>
                <w:sz w:val="18"/>
              </w:rPr>
              <w:t>MICRO_REVIEW_REQUIRED</w:t>
            </w:r>
          </w:p>
        </w:tc>
        <w:tc>
          <w:tcPr>
            <w:tcW w:type="dxa" w:w="6768"/>
            <w:tcMar>
              <w:top w:w="80" w:type="dxa"/>
              <w:start w:w="90" w:type="dxa"/>
              <w:bottom w:w="80" w:type="dxa"/>
              <w:end w:w="90" w:type="dxa"/>
            </w:tcMar>
            <w:vAlign w:val="top"/>
          </w:tcPr>
          <w:p>
            <w:pPr>
              <w:spacing w:after="0"/>
            </w:pPr>
            <w:r>
              <w:rPr>
                <w:rFonts w:ascii="Aptos" w:hAnsi="Aptos"/>
                <w:sz w:val="18"/>
              </w:rPr>
              <w:t>Evidence is insufficient or component category is not approved.</w:t>
            </w:r>
          </w:p>
        </w:tc>
      </w:tr>
      <w:tr>
        <w:trPr>
          <w:cantSplit w:val="true"/>
        </w:trPr>
        <w:tc>
          <w:tcPr>
            <w:tcW w:type="dxa" w:w="3312"/>
            <w:tcMar>
              <w:top w:w="80" w:type="dxa"/>
              <w:start w:w="90" w:type="dxa"/>
              <w:bottom w:w="80" w:type="dxa"/>
              <w:end w:w="90" w:type="dxa"/>
            </w:tcMar>
            <w:vAlign w:val="top"/>
          </w:tcPr>
          <w:p>
            <w:pPr>
              <w:spacing w:after="0"/>
            </w:pPr>
            <w:r>
              <w:rPr>
                <w:rFonts w:ascii="Aptos" w:hAnsi="Aptos"/>
                <w:sz w:val="18"/>
              </w:rPr>
              <w:t>HISTORY_CONFLICT_BLOCKED</w:t>
            </w:r>
          </w:p>
        </w:tc>
        <w:tc>
          <w:tcPr>
            <w:tcW w:type="dxa" w:w="6768"/>
            <w:tcMar>
              <w:top w:w="80" w:type="dxa"/>
              <w:start w:w="90" w:type="dxa"/>
              <w:bottom w:w="80" w:type="dxa"/>
              <w:end w:w="90" w:type="dxa"/>
            </w:tcMar>
            <w:vAlign w:val="top"/>
          </w:tcPr>
          <w:p>
            <w:pPr>
              <w:spacing w:after="0"/>
            </w:pPr>
            <w:r>
              <w:rPr>
                <w:rFonts w:ascii="Aptos" w:hAnsi="Aptos"/>
                <w:sz w:val="18"/>
              </w:rPr>
              <w:t>Different active historical identities would be combined.</w:t>
            </w:r>
          </w:p>
        </w:tc>
      </w:tr>
      <w:tr>
        <w:trPr>
          <w:cantSplit w:val="true"/>
        </w:trPr>
        <w:tc>
          <w:tcPr>
            <w:tcW w:type="dxa" w:w="3312"/>
            <w:tcMar>
              <w:top w:w="80" w:type="dxa"/>
              <w:start w:w="90" w:type="dxa"/>
              <w:bottom w:w="80" w:type="dxa"/>
              <w:end w:w="90" w:type="dxa"/>
            </w:tcMar>
            <w:vAlign w:val="top"/>
          </w:tcPr>
          <w:p>
            <w:pPr>
              <w:spacing w:after="0"/>
            </w:pPr>
            <w:r>
              <w:rPr>
                <w:rFonts w:ascii="Aptos" w:hAnsi="Aptos"/>
                <w:sz w:val="18"/>
              </w:rPr>
              <w:t>JUNCTION_CHANGE_BLOCKED</w:t>
            </w:r>
          </w:p>
        </w:tc>
        <w:tc>
          <w:tcPr>
            <w:tcW w:type="dxa" w:w="6768"/>
            <w:tcMar>
              <w:top w:w="80" w:type="dxa"/>
              <w:start w:w="90" w:type="dxa"/>
              <w:bottom w:w="80" w:type="dxa"/>
              <w:end w:w="90" w:type="dxa"/>
            </w:tcMar>
            <w:vAlign w:val="top"/>
          </w:tcPr>
          <w:p>
            <w:pPr>
              <w:spacing w:after="0"/>
            </w:pPr>
            <w:r>
              <w:rPr>
                <w:rFonts w:ascii="Aptos" w:hAnsi="Aptos"/>
                <w:sz w:val="18"/>
              </w:rPr>
              <w:t>Collapse would alter a tee/OLET or other protected degree.</w:t>
            </w:r>
          </w:p>
        </w:tc>
      </w:tr>
    </w:tbl>
    <w:p>
      <w:pPr>
        <w:spacing w:after="0"/>
      </w:pPr>
    </w:p>
    <w:p>
      <w:pPr>
        <w:pStyle w:val="Heading2"/>
        <w:keepNext/>
      </w:pPr>
      <w:r>
        <w:t>8.3 Deterministic representative selection</w:t>
      </w:r>
    </w:p>
    <w:p>
      <w:pPr>
        <w:spacing w:after="40"/>
        <w:ind w:left="403" w:hanging="317"/>
      </w:pPr>
      <w:r>
        <w:rPr>
          <w:rFonts w:ascii="Aptos" w:hAnsi="Aptos"/>
          <w:sz w:val="21"/>
        </w:rPr>
        <w:t>1.  Common historical identity, when all members resolve to the same history node.</w:t>
      </w:r>
    </w:p>
    <w:p>
      <w:pPr>
        <w:spacing w:after="40"/>
        <w:ind w:left="403" w:hanging="317"/>
      </w:pPr>
      <w:r>
        <w:rPr>
          <w:rFonts w:ascii="Aptos" w:hAnsi="Aptos"/>
          <w:sz w:val="21"/>
        </w:rPr>
        <w:t>2.  The sole historical identity, when only one member has history.</w:t>
      </w:r>
    </w:p>
    <w:p>
      <w:pPr>
        <w:spacing w:after="40"/>
        <w:ind w:left="403" w:hanging="317"/>
      </w:pPr>
      <w:r>
        <w:rPr>
          <w:rFonts w:ascii="Aptos" w:hAnsi="Aptos"/>
          <w:sz w:val="21"/>
        </w:rPr>
        <w:t>3.  Junction or higher-degree node.</w:t>
      </w:r>
    </w:p>
    <w:p>
      <w:pPr>
        <w:spacing w:after="40"/>
        <w:ind w:left="403" w:hanging="317"/>
      </w:pPr>
      <w:r>
        <w:rPr>
          <w:rFonts w:ascii="Aptos" w:hAnsi="Aptos"/>
          <w:sz w:val="21"/>
        </w:rPr>
        <w:t>4.  Explicit reference endpoint.</w:t>
      </w:r>
    </w:p>
    <w:p>
      <w:pPr>
        <w:spacing w:after="40"/>
        <w:ind w:left="403" w:hanging="317"/>
      </w:pPr>
      <w:r>
        <w:rPr>
          <w:rFonts w:ascii="Aptos" w:hAnsi="Aptos"/>
          <w:sz w:val="21"/>
        </w:rPr>
        <w:t>5.  Lower source-sequence index.</w:t>
      </w:r>
    </w:p>
    <w:p>
      <w:pPr>
        <w:spacing w:after="40"/>
        <w:ind w:left="403" w:hanging="317"/>
      </w:pPr>
      <w:r>
        <w:rPr>
          <w:rFonts w:ascii="Aptos" w:hAnsi="Aptos"/>
          <w:sz w:val="21"/>
        </w:rPr>
        <w:t>6.  Lexically smaller source path and source-port ID as final tie-breakers.</w:t>
      </w:r>
    </w:p>
    <w:p>
      <w:pPr>
        <w:pStyle w:val="Heading1"/>
        <w:keepNext/>
      </w:pPr>
      <w:r>
        <w:t>9. Assurance and proof model</w:t>
      </w:r>
    </w:p>
    <w:p>
      <w:pPr>
        <w:spacing w:after="120" w:line="259" w:lineRule="auto"/>
      </w:pPr>
      <w:r>
        <w:rPr>
          <w:rFonts w:ascii="Aptos" w:hAnsi="Aptos"/>
          <w:sz w:val="21"/>
        </w:rPr>
        <w:t>Assurance is a chain of independent gates. Every gate consumes immutable upstream artifacts and verifies their hashes before evaluating content. A gate must not silently substitute missing topology artifacts with NOT_APPLICABLE when the source profile declares topology evidence mandatory.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168"/>
            <w:shd w:fill="D9E2F3"/>
            <w:tcMar>
              <w:top w:w="90" w:type="dxa"/>
              <w:start w:w="90" w:type="dxa"/>
              <w:bottom w:w="90" w:type="dxa"/>
              <w:end w:w="90" w:type="dxa"/>
            </w:tcMar>
            <w:vAlign w:val="center"/>
          </w:tcPr>
          <w:p>
            <w:pPr>
              <w:jc w:val="left"/>
            </w:pPr>
            <w:r>
              <w:rPr>
                <w:rFonts w:ascii="Aptos" w:hAnsi="Aptos"/>
                <w:b/>
                <w:color w:val="1F3757"/>
                <w:sz w:val="18"/>
              </w:rPr>
              <w:t>Gate</w:t>
            </w:r>
          </w:p>
        </w:tc>
        <w:tc>
          <w:tcPr>
            <w:tcW w:type="dxa" w:w="6912"/>
            <w:shd w:fill="D9E2F3"/>
            <w:tcMar>
              <w:top w:w="90" w:type="dxa"/>
              <w:start w:w="90" w:type="dxa"/>
              <w:bottom w:w="90" w:type="dxa"/>
              <w:end w:w="90" w:type="dxa"/>
            </w:tcMar>
            <w:vAlign w:val="center"/>
          </w:tcPr>
          <w:p>
            <w:pPr>
              <w:jc w:val="left"/>
            </w:pPr>
            <w:r>
              <w:rPr>
                <w:rFonts w:ascii="Aptos" w:hAnsi="Aptos"/>
                <w:b/>
                <w:color w:val="1F3757"/>
                <w:sz w:val="18"/>
              </w:rPr>
              <w:t>Blocks on</w:t>
            </w:r>
          </w:p>
        </w:tc>
      </w:tr>
      <w:tr>
        <w:trPr>
          <w:cantSplit w:val="true"/>
        </w:trPr>
        <w:tc>
          <w:tcPr>
            <w:tcW w:type="dxa" w:w="3168"/>
            <w:tcMar>
              <w:top w:w="80" w:type="dxa"/>
              <w:start w:w="90" w:type="dxa"/>
              <w:bottom w:w="80" w:type="dxa"/>
              <w:end w:w="90" w:type="dxa"/>
            </w:tcMar>
            <w:vAlign w:val="top"/>
          </w:tcPr>
          <w:p>
            <w:pPr>
              <w:spacing w:after="0"/>
            </w:pPr>
            <w:r>
              <w:rPr>
                <w:rFonts w:ascii="Aptos" w:hAnsi="Aptos"/>
                <w:sz w:val="18"/>
              </w:rPr>
              <w:t>Canonical contract gate</w:t>
            </w:r>
          </w:p>
        </w:tc>
        <w:tc>
          <w:tcPr>
            <w:tcW w:type="dxa" w:w="6912"/>
            <w:tcMar>
              <w:top w:w="80" w:type="dxa"/>
              <w:start w:w="90" w:type="dxa"/>
              <w:bottom w:w="80" w:type="dxa"/>
              <w:end w:w="90" w:type="dxa"/>
            </w:tcMar>
            <w:vAlign w:val="top"/>
          </w:tcPr>
          <w:p>
            <w:pPr>
              <w:spacing w:after="0"/>
            </w:pPr>
            <w:r>
              <w:rPr>
                <w:rFonts w:ascii="Aptos" w:hAnsi="Aptos"/>
                <w:sz w:val="18"/>
              </w:rPr>
              <w:t>XSD/Schematron failure, unsupported dialect or compiler diagnostics.</w:t>
            </w:r>
          </w:p>
        </w:tc>
      </w:tr>
      <w:tr>
        <w:trPr>
          <w:cantSplit w:val="true"/>
        </w:trPr>
        <w:tc>
          <w:tcPr>
            <w:tcW w:type="dxa" w:w="3168"/>
            <w:tcMar>
              <w:top w:w="80" w:type="dxa"/>
              <w:start w:w="90" w:type="dxa"/>
              <w:bottom w:w="80" w:type="dxa"/>
              <w:end w:w="90" w:type="dxa"/>
            </w:tcMar>
            <w:vAlign w:val="top"/>
          </w:tcPr>
          <w:p>
            <w:pPr>
              <w:spacing w:after="0"/>
            </w:pPr>
            <w:r>
              <w:rPr>
                <w:rFonts w:ascii="Aptos" w:hAnsi="Aptos"/>
                <w:sz w:val="18"/>
              </w:rPr>
              <w:t>Topology gate</w:t>
            </w:r>
          </w:p>
        </w:tc>
        <w:tc>
          <w:tcPr>
            <w:tcW w:type="dxa" w:w="6912"/>
            <w:tcMar>
              <w:top w:w="80" w:type="dxa"/>
              <w:start w:w="90" w:type="dxa"/>
              <w:bottom w:w="80" w:type="dxa"/>
              <w:end w:w="90" w:type="dxa"/>
            </w:tcMar>
            <w:vAlign w:val="top"/>
          </w:tcPr>
          <w:p>
            <w:pPr>
              <w:spacing w:after="0"/>
            </w:pPr>
            <w:r>
              <w:rPr>
                <w:rFonts w:ascii="Aptos" w:hAnsi="Aptos"/>
                <w:sz w:val="18"/>
              </w:rPr>
              <w:t>Missing trace, stale topology hash, parity failure or nonzero mismatch.</w:t>
            </w:r>
          </w:p>
        </w:tc>
      </w:tr>
      <w:tr>
        <w:trPr>
          <w:cantSplit w:val="true"/>
        </w:trPr>
        <w:tc>
          <w:tcPr>
            <w:tcW w:type="dxa" w:w="3168"/>
            <w:tcMar>
              <w:top w:w="80" w:type="dxa"/>
              <w:start w:w="90" w:type="dxa"/>
              <w:bottom w:w="80" w:type="dxa"/>
              <w:end w:w="90" w:type="dxa"/>
            </w:tcMar>
            <w:vAlign w:val="top"/>
          </w:tcPr>
          <w:p>
            <w:pPr>
              <w:spacing w:after="0"/>
            </w:pPr>
            <w:r>
              <w:rPr>
                <w:rFonts w:ascii="Aptos" w:hAnsi="Aptos"/>
                <w:sz w:val="18"/>
              </w:rPr>
              <w:t>Node-plan gate</w:t>
            </w:r>
          </w:p>
        </w:tc>
        <w:tc>
          <w:tcPr>
            <w:tcW w:type="dxa" w:w="6912"/>
            <w:tcMar>
              <w:top w:w="80" w:type="dxa"/>
              <w:start w:w="90" w:type="dxa"/>
              <w:bottom w:w="80" w:type="dxa"/>
              <w:end w:w="90" w:type="dxa"/>
            </w:tcMar>
            <w:vAlign w:val="top"/>
          </w:tcPr>
          <w:p>
            <w:pPr>
              <w:spacing w:after="0"/>
            </w:pPr>
            <w:r>
              <w:rPr>
                <w:rFonts w:ascii="Aptos" w:hAnsi="Aptos"/>
                <w:sz w:val="18"/>
              </w:rPr>
              <w:t>Duplicate numbers, absent emitted-node mapping, stale registry or unresolved ambiguity.</w:t>
            </w:r>
          </w:p>
        </w:tc>
      </w:tr>
      <w:tr>
        <w:trPr>
          <w:cantSplit w:val="true"/>
        </w:trPr>
        <w:tc>
          <w:tcPr>
            <w:tcW w:type="dxa" w:w="3168"/>
            <w:tcMar>
              <w:top w:w="80" w:type="dxa"/>
              <w:start w:w="90" w:type="dxa"/>
              <w:bottom w:w="80" w:type="dxa"/>
              <w:end w:w="90" w:type="dxa"/>
            </w:tcMar>
            <w:vAlign w:val="top"/>
          </w:tcPr>
          <w:p>
            <w:pPr>
              <w:spacing w:after="0"/>
            </w:pPr>
            <w:r>
              <w:rPr>
                <w:rFonts w:ascii="Aptos" w:hAnsi="Aptos"/>
                <w:sz w:val="18"/>
              </w:rPr>
              <w:t>Post-canonical parity gate</w:t>
            </w:r>
          </w:p>
        </w:tc>
        <w:tc>
          <w:tcPr>
            <w:tcW w:type="dxa" w:w="6912"/>
            <w:tcMar>
              <w:top w:w="80" w:type="dxa"/>
              <w:start w:w="90" w:type="dxa"/>
              <w:bottom w:w="80" w:type="dxa"/>
              <w:end w:w="90" w:type="dxa"/>
            </w:tcMar>
            <w:vAlign w:val="top"/>
          </w:tcPr>
          <w:p>
            <w:pPr>
              <w:spacing w:after="0"/>
            </w:pPr>
            <w:r>
              <w:rPr>
                <w:rFonts w:ascii="Aptos" w:hAnsi="Aptos"/>
                <w:sz w:val="18"/>
              </w:rPr>
              <w:t>Node/edge/support/restraint mismatch after InputXML sanitation.</w:t>
            </w:r>
          </w:p>
        </w:tc>
      </w:tr>
      <w:tr>
        <w:trPr>
          <w:cantSplit w:val="true"/>
        </w:trPr>
        <w:tc>
          <w:tcPr>
            <w:tcW w:type="dxa" w:w="3168"/>
            <w:tcMar>
              <w:top w:w="80" w:type="dxa"/>
              <w:start w:w="90" w:type="dxa"/>
              <w:bottom w:w="80" w:type="dxa"/>
              <w:end w:w="90" w:type="dxa"/>
            </w:tcMar>
            <w:vAlign w:val="top"/>
          </w:tcPr>
          <w:p>
            <w:pPr>
              <w:spacing w:after="0"/>
            </w:pPr>
            <w:r>
              <w:rPr>
                <w:rFonts w:ascii="Aptos" w:hAnsi="Aptos"/>
                <w:sz w:val="18"/>
              </w:rPr>
              <w:t>CII projection gate</w:t>
            </w:r>
          </w:p>
        </w:tc>
        <w:tc>
          <w:tcPr>
            <w:tcW w:type="dxa" w:w="6912"/>
            <w:tcMar>
              <w:top w:w="80" w:type="dxa"/>
              <w:start w:w="90" w:type="dxa"/>
              <w:bottom w:w="80" w:type="dxa"/>
              <w:end w:w="90" w:type="dxa"/>
            </w:tcMar>
            <w:vAlign w:val="top"/>
          </w:tcPr>
          <w:p>
            <w:pPr>
              <w:spacing w:after="0"/>
            </w:pPr>
            <w:r>
              <w:rPr>
                <w:rFonts w:ascii="Aptos" w:hAnsi="Aptos"/>
                <w:sz w:val="18"/>
              </w:rPr>
              <w:t>Unprojected required fields, forbidden loss, writer diagnostics or hash mismatch.</w:t>
            </w:r>
          </w:p>
        </w:tc>
      </w:tr>
      <w:tr>
        <w:trPr>
          <w:cantSplit w:val="true"/>
        </w:trPr>
        <w:tc>
          <w:tcPr>
            <w:tcW w:type="dxa" w:w="3168"/>
            <w:tcMar>
              <w:top w:w="80" w:type="dxa"/>
              <w:start w:w="90" w:type="dxa"/>
              <w:bottom w:w="80" w:type="dxa"/>
              <w:end w:w="90" w:type="dxa"/>
            </w:tcMar>
            <w:vAlign w:val="top"/>
          </w:tcPr>
          <w:p>
            <w:pPr>
              <w:spacing w:after="0"/>
            </w:pPr>
            <w:r>
              <w:rPr>
                <w:rFonts w:ascii="Aptos" w:hAnsi="Aptos"/>
                <w:sz w:val="18"/>
              </w:rPr>
              <w:t>Independent reparse gate</w:t>
            </w:r>
          </w:p>
        </w:tc>
        <w:tc>
          <w:tcPr>
            <w:tcW w:type="dxa" w:w="6912"/>
            <w:tcMar>
              <w:top w:w="80" w:type="dxa"/>
              <w:start w:w="90" w:type="dxa"/>
              <w:bottom w:w="80" w:type="dxa"/>
              <w:end w:w="90" w:type="dxa"/>
            </w:tcMar>
            <w:vAlign w:val="top"/>
          </w:tcPr>
          <w:p>
            <w:pPr>
              <w:spacing w:after="0"/>
            </w:pPr>
            <w:r>
              <w:rPr>
                <w:rFonts w:ascii="Aptos" w:hAnsi="Aptos"/>
                <w:sz w:val="18"/>
              </w:rPr>
              <w:t>CII syntax failure or engineering inequivalence on reparse.</w:t>
            </w:r>
          </w:p>
        </w:tc>
      </w:tr>
    </w:tbl>
    <w:p>
      <w:pPr>
        <w:spacing w:after="0"/>
      </w:pPr>
    </w:p>
    <w:p>
      <w:pPr>
        <w:pStyle w:val="Heading2"/>
        <w:keepNext/>
      </w:pPr>
      <w:r>
        <w:t>9.1 Validation outcomes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016"/>
            <w:shd w:fill="D9E2F3"/>
            <w:tcMar>
              <w:top w:w="90" w:type="dxa"/>
              <w:start w:w="90" w:type="dxa"/>
              <w:bottom w:w="90" w:type="dxa"/>
              <w:end w:w="90" w:type="dxa"/>
            </w:tcMar>
            <w:vAlign w:val="center"/>
          </w:tcPr>
          <w:p>
            <w:pPr>
              <w:jc w:val="left"/>
            </w:pPr>
            <w:r>
              <w:rPr>
                <w:rFonts w:ascii="Aptos" w:hAnsi="Aptos"/>
                <w:b/>
                <w:color w:val="1F3757"/>
                <w:sz w:val="18"/>
              </w:rPr>
              <w:t>Status</w:t>
            </w:r>
          </w:p>
        </w:tc>
        <w:tc>
          <w:tcPr>
            <w:tcW w:type="dxa" w:w="5760"/>
            <w:shd w:fill="D9E2F3"/>
            <w:tcMar>
              <w:top w:w="90" w:type="dxa"/>
              <w:start w:w="90" w:type="dxa"/>
              <w:bottom w:w="90" w:type="dxa"/>
              <w:end w:w="90" w:type="dxa"/>
            </w:tcMar>
            <w:vAlign w:val="center"/>
          </w:tcPr>
          <w:p>
            <w:pPr>
              <w:jc w:val="left"/>
            </w:pPr>
            <w:r>
              <w:rPr>
                <w:rFonts w:ascii="Aptos" w:hAnsi="Aptos"/>
                <w:b/>
                <w:color w:val="1F3757"/>
                <w:sz w:val="18"/>
              </w:rPr>
              <w:t>Meaning</w:t>
            </w:r>
          </w:p>
        </w:tc>
        <w:tc>
          <w:tcPr>
            <w:tcW w:type="dxa" w:w="2304"/>
            <w:shd w:fill="D9E2F3"/>
            <w:tcMar>
              <w:top w:w="90" w:type="dxa"/>
              <w:start w:w="90" w:type="dxa"/>
              <w:bottom w:w="90" w:type="dxa"/>
              <w:end w:w="90" w:type="dxa"/>
            </w:tcMar>
            <w:vAlign w:val="center"/>
          </w:tcPr>
          <w:p>
            <w:pPr>
              <w:jc w:val="left"/>
            </w:pPr>
            <w:r>
              <w:rPr>
                <w:rFonts w:ascii="Aptos" w:hAnsi="Aptos"/>
                <w:b/>
                <w:color w:val="1F3757"/>
                <w:sz w:val="18"/>
              </w:rPr>
              <w:t>Production release</w:t>
            </w:r>
          </w:p>
        </w:tc>
      </w:tr>
      <w:tr>
        <w:trPr>
          <w:cantSplit w:val="true"/>
        </w:trPr>
        <w:tc>
          <w:tcPr>
            <w:tcW w:type="dxa" w:w="2016"/>
            <w:tcMar>
              <w:top w:w="80" w:type="dxa"/>
              <w:start w:w="90" w:type="dxa"/>
              <w:bottom w:w="80" w:type="dxa"/>
              <w:end w:w="90" w:type="dxa"/>
            </w:tcMar>
            <w:vAlign w:val="top"/>
          </w:tcPr>
          <w:p>
            <w:pPr>
              <w:spacing w:after="0"/>
            </w:pPr>
            <w:r>
              <w:rPr>
                <w:rFonts w:ascii="Aptos" w:hAnsi="Aptos"/>
                <w:sz w:val="18"/>
              </w:rPr>
              <w:t>PASS</w:t>
            </w:r>
          </w:p>
        </w:tc>
        <w:tc>
          <w:tcPr>
            <w:tcW w:type="dxa" w:w="5760"/>
            <w:tcMar>
              <w:top w:w="80" w:type="dxa"/>
              <w:start w:w="90" w:type="dxa"/>
              <w:bottom w:w="80" w:type="dxa"/>
              <w:end w:w="90" w:type="dxa"/>
            </w:tcMar>
            <w:vAlign w:val="top"/>
          </w:tcPr>
          <w:p>
            <w:pPr>
              <w:spacing w:after="0"/>
            </w:pPr>
            <w:r>
              <w:rPr>
                <w:rFonts w:ascii="Aptos" w:hAnsi="Aptos"/>
                <w:sz w:val="18"/>
              </w:rPr>
              <w:t>All mandatory gates satisfied; warnings are non-blocking and evidenced.</w:t>
            </w:r>
          </w:p>
        </w:tc>
        <w:tc>
          <w:tcPr>
            <w:tcW w:type="dxa" w:w="2304"/>
            <w:tcMar>
              <w:top w:w="80" w:type="dxa"/>
              <w:start w:w="90" w:type="dxa"/>
              <w:bottom w:w="80" w:type="dxa"/>
              <w:end w:w="90" w:type="dxa"/>
            </w:tcMar>
            <w:vAlign w:val="top"/>
          </w:tcPr>
          <w:p>
            <w:pPr>
              <w:spacing w:after="0"/>
            </w:pPr>
            <w:r>
              <w:rPr>
                <w:rFonts w:ascii="Aptos" w:hAnsi="Aptos"/>
                <w:sz w:val="18"/>
              </w:rPr>
              <w:t>Allowed</w:t>
            </w:r>
          </w:p>
        </w:tc>
      </w:tr>
      <w:tr>
        <w:trPr>
          <w:cantSplit w:val="true"/>
        </w:trPr>
        <w:tc>
          <w:tcPr>
            <w:tcW w:type="dxa" w:w="2016"/>
            <w:tcMar>
              <w:top w:w="80" w:type="dxa"/>
              <w:start w:w="90" w:type="dxa"/>
              <w:bottom w:w="80" w:type="dxa"/>
              <w:end w:w="90" w:type="dxa"/>
            </w:tcMar>
            <w:vAlign w:val="top"/>
          </w:tcPr>
          <w:p>
            <w:pPr>
              <w:spacing w:after="0"/>
            </w:pPr>
            <w:r>
              <w:rPr>
                <w:rFonts w:ascii="Aptos" w:hAnsi="Aptos"/>
                <w:sz w:val="18"/>
              </w:rPr>
              <w:t>REVIEW_REQUIRED</w:t>
            </w:r>
          </w:p>
        </w:tc>
        <w:tc>
          <w:tcPr>
            <w:tcW w:type="dxa" w:w="5760"/>
            <w:tcMar>
              <w:top w:w="80" w:type="dxa"/>
              <w:start w:w="90" w:type="dxa"/>
              <w:bottom w:w="80" w:type="dxa"/>
              <w:end w:w="90" w:type="dxa"/>
            </w:tcMar>
            <w:vAlign w:val="top"/>
          </w:tcPr>
          <w:p>
            <w:pPr>
              <w:spacing w:after="0"/>
            </w:pPr>
            <w:r>
              <w:rPr>
                <w:rFonts w:ascii="Aptos" w:hAnsi="Aptos"/>
                <w:sz w:val="18"/>
              </w:rPr>
              <w:t>Deterministic result cannot be established without engineering approval.</w:t>
            </w:r>
          </w:p>
        </w:tc>
        <w:tc>
          <w:tcPr>
            <w:tcW w:type="dxa" w:w="2304"/>
            <w:tcMar>
              <w:top w:w="80" w:type="dxa"/>
              <w:start w:w="90" w:type="dxa"/>
              <w:bottom w:w="80" w:type="dxa"/>
              <w:end w:w="90" w:type="dxa"/>
            </w:tcMar>
            <w:vAlign w:val="top"/>
          </w:tcPr>
          <w:p>
            <w:pPr>
              <w:spacing w:after="0"/>
            </w:pPr>
            <w:r>
              <w:rPr>
                <w:rFonts w:ascii="Aptos" w:hAnsi="Aptos"/>
                <w:sz w:val="18"/>
              </w:rPr>
              <w:t>Blocked</w:t>
            </w:r>
          </w:p>
        </w:tc>
      </w:tr>
      <w:tr>
        <w:trPr>
          <w:cantSplit w:val="true"/>
        </w:trPr>
        <w:tc>
          <w:tcPr>
            <w:tcW w:type="dxa" w:w="2016"/>
            <w:tcMar>
              <w:top w:w="80" w:type="dxa"/>
              <w:start w:w="90" w:type="dxa"/>
              <w:bottom w:w="80" w:type="dxa"/>
              <w:end w:w="90" w:type="dxa"/>
            </w:tcMar>
            <w:vAlign w:val="top"/>
          </w:tcPr>
          <w:p>
            <w:pPr>
              <w:spacing w:after="0"/>
            </w:pPr>
            <w:r>
              <w:rPr>
                <w:rFonts w:ascii="Aptos" w:hAnsi="Aptos"/>
                <w:sz w:val="18"/>
              </w:rPr>
              <w:t>BLOCKED</w:t>
            </w:r>
          </w:p>
        </w:tc>
        <w:tc>
          <w:tcPr>
            <w:tcW w:type="dxa" w:w="5760"/>
            <w:tcMar>
              <w:top w:w="80" w:type="dxa"/>
              <w:start w:w="90" w:type="dxa"/>
              <w:bottom w:w="80" w:type="dxa"/>
              <w:end w:w="90" w:type="dxa"/>
            </w:tcMar>
            <w:vAlign w:val="top"/>
          </w:tcPr>
          <w:p>
            <w:pPr>
              <w:spacing w:after="0"/>
            </w:pPr>
            <w:r>
              <w:rPr>
                <w:rFonts w:ascii="Aptos" w:hAnsi="Aptos"/>
                <w:sz w:val="18"/>
              </w:rPr>
              <w:t>Contract, topology, history, numbering or projection defect.</w:t>
            </w:r>
          </w:p>
        </w:tc>
        <w:tc>
          <w:tcPr>
            <w:tcW w:type="dxa" w:w="2304"/>
            <w:tcMar>
              <w:top w:w="80" w:type="dxa"/>
              <w:start w:w="90" w:type="dxa"/>
              <w:bottom w:w="80" w:type="dxa"/>
              <w:end w:w="90" w:type="dxa"/>
            </w:tcMar>
            <w:vAlign w:val="top"/>
          </w:tcPr>
          <w:p>
            <w:pPr>
              <w:spacing w:after="0"/>
            </w:pPr>
            <w:r>
              <w:rPr>
                <w:rFonts w:ascii="Aptos" w:hAnsi="Aptos"/>
                <w:sz w:val="18"/>
              </w:rPr>
              <w:t>Blocked</w:t>
            </w:r>
          </w:p>
        </w:tc>
      </w:tr>
    </w:tbl>
    <w:p>
      <w:pPr>
        <w:spacing w:after="0"/>
      </w:pPr>
    </w:p>
    <w:p>
      <w:pPr>
        <w:pStyle w:val="Heading2"/>
        <w:keepNext/>
      </w:pPr>
      <w:r>
        <w:t>9.2 Hash chain</w:t>
      </w:r>
    </w:p>
    <w:tbl>
      <w:tblPr>
        <w:tblW w:type="auto" w:w="0"/>
        <w:jc w:val="center"/>
        <w:tblLayout w:type="autofit"/>
        <w:tblLook w:firstColumn="1" w:firstRow="1" w:lastColumn="0" w:lastRow="0" w:noHBand="0" w:noVBand="1" w:val="04A0"/>
      </w:tblPr>
      <w:tblGrid>
        <w:gridCol w:w="10166"/>
      </w:tblGrid>
      <w:tr>
        <w:trPr>
          <w:cantSplit w:val="true"/>
        </w:trPr>
        <w:tc>
          <w:tcPr>
            <w:tcW w:type="dxa" w:w="10166"/>
            <w:shd w:fill="F4F6F8"/>
            <w:tcMar>
              <w:top w:w="120" w:type="dxa"/>
              <w:start w:w="140" w:type="dxa"/>
              <w:bottom w:w="120" w:type="dxa"/>
              <w:end w:w="140" w:type="dxa"/>
            </w:tcMar>
          </w:tcPr>
          <w:p>
            <w:pPr>
              <w:spacing w:after="0"/>
            </w:pPr>
            <w:r>
              <w:rPr>
                <w:rFonts w:ascii="Liberation Mono" w:hAnsi="Liberation Mono"/>
                <w:color w:val="282D32"/>
                <w:sz w:val="17"/>
              </w:rPr>
              <w:t>sourceHash</w:t>
            </w:r>
            <w:r>
              <w:br/>
            </w:r>
            <w:r>
              <w:rPr>
                <w:rFonts w:ascii="Liberation Mono" w:hAnsi="Liberation Mono"/>
                <w:color w:val="282D32"/>
                <w:sz w:val="17"/>
              </w:rPr>
              <w:t>-&gt; sourceInventoryHash</w:t>
            </w:r>
            <w:r>
              <w:br/>
            </w:r>
            <w:r>
              <w:rPr>
                <w:rFonts w:ascii="Liberation Mono" w:hAnsi="Liberation Mono"/>
                <w:color w:val="282D32"/>
                <w:sz w:val="17"/>
              </w:rPr>
              <w:t>-&gt; canonicalTopologyHash</w:t>
            </w:r>
            <w:r>
              <w:br/>
            </w:r>
            <w:r>
              <w:rPr>
                <w:rFonts w:ascii="Liberation Mono" w:hAnsi="Liberation Mono"/>
                <w:color w:val="282D32"/>
                <w:sz w:val="17"/>
              </w:rPr>
              <w:t>-&gt; topologyTraceLedgerHash</w:t>
            </w:r>
            <w:r>
              <w:br/>
            </w:r>
            <w:r>
              <w:rPr>
                <w:rFonts w:ascii="Liberation Mono" w:hAnsi="Liberation Mono"/>
                <w:color w:val="282D32"/>
                <w:sz w:val="17"/>
              </w:rPr>
              <w:t>-&gt; logicalGraphHash</w:t>
            </w:r>
            <w:r>
              <w:br/>
            </w:r>
            <w:r>
              <w:rPr>
                <w:rFonts w:ascii="Liberation Mono" w:hAnsi="Liberation Mono"/>
                <w:color w:val="282D32"/>
                <w:sz w:val="17"/>
              </w:rPr>
              <w:t>-&gt; historyMatchPlanHash</w:t>
            </w:r>
            <w:r>
              <w:br/>
            </w:r>
            <w:r>
              <w:rPr>
                <w:rFonts w:ascii="Liberation Mono" w:hAnsi="Liberation Mono"/>
                <w:color w:val="282D32"/>
                <w:sz w:val="17"/>
              </w:rPr>
              <w:t>-&gt; allocationPlanHash</w:t>
            </w:r>
            <w:r>
              <w:br/>
            </w:r>
            <w:r>
              <w:rPr>
                <w:rFonts w:ascii="Liberation Mono" w:hAnsi="Liberation Mono"/>
                <w:color w:val="282D32"/>
                <w:sz w:val="17"/>
              </w:rPr>
              <w:t>-&gt; nodePlanHash</w:t>
            </w:r>
            <w:r>
              <w:br/>
            </w:r>
            <w:r>
              <w:rPr>
                <w:rFonts w:ascii="Liberation Mono" w:hAnsi="Liberation Mono"/>
                <w:color w:val="282D32"/>
                <w:sz w:val="17"/>
              </w:rPr>
              <w:t>-&gt; canonicalInputXmlHash</w:t>
            </w:r>
            <w:r>
              <w:br/>
            </w:r>
            <w:r>
              <w:rPr>
                <w:rFonts w:ascii="Liberation Mono" w:hAnsi="Liberation Mono"/>
                <w:color w:val="282D32"/>
                <w:sz w:val="17"/>
              </w:rPr>
              <w:t>-&gt; assuranceLedgerHash</w:t>
            </w:r>
            <w:r>
              <w:br/>
            </w:r>
            <w:r>
              <w:rPr>
                <w:rFonts w:ascii="Liberation Mono" w:hAnsi="Liberation Mono"/>
                <w:color w:val="282D32"/>
                <w:sz w:val="17"/>
              </w:rPr>
              <w:t>-&gt; ciiProjectionHash</w:t>
            </w:r>
            <w:r>
              <w:br/>
            </w:r>
            <w:r>
              <w:rPr>
                <w:rFonts w:ascii="Liberation Mono" w:hAnsi="Liberation Mono"/>
                <w:color w:val="282D32"/>
                <w:sz w:val="17"/>
              </w:rPr>
              <w:t>-&gt; ciiReparseProofHash</w:t>
            </w:r>
          </w:p>
        </w:tc>
      </w:tr>
    </w:tbl>
    <w:p>
      <w:pPr>
        <w:spacing w:after="0"/>
      </w:pPr>
    </w:p>
    <w:p>
      <w:pPr>
        <w:pStyle w:val="Heading1"/>
        <w:keepNext/>
      </w:pPr>
      <w:r>
        <w:t>10. Operating modes and governance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520"/>
            <w:shd w:fill="D9E2F3"/>
            <w:tcMar>
              <w:top w:w="90" w:type="dxa"/>
              <w:start w:w="90" w:type="dxa"/>
              <w:bottom w:w="90" w:type="dxa"/>
              <w:end w:w="90" w:type="dxa"/>
            </w:tcMar>
            <w:vAlign w:val="center"/>
          </w:tcPr>
          <w:p>
            <w:pPr>
              <w:jc w:val="left"/>
            </w:pPr>
            <w:r>
              <w:rPr>
                <w:rFonts w:ascii="Aptos" w:hAnsi="Aptos"/>
                <w:b/>
                <w:color w:val="1F3757"/>
                <w:sz w:val="18"/>
              </w:rPr>
              <w:t>Mode</w:t>
            </w:r>
          </w:p>
        </w:tc>
        <w:tc>
          <w:tcPr>
            <w:tcW w:type="dxa" w:w="5256"/>
            <w:shd w:fill="D9E2F3"/>
            <w:tcMar>
              <w:top w:w="90" w:type="dxa"/>
              <w:start w:w="90" w:type="dxa"/>
              <w:bottom w:w="90" w:type="dxa"/>
              <w:end w:w="90" w:type="dxa"/>
            </w:tcMar>
            <w:vAlign w:val="center"/>
          </w:tcPr>
          <w:p>
            <w:pPr>
              <w:jc w:val="left"/>
            </w:pPr>
            <w:r>
              <w:rPr>
                <w:rFonts w:ascii="Aptos" w:hAnsi="Aptos"/>
                <w:b/>
                <w:color w:val="1F3757"/>
                <w:sz w:val="18"/>
              </w:rPr>
              <w:t>Purpose</w:t>
            </w:r>
          </w:p>
        </w:tc>
        <w:tc>
          <w:tcPr>
            <w:tcW w:type="dxa" w:w="2304"/>
            <w:shd w:fill="D9E2F3"/>
            <w:tcMar>
              <w:top w:w="90" w:type="dxa"/>
              <w:start w:w="90" w:type="dxa"/>
              <w:bottom w:w="90" w:type="dxa"/>
              <w:end w:w="90" w:type="dxa"/>
            </w:tcMar>
            <w:vAlign w:val="center"/>
          </w:tcPr>
          <w:p>
            <w:pPr>
              <w:jc w:val="left"/>
            </w:pPr>
            <w:r>
              <w:rPr>
                <w:rFonts w:ascii="Aptos" w:hAnsi="Aptos"/>
                <w:b/>
                <w:color w:val="1F3757"/>
                <w:sz w:val="18"/>
              </w:rPr>
              <w:t>Authority</w:t>
            </w:r>
          </w:p>
        </w:tc>
      </w:tr>
      <w:tr>
        <w:trPr>
          <w:cantSplit w:val="true"/>
        </w:trPr>
        <w:tc>
          <w:tcPr>
            <w:tcW w:type="dxa" w:w="2520"/>
            <w:tcMar>
              <w:top w:w="80" w:type="dxa"/>
              <w:start w:w="90" w:type="dxa"/>
              <w:bottom w:w="80" w:type="dxa"/>
              <w:end w:w="90" w:type="dxa"/>
            </w:tcMar>
            <w:vAlign w:val="top"/>
          </w:tcPr>
          <w:p>
            <w:pPr>
              <w:spacing w:after="0"/>
            </w:pPr>
            <w:r>
              <w:rPr>
                <w:rFonts w:ascii="Aptos" w:hAnsi="Aptos"/>
                <w:sz w:val="18"/>
              </w:rPr>
              <w:t>BOOTSTRAP_REVIEW</w:t>
            </w:r>
          </w:p>
        </w:tc>
        <w:tc>
          <w:tcPr>
            <w:tcW w:type="dxa" w:w="5256"/>
            <w:tcMar>
              <w:top w:w="80" w:type="dxa"/>
              <w:start w:w="90" w:type="dxa"/>
              <w:bottom w:w="80" w:type="dxa"/>
              <w:end w:w="90" w:type="dxa"/>
            </w:tcMar>
            <w:vAlign w:val="top"/>
          </w:tcPr>
          <w:p>
            <w:pPr>
              <w:spacing w:after="0"/>
            </w:pPr>
            <w:r>
              <w:rPr>
                <w:rFonts w:ascii="Aptos" w:hAnsi="Aptos"/>
                <w:sz w:val="18"/>
              </w:rPr>
              <w:t>Create the first approved historical registry from an accepted historical model.</w:t>
            </w:r>
          </w:p>
        </w:tc>
        <w:tc>
          <w:tcPr>
            <w:tcW w:type="dxa" w:w="2304"/>
            <w:tcMar>
              <w:top w:w="80" w:type="dxa"/>
              <w:start w:w="90" w:type="dxa"/>
              <w:bottom w:w="80" w:type="dxa"/>
              <w:end w:w="90" w:type="dxa"/>
            </w:tcMar>
            <w:vAlign w:val="top"/>
          </w:tcPr>
          <w:p>
            <w:pPr>
              <w:spacing w:after="0"/>
            </w:pPr>
            <w:r>
              <w:rPr>
                <w:rFonts w:ascii="Aptos" w:hAnsi="Aptos"/>
                <w:sz w:val="18"/>
              </w:rPr>
              <w:t>Engineering review required.</w:t>
            </w:r>
          </w:p>
        </w:tc>
      </w:tr>
      <w:tr>
        <w:trPr>
          <w:cantSplit w:val="true"/>
        </w:trPr>
        <w:tc>
          <w:tcPr>
            <w:tcW w:type="dxa" w:w="2520"/>
            <w:tcMar>
              <w:top w:w="80" w:type="dxa"/>
              <w:start w:w="90" w:type="dxa"/>
              <w:bottom w:w="80" w:type="dxa"/>
              <w:end w:w="90" w:type="dxa"/>
            </w:tcMar>
            <w:vAlign w:val="top"/>
          </w:tcPr>
          <w:p>
            <w:pPr>
              <w:spacing w:after="0"/>
            </w:pPr>
            <w:r>
              <w:rPr>
                <w:rFonts w:ascii="Aptos" w:hAnsi="Aptos"/>
                <w:sz w:val="18"/>
              </w:rPr>
              <w:t>HISTORY_DRY_RUN</w:t>
            </w:r>
          </w:p>
        </w:tc>
        <w:tc>
          <w:tcPr>
            <w:tcW w:type="dxa" w:w="5256"/>
            <w:tcMar>
              <w:top w:w="80" w:type="dxa"/>
              <w:start w:w="90" w:type="dxa"/>
              <w:bottom w:w="80" w:type="dxa"/>
              <w:end w:w="90" w:type="dxa"/>
            </w:tcMar>
            <w:vAlign w:val="top"/>
          </w:tcPr>
          <w:p>
            <w:pPr>
              <w:spacing w:after="0"/>
            </w:pPr>
            <w:r>
              <w:rPr>
                <w:rFonts w:ascii="Aptos" w:hAnsi="Aptos"/>
                <w:sz w:val="18"/>
              </w:rPr>
              <w:t>Generate proposed matches and allocations without changing production numbering.</w:t>
            </w:r>
          </w:p>
        </w:tc>
        <w:tc>
          <w:tcPr>
            <w:tcW w:type="dxa" w:w="2304"/>
            <w:tcMar>
              <w:top w:w="80" w:type="dxa"/>
              <w:start w:w="90" w:type="dxa"/>
              <w:bottom w:w="80" w:type="dxa"/>
              <w:end w:w="90" w:type="dxa"/>
            </w:tcMar>
            <w:vAlign w:val="top"/>
          </w:tcPr>
          <w:p>
            <w:pPr>
              <w:spacing w:after="0"/>
            </w:pPr>
            <w:r>
              <w:rPr>
                <w:rFonts w:ascii="Aptos" w:hAnsi="Aptos"/>
                <w:sz w:val="18"/>
              </w:rPr>
              <w:t>Observation only.</w:t>
            </w:r>
          </w:p>
        </w:tc>
      </w:tr>
      <w:tr>
        <w:trPr>
          <w:cantSplit w:val="true"/>
        </w:trPr>
        <w:tc>
          <w:tcPr>
            <w:tcW w:type="dxa" w:w="2520"/>
            <w:tcMar>
              <w:top w:w="80" w:type="dxa"/>
              <w:start w:w="90" w:type="dxa"/>
              <w:bottom w:w="80" w:type="dxa"/>
              <w:end w:w="90" w:type="dxa"/>
            </w:tcMar>
            <w:vAlign w:val="top"/>
          </w:tcPr>
          <w:p>
            <w:pPr>
              <w:spacing w:after="0"/>
            </w:pPr>
            <w:r>
              <w:rPr>
                <w:rFonts w:ascii="Aptos" w:hAnsi="Aptos"/>
                <w:sz w:val="18"/>
              </w:rPr>
              <w:t>HISTORY_ENFORCED</w:t>
            </w:r>
          </w:p>
        </w:tc>
        <w:tc>
          <w:tcPr>
            <w:tcW w:type="dxa" w:w="5256"/>
            <w:tcMar>
              <w:top w:w="80" w:type="dxa"/>
              <w:start w:w="90" w:type="dxa"/>
              <w:bottom w:w="80" w:type="dxa"/>
              <w:end w:w="90" w:type="dxa"/>
            </w:tcMar>
            <w:vAlign w:val="top"/>
          </w:tcPr>
          <w:p>
            <w:pPr>
              <w:spacing w:after="0"/>
            </w:pPr>
            <w:r>
              <w:rPr>
                <w:rFonts w:ascii="Aptos" w:hAnsi="Aptos"/>
                <w:sz w:val="18"/>
              </w:rPr>
              <w:t>Use the approved registry and node plan as the production numbering authority.</w:t>
            </w:r>
          </w:p>
        </w:tc>
        <w:tc>
          <w:tcPr>
            <w:tcW w:type="dxa" w:w="2304"/>
            <w:tcMar>
              <w:top w:w="80" w:type="dxa"/>
              <w:start w:w="90" w:type="dxa"/>
              <w:bottom w:w="80" w:type="dxa"/>
              <w:end w:w="90" w:type="dxa"/>
            </w:tcMar>
            <w:vAlign w:val="top"/>
          </w:tcPr>
          <w:p>
            <w:pPr>
              <w:spacing w:after="0"/>
            </w:pPr>
            <w:r>
              <w:rPr>
                <w:rFonts w:ascii="Aptos" w:hAnsi="Aptos"/>
                <w:sz w:val="18"/>
              </w:rPr>
              <w:t>Fail closed.</w:t>
            </w:r>
          </w:p>
        </w:tc>
      </w:tr>
    </w:tbl>
    <w:p>
      <w:pPr>
        <w:spacing w:after="0"/>
      </w:pPr>
    </w:p>
    <w:p>
      <w:pPr>
        <w:pStyle w:val="Heading2"/>
        <w:keepNext/>
      </w:pPr>
      <w:r>
        <w:t>10.1 Registry transaction model</w:t>
      </w:r>
    </w:p>
    <w:p>
      <w:pPr>
        <w:spacing w:after="120" w:line="259" w:lineRule="auto"/>
      </w:pPr>
      <w:r>
        <w:rPr>
          <w:rFonts w:ascii="Aptos" w:hAnsi="Aptos"/>
          <w:sz w:val="21"/>
        </w:rPr>
        <w:t>GitHub may hold reviewed engineering registry snapshots, but the browser must not act as a transactional database. The application produces an update bundle; CI validates it against current main; the pull-request merge is the transaction boundary.</w:t>
      </w:r>
    </w:p>
    <w:tbl>
      <w:tblPr>
        <w:tblW w:type="auto" w:w="0"/>
        <w:jc w:val="center"/>
        <w:tblLayout w:type="autofit"/>
        <w:tblLook w:firstColumn="1" w:firstRow="1" w:lastColumn="0" w:lastRow="0" w:noHBand="0" w:noVBand="1" w:val="04A0"/>
      </w:tblPr>
      <w:tblGrid>
        <w:gridCol w:w="10166"/>
      </w:tblGrid>
      <w:tr>
        <w:trPr>
          <w:cantSplit w:val="true"/>
        </w:trPr>
        <w:tc>
          <w:tcPr>
            <w:tcW w:type="dxa" w:w="10166"/>
            <w:shd w:fill="F4F6F8"/>
            <w:tcMar>
              <w:top w:w="120" w:type="dxa"/>
              <w:start w:w="140" w:type="dxa"/>
              <w:bottom w:w="120" w:type="dxa"/>
              <w:end w:w="140" w:type="dxa"/>
            </w:tcMar>
          </w:tcPr>
          <w:p>
            <w:pPr>
              <w:spacing w:after="0"/>
            </w:pPr>
            <w:r>
              <w:rPr>
                <w:rFonts w:ascii="Liberation Mono" w:hAnsi="Liberation Mono"/>
                <w:color w:val="282D32"/>
                <w:sz w:val="17"/>
              </w:rPr>
              <w:t>Application loads current registry snapshot</w:t>
            </w:r>
            <w:r>
              <w:br/>
            </w:r>
            <w:r>
              <w:rPr>
                <w:rFonts w:ascii="Liberation Mono" w:hAnsi="Liberation Mono"/>
                <w:color w:val="282D32"/>
                <w:sz w:val="17"/>
              </w:rPr>
              <w:t>-&gt; preprocesses source and produces node plan</w:t>
            </w:r>
            <w:r>
              <w:br/>
            </w:r>
            <w:r>
              <w:rPr>
                <w:rFonts w:ascii="Liberation Mono" w:hAnsi="Liberation Mono"/>
                <w:color w:val="282D32"/>
                <w:sz w:val="17"/>
              </w:rPr>
              <w:t>-&gt; exports proposed registry update bundle</w:t>
            </w:r>
            <w:r>
              <w:br/>
            </w:r>
            <w:r>
              <w:rPr>
                <w:rFonts w:ascii="Liberation Mono" w:hAnsi="Liberation Mono"/>
                <w:color w:val="282D32"/>
                <w:sz w:val="17"/>
              </w:rPr>
              <w:t>-&gt; CI validates schemas, hashes, leases and evidence</w:t>
            </w:r>
            <w:r>
              <w:br/>
            </w:r>
            <w:r>
              <w:rPr>
                <w:rFonts w:ascii="Liberation Mono" w:hAnsi="Liberation Mono"/>
                <w:color w:val="282D32"/>
                <w:sz w:val="17"/>
              </w:rPr>
              <w:t>-&gt; pull request review</w:t>
            </w:r>
            <w:r>
              <w:br/>
            </w:r>
            <w:r>
              <w:rPr>
                <w:rFonts w:ascii="Liberation Mono" w:hAnsi="Liberation Mono"/>
                <w:color w:val="282D32"/>
                <w:sz w:val="17"/>
              </w:rPr>
              <w:t>-&gt; merge establishes the new authoritative snapshot</w:t>
            </w:r>
          </w:p>
        </w:tc>
      </w:tr>
    </w:tbl>
    <w:p>
      <w:pPr>
        <w:spacing w:after="0"/>
      </w:pPr>
    </w:p>
    <w:p>
      <w:pPr>
        <w:pStyle w:val="Heading2"/>
        <w:keepNext/>
      </w:pPr>
      <w:r>
        <w:t>10.2 Merge-time controls</w:t>
      </w:r>
    </w:p>
    <w:p>
      <w:pPr>
        <w:pStyle w:val="ListBullet"/>
        <w:spacing w:after="40"/>
      </w:pPr>
      <w:r>
        <w:rPr>
          <w:rFonts w:ascii="Aptos" w:hAnsi="Aptos"/>
          <w:sz w:val="21"/>
        </w:rPr>
        <w:t>Base registry snapshot hash must cover the complete affected zone, not pool.json alone.</w:t>
      </w:r>
    </w:p>
    <w:p>
      <w:pPr>
        <w:pStyle w:val="ListBullet"/>
        <w:spacing w:after="40"/>
      </w:pPr>
      <w:r>
        <w:rPr>
          <w:rFonts w:ascii="Aptos" w:hAnsi="Aptos"/>
          <w:sz w:val="21"/>
        </w:rPr>
        <w:t>Merge validation must rerun against current main.</w:t>
      </w:r>
    </w:p>
    <w:p>
      <w:pPr>
        <w:pStyle w:val="ListBullet"/>
        <w:spacing w:after="40"/>
      </w:pPr>
      <w:r>
        <w:rPr>
          <w:rFonts w:ascii="Aptos" w:hAnsi="Aptos"/>
          <w:sz w:val="21"/>
        </w:rPr>
        <w:t>Two updates generated from the same stale zone snapshot cannot both merge.</w:t>
      </w:r>
    </w:p>
    <w:p>
      <w:pPr>
        <w:pStyle w:val="ListBullet"/>
        <w:spacing w:after="40"/>
      </w:pPr>
      <w:r>
        <w:rPr>
          <w:rFonts w:ascii="Aptos" w:hAnsi="Aptos"/>
          <w:sz w:val="21"/>
        </w:rPr>
        <w:t>Range overlap, duplicate active numbers and retired-number reuse are hard blockers.</w:t>
      </w:r>
    </w:p>
    <w:p>
      <w:pPr>
        <w:pStyle w:val="ListBullet"/>
        <w:spacing w:after="40"/>
      </w:pPr>
      <w:r>
        <w:rPr>
          <w:rFonts w:ascii="Aptos" w:hAnsi="Aptos"/>
          <w:sz w:val="21"/>
        </w:rPr>
        <w:t>Administrative overrides require explicit evidence and cannot bypass reproducibility checks silently.</w:t>
      </w:r>
    </w:p>
    <w:p>
      <w:pPr>
        <w:pStyle w:val="Heading1"/>
        <w:keepNext/>
      </w:pPr>
      <w:r>
        <w:t>11. Implementation workstreams</w:t>
      </w:r>
    </w:p>
    <w:p>
      <w:pPr>
        <w:spacing w:after="120" w:line="259" w:lineRule="auto"/>
      </w:pPr>
      <w:r>
        <w:rPr>
          <w:rFonts w:ascii="Aptos" w:hAnsi="Aptos"/>
          <w:sz w:val="21"/>
        </w:rPr>
        <w:t>The concept should be implemented through dependency-ordered workstreams. InputXML assurance defects are closed first; deterministic numbering is introduced only after writers become pure serializers.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096"/>
            <w:shd w:fill="D9E2F3"/>
            <w:tcMar>
              <w:top w:w="90" w:type="dxa"/>
              <w:start w:w="90" w:type="dxa"/>
              <w:bottom w:w="90" w:type="dxa"/>
              <w:end w:w="90" w:type="dxa"/>
            </w:tcMar>
            <w:vAlign w:val="center"/>
          </w:tcPr>
          <w:p>
            <w:pPr>
              <w:jc w:val="left"/>
            </w:pPr>
            <w:r>
              <w:rPr>
                <w:rFonts w:ascii="Aptos" w:hAnsi="Aptos"/>
                <w:b/>
                <w:color w:val="1F3757"/>
                <w:sz w:val="18"/>
              </w:rPr>
              <w:t>Workstream</w:t>
            </w:r>
          </w:p>
        </w:tc>
        <w:tc>
          <w:tcPr>
            <w:tcW w:type="dxa" w:w="6984"/>
            <w:shd w:fill="D9E2F3"/>
            <w:tcMar>
              <w:top w:w="90" w:type="dxa"/>
              <w:start w:w="90" w:type="dxa"/>
              <w:bottom w:w="90" w:type="dxa"/>
              <w:end w:w="90" w:type="dxa"/>
            </w:tcMar>
            <w:vAlign w:val="center"/>
          </w:tcPr>
          <w:p>
            <w:pPr>
              <w:jc w:val="left"/>
            </w:pPr>
            <w:r>
              <w:rPr>
                <w:rFonts w:ascii="Aptos" w:hAnsi="Aptos"/>
                <w:b/>
                <w:color w:val="1F3757"/>
                <w:sz w:val="18"/>
              </w:rPr>
              <w:t>Outcome</w:t>
            </w:r>
          </w:p>
        </w:tc>
      </w:tr>
      <w:tr>
        <w:trPr>
          <w:cantSplit w:val="true"/>
        </w:trPr>
        <w:tc>
          <w:tcPr>
            <w:tcW w:type="dxa" w:w="3096"/>
            <w:tcMar>
              <w:top w:w="80" w:type="dxa"/>
              <w:start w:w="90" w:type="dxa"/>
              <w:bottom w:w="80" w:type="dxa"/>
              <w:end w:w="90" w:type="dxa"/>
            </w:tcMar>
            <w:vAlign w:val="top"/>
          </w:tcPr>
          <w:p>
            <w:pPr>
              <w:spacing w:after="0"/>
            </w:pPr>
            <w:r>
              <w:rPr>
                <w:rFonts w:ascii="Aptos" w:hAnsi="Aptos"/>
                <w:sz w:val="18"/>
              </w:rPr>
              <w:t>W1 - Assurance contract repair</w:t>
            </w:r>
          </w:p>
        </w:tc>
        <w:tc>
          <w:tcPr>
            <w:tcW w:type="dxa" w:w="6984"/>
            <w:tcMar>
              <w:top w:w="80" w:type="dxa"/>
              <w:start w:w="90" w:type="dxa"/>
              <w:bottom w:w="80" w:type="dxa"/>
              <w:end w:w="90" w:type="dxa"/>
            </w:tcMar>
            <w:vAlign w:val="top"/>
          </w:tcPr>
          <w:p>
            <w:pPr>
              <w:spacing w:after="0"/>
            </w:pPr>
            <w:r>
              <w:rPr>
                <w:rFonts w:ascii="Aptos" w:hAnsi="Aptos"/>
                <w:sz w:val="18"/>
              </w:rPr>
              <w:t>Align real topology parity producer/consumer shapes and make managed-stage E2E pass real topology artifacts.</w:t>
            </w:r>
          </w:p>
        </w:tc>
      </w:tr>
      <w:tr>
        <w:trPr>
          <w:cantSplit w:val="true"/>
        </w:trPr>
        <w:tc>
          <w:tcPr>
            <w:tcW w:type="dxa" w:w="3096"/>
            <w:tcMar>
              <w:top w:w="80" w:type="dxa"/>
              <w:start w:w="90" w:type="dxa"/>
              <w:bottom w:w="80" w:type="dxa"/>
              <w:end w:w="90" w:type="dxa"/>
            </w:tcMar>
            <w:vAlign w:val="top"/>
          </w:tcPr>
          <w:p>
            <w:pPr>
              <w:spacing w:after="0"/>
            </w:pPr>
            <w:r>
              <w:rPr>
                <w:rFonts w:ascii="Aptos" w:hAnsi="Aptos"/>
                <w:sz w:val="18"/>
              </w:rPr>
              <w:t>W2 - Post-canonical topology parity</w:t>
            </w:r>
          </w:p>
        </w:tc>
        <w:tc>
          <w:tcPr>
            <w:tcW w:type="dxa" w:w="6984"/>
            <w:tcMar>
              <w:top w:w="80" w:type="dxa"/>
              <w:start w:w="90" w:type="dxa"/>
              <w:bottom w:w="80" w:type="dxa"/>
              <w:end w:w="90" w:type="dxa"/>
            </w:tcMar>
            <w:vAlign w:val="top"/>
          </w:tcPr>
          <w:p>
            <w:pPr>
              <w:spacing w:after="0"/>
            </w:pPr>
            <w:r>
              <w:rPr>
                <w:rFonts w:ascii="Aptos" w:hAnsi="Aptos"/>
                <w:sz w:val="18"/>
              </w:rPr>
              <w:t>Prove canonical topology equals final canonical InputXML after sanitation.</w:t>
            </w:r>
          </w:p>
        </w:tc>
      </w:tr>
      <w:tr>
        <w:trPr>
          <w:cantSplit w:val="true"/>
        </w:trPr>
        <w:tc>
          <w:tcPr>
            <w:tcW w:type="dxa" w:w="3096"/>
            <w:tcMar>
              <w:top w:w="80" w:type="dxa"/>
              <w:start w:w="90" w:type="dxa"/>
              <w:bottom w:w="80" w:type="dxa"/>
              <w:end w:w="90" w:type="dxa"/>
            </w:tcMar>
            <w:vAlign w:val="top"/>
          </w:tcPr>
          <w:p>
            <w:pPr>
              <w:spacing w:after="0"/>
            </w:pPr>
            <w:r>
              <w:rPr>
                <w:rFonts w:ascii="Aptos" w:hAnsi="Aptos"/>
                <w:sz w:val="18"/>
              </w:rPr>
              <w:t>W3 - Node-plan contracts</w:t>
            </w:r>
          </w:p>
        </w:tc>
        <w:tc>
          <w:tcPr>
            <w:tcW w:type="dxa" w:w="6984"/>
            <w:tcMar>
              <w:top w:w="80" w:type="dxa"/>
              <w:start w:w="90" w:type="dxa"/>
              <w:bottom w:w="80" w:type="dxa"/>
              <w:end w:w="90" w:type="dxa"/>
            </w:tcMar>
            <w:vAlign w:val="top"/>
          </w:tcPr>
          <w:p>
            <w:pPr>
              <w:spacing w:after="0"/>
            </w:pPr>
            <w:r>
              <w:rPr>
                <w:rFonts w:ascii="Aptos" w:hAnsi="Aptos"/>
                <w:sz w:val="18"/>
              </w:rPr>
              <w:t>Define logical, emitted, historical and engineering-number identities.</w:t>
            </w:r>
          </w:p>
        </w:tc>
      </w:tr>
      <w:tr>
        <w:trPr>
          <w:cantSplit w:val="true"/>
        </w:trPr>
        <w:tc>
          <w:tcPr>
            <w:tcW w:type="dxa" w:w="3096"/>
            <w:tcMar>
              <w:top w:w="80" w:type="dxa"/>
              <w:start w:w="90" w:type="dxa"/>
              <w:bottom w:w="80" w:type="dxa"/>
              <w:end w:w="90" w:type="dxa"/>
            </w:tcMar>
            <w:vAlign w:val="top"/>
          </w:tcPr>
          <w:p>
            <w:pPr>
              <w:spacing w:after="0"/>
            </w:pPr>
            <w:r>
              <w:rPr>
                <w:rFonts w:ascii="Aptos" w:hAnsi="Aptos"/>
                <w:sz w:val="18"/>
              </w:rPr>
              <w:t>W4 - Pure writer conversion</w:t>
            </w:r>
          </w:p>
        </w:tc>
        <w:tc>
          <w:tcPr>
            <w:tcW w:type="dxa" w:w="6984"/>
            <w:tcMar>
              <w:top w:w="80" w:type="dxa"/>
              <w:start w:w="90" w:type="dxa"/>
              <w:bottom w:w="80" w:type="dxa"/>
              <w:end w:w="90" w:type="dxa"/>
            </w:tcMar>
            <w:vAlign w:val="top"/>
          </w:tcPr>
          <w:p>
            <w:pPr>
              <w:spacing w:after="0"/>
            </w:pPr>
            <w:r>
              <w:rPr>
                <w:rFonts w:ascii="Aptos" w:hAnsi="Aptos"/>
                <w:sz w:val="18"/>
              </w:rPr>
              <w:t>Remove counters, +10 inference and record mutation from both PSI writers.</w:t>
            </w:r>
          </w:p>
        </w:tc>
      </w:tr>
      <w:tr>
        <w:trPr>
          <w:cantSplit w:val="true"/>
        </w:trPr>
        <w:tc>
          <w:tcPr>
            <w:tcW w:type="dxa" w:w="3096"/>
            <w:tcMar>
              <w:top w:w="80" w:type="dxa"/>
              <w:start w:w="90" w:type="dxa"/>
              <w:bottom w:w="80" w:type="dxa"/>
              <w:end w:w="90" w:type="dxa"/>
            </w:tcMar>
            <w:vAlign w:val="top"/>
          </w:tcPr>
          <w:p>
            <w:pPr>
              <w:spacing w:after="0"/>
            </w:pPr>
            <w:r>
              <w:rPr>
                <w:rFonts w:ascii="Aptos" w:hAnsi="Aptos"/>
                <w:sz w:val="18"/>
              </w:rPr>
              <w:t>W5 - Source inventory and logical graph</w:t>
            </w:r>
          </w:p>
        </w:tc>
        <w:tc>
          <w:tcPr>
            <w:tcW w:type="dxa" w:w="6984"/>
            <w:tcMar>
              <w:top w:w="80" w:type="dxa"/>
              <w:start w:w="90" w:type="dxa"/>
              <w:bottom w:w="80" w:type="dxa"/>
              <w:end w:w="90" w:type="dxa"/>
            </w:tcMar>
            <w:vAlign w:val="top"/>
          </w:tcPr>
          <w:p>
            <w:pPr>
              <w:spacing w:after="0"/>
            </w:pPr>
            <w:r>
              <w:rPr>
                <w:rFonts w:ascii="Aptos" w:hAnsi="Aptos"/>
                <w:sz w:val="18"/>
              </w:rPr>
              <w:t>Normalize source evidence and micro-geometry with auditable dispositions.</w:t>
            </w:r>
          </w:p>
        </w:tc>
      </w:tr>
      <w:tr>
        <w:trPr>
          <w:cantSplit w:val="true"/>
        </w:trPr>
        <w:tc>
          <w:tcPr>
            <w:tcW w:type="dxa" w:w="3096"/>
            <w:tcMar>
              <w:top w:w="80" w:type="dxa"/>
              <w:start w:w="90" w:type="dxa"/>
              <w:bottom w:w="80" w:type="dxa"/>
              <w:end w:w="90" w:type="dxa"/>
            </w:tcMar>
            <w:vAlign w:val="top"/>
          </w:tcPr>
          <w:p>
            <w:pPr>
              <w:spacing w:after="0"/>
            </w:pPr>
            <w:r>
              <w:rPr>
                <w:rFonts w:ascii="Aptos" w:hAnsi="Aptos"/>
                <w:sz w:val="18"/>
              </w:rPr>
              <w:t>W6 - Historical registry and matcher</w:t>
            </w:r>
          </w:p>
        </w:tc>
        <w:tc>
          <w:tcPr>
            <w:tcW w:type="dxa" w:w="6984"/>
            <w:tcMar>
              <w:top w:w="80" w:type="dxa"/>
              <w:start w:w="90" w:type="dxa"/>
              <w:bottom w:w="80" w:type="dxa"/>
              <w:end w:w="90" w:type="dxa"/>
            </w:tcMar>
            <w:vAlign w:val="top"/>
          </w:tcPr>
          <w:p>
            <w:pPr>
              <w:spacing w:after="0"/>
            </w:pPr>
            <w:r>
              <w:rPr>
                <w:rFonts w:ascii="Aptos" w:hAnsi="Aptos"/>
                <w:sz w:val="18"/>
              </w:rPr>
              <w:t>Bootstrap history, register frames, assign one-to-one matches and handle lifecycle changes.</w:t>
            </w:r>
          </w:p>
        </w:tc>
      </w:tr>
      <w:tr>
        <w:trPr>
          <w:cantSplit w:val="true"/>
        </w:trPr>
        <w:tc>
          <w:tcPr>
            <w:tcW w:type="dxa" w:w="3096"/>
            <w:tcMar>
              <w:top w:w="80" w:type="dxa"/>
              <w:start w:w="90" w:type="dxa"/>
              <w:bottom w:w="80" w:type="dxa"/>
              <w:end w:w="90" w:type="dxa"/>
            </w:tcMar>
            <w:vAlign w:val="top"/>
          </w:tcPr>
          <w:p>
            <w:pPr>
              <w:spacing w:after="0"/>
            </w:pPr>
            <w:r>
              <w:rPr>
                <w:rFonts w:ascii="Aptos" w:hAnsi="Aptos"/>
                <w:sz w:val="18"/>
              </w:rPr>
              <w:t>W7 - Zone lease allocator</w:t>
            </w:r>
          </w:p>
        </w:tc>
        <w:tc>
          <w:tcPr>
            <w:tcW w:type="dxa" w:w="6984"/>
            <w:tcMar>
              <w:top w:w="80" w:type="dxa"/>
              <w:start w:w="90" w:type="dxa"/>
              <w:bottom w:w="80" w:type="dxa"/>
              <w:end w:w="90" w:type="dxa"/>
            </w:tcMar>
            <w:vAlign w:val="top"/>
          </w:tcPr>
          <w:p>
            <w:pPr>
              <w:spacing w:after="0"/>
            </w:pPr>
            <w:r>
              <w:rPr>
                <w:rFonts w:ascii="Aptos" w:hAnsi="Aptos"/>
                <w:sz w:val="18"/>
              </w:rPr>
              <w:t>Allocate stable non-overlapping node-number ranges without automatic renumbering.</w:t>
            </w:r>
          </w:p>
        </w:tc>
      </w:tr>
      <w:tr>
        <w:trPr>
          <w:cantSplit w:val="true"/>
        </w:trPr>
        <w:tc>
          <w:tcPr>
            <w:tcW w:type="dxa" w:w="3096"/>
            <w:tcMar>
              <w:top w:w="80" w:type="dxa"/>
              <w:start w:w="90" w:type="dxa"/>
              <w:bottom w:w="80" w:type="dxa"/>
              <w:end w:w="90" w:type="dxa"/>
            </w:tcMar>
            <w:vAlign w:val="top"/>
          </w:tcPr>
          <w:p>
            <w:pPr>
              <w:spacing w:after="0"/>
            </w:pPr>
            <w:r>
              <w:rPr>
                <w:rFonts w:ascii="Aptos" w:hAnsi="Aptos"/>
                <w:sz w:val="18"/>
              </w:rPr>
              <w:t>W8 - InputXML and topology adoption</w:t>
            </w:r>
          </w:p>
        </w:tc>
        <w:tc>
          <w:tcPr>
            <w:tcW w:type="dxa" w:w="6984"/>
            <w:tcMar>
              <w:top w:w="80" w:type="dxa"/>
              <w:start w:w="90" w:type="dxa"/>
              <w:bottom w:w="80" w:type="dxa"/>
              <w:end w:w="90" w:type="dxa"/>
            </w:tcMar>
            <w:vAlign w:val="top"/>
          </w:tcPr>
          <w:p>
            <w:pPr>
              <w:spacing w:after="0"/>
            </w:pPr>
            <w:r>
              <w:rPr>
                <w:rFonts w:ascii="Aptos" w:hAnsi="Aptos"/>
                <w:sz w:val="18"/>
              </w:rPr>
              <w:t>Project the same node plan into PSI XML, canonical InputXML and component topology.</w:t>
            </w:r>
          </w:p>
        </w:tc>
      </w:tr>
      <w:tr>
        <w:trPr>
          <w:cantSplit w:val="true"/>
        </w:trPr>
        <w:tc>
          <w:tcPr>
            <w:tcW w:type="dxa" w:w="3096"/>
            <w:tcMar>
              <w:top w:w="80" w:type="dxa"/>
              <w:start w:w="90" w:type="dxa"/>
              <w:bottom w:w="80" w:type="dxa"/>
              <w:end w:w="90" w:type="dxa"/>
            </w:tcMar>
            <w:vAlign w:val="top"/>
          </w:tcPr>
          <w:p>
            <w:pPr>
              <w:spacing w:after="0"/>
            </w:pPr>
            <w:r>
              <w:rPr>
                <w:rFonts w:ascii="Aptos" w:hAnsi="Aptos"/>
                <w:sz w:val="18"/>
              </w:rPr>
              <w:t>W9 - CII proof and rollout</w:t>
            </w:r>
          </w:p>
        </w:tc>
        <w:tc>
          <w:tcPr>
            <w:tcW w:type="dxa" w:w="6984"/>
            <w:tcMar>
              <w:top w:w="80" w:type="dxa"/>
              <w:start w:w="90" w:type="dxa"/>
              <w:bottom w:w="80" w:type="dxa"/>
              <w:end w:w="90" w:type="dxa"/>
            </w:tcMar>
            <w:vAlign w:val="top"/>
          </w:tcPr>
          <w:p>
            <w:pPr>
              <w:spacing w:after="0"/>
            </w:pPr>
            <w:r>
              <w:rPr>
                <w:rFonts w:ascii="Aptos" w:hAnsi="Aptos"/>
                <w:sz w:val="18"/>
              </w:rPr>
              <w:t>Bind node-plan hashes through production CII generation and independent reparse.</w:t>
            </w:r>
          </w:p>
        </w:tc>
      </w:tr>
    </w:tbl>
    <w:p>
      <w:pPr>
        <w:spacing w:after="0"/>
      </w:pPr>
    </w:p>
    <w:p>
      <w:pPr>
        <w:pStyle w:val="Heading2"/>
        <w:keepNext/>
      </w:pPr>
      <w:r>
        <w:t>11.1 Recommended delivery order</w:t>
      </w:r>
    </w:p>
    <w:p>
      <w:pPr>
        <w:spacing w:after="40"/>
        <w:ind w:left="403" w:hanging="317"/>
      </w:pPr>
      <w:r>
        <w:rPr>
          <w:rFonts w:ascii="Aptos" w:hAnsi="Aptos"/>
          <w:sz w:val="21"/>
        </w:rPr>
        <w:t>1.  Repair real topology parity assurance integration.</w:t>
      </w:r>
    </w:p>
    <w:p>
      <w:pPr>
        <w:spacing w:after="40"/>
        <w:ind w:left="403" w:hanging="317"/>
      </w:pPr>
      <w:r>
        <w:rPr>
          <w:rFonts w:ascii="Aptos" w:hAnsi="Aptos"/>
          <w:sz w:val="21"/>
        </w:rPr>
        <w:t>2.  Add exact post-canonical topology parity.</w:t>
      </w:r>
    </w:p>
    <w:p>
      <w:pPr>
        <w:spacing w:after="40"/>
        <w:ind w:left="403" w:hanging="317"/>
      </w:pPr>
      <w:r>
        <w:rPr>
          <w:rFonts w:ascii="Aptos" w:hAnsi="Aptos"/>
          <w:sz w:val="21"/>
        </w:rPr>
        <w:t>3.  Freeze current PSI numbering behaviour in deterministic fixtures.</w:t>
      </w:r>
    </w:p>
    <w:p>
      <w:pPr>
        <w:spacing w:after="40"/>
        <w:ind w:left="403" w:hanging="317"/>
      </w:pPr>
      <w:r>
        <w:rPr>
          <w:rFonts w:ascii="Aptos" w:hAnsi="Aptos"/>
          <w:sz w:val="21"/>
        </w:rPr>
        <w:t>4.  Define PsiNodePlan.v1 and related contracts.</w:t>
      </w:r>
    </w:p>
    <w:p>
      <w:pPr>
        <w:spacing w:after="40"/>
        <w:ind w:left="403" w:hanging="317"/>
      </w:pPr>
      <w:r>
        <w:rPr>
          <w:rFonts w:ascii="Aptos" w:hAnsi="Aptos"/>
          <w:sz w:val="21"/>
        </w:rPr>
        <w:t>5.  Convert both PSI writers to pure plan-driven serializers.</w:t>
      </w:r>
    </w:p>
    <w:p>
      <w:pPr>
        <w:spacing w:after="40"/>
        <w:ind w:left="403" w:hanging="317"/>
      </w:pPr>
      <w:r>
        <w:rPr>
          <w:rFonts w:ascii="Aptos" w:hAnsi="Aptos"/>
          <w:sz w:val="21"/>
        </w:rPr>
        <w:t>6.  Make exact numbering equality a writer-selection gate.</w:t>
      </w:r>
    </w:p>
    <w:p>
      <w:pPr>
        <w:spacing w:after="40"/>
        <w:ind w:left="403" w:hanging="317"/>
      </w:pPr>
      <w:r>
        <w:rPr>
          <w:rFonts w:ascii="Aptos" w:hAnsi="Aptos"/>
          <w:sz w:val="21"/>
        </w:rPr>
        <w:t>7.  Build SourceInventory.v1 and LogicalPsiGraph.v1.</w:t>
      </w:r>
    </w:p>
    <w:p>
      <w:pPr>
        <w:spacing w:after="40"/>
        <w:ind w:left="403" w:hanging="317"/>
      </w:pPr>
      <w:r>
        <w:rPr>
          <w:rFonts w:ascii="Aptos" w:hAnsi="Aptos"/>
          <w:sz w:val="21"/>
        </w:rPr>
        <w:t>8.  Introduce micro-geometry normalization in shadow mode.</w:t>
      </w:r>
    </w:p>
    <w:p>
      <w:pPr>
        <w:spacing w:after="40"/>
        <w:ind w:left="403" w:hanging="317"/>
      </w:pPr>
      <w:r>
        <w:rPr>
          <w:rFonts w:ascii="Aptos" w:hAnsi="Aptos"/>
          <w:sz w:val="21"/>
        </w:rPr>
        <w:t>9.  Bootstrap and validate the historical registry.</w:t>
      </w:r>
    </w:p>
    <w:p>
      <w:pPr>
        <w:spacing w:after="40"/>
        <w:ind w:left="403" w:hanging="317"/>
      </w:pPr>
      <w:r>
        <w:rPr>
          <w:rFonts w:ascii="Aptos" w:hAnsi="Aptos"/>
          <w:sz w:val="21"/>
        </w:rPr>
        <w:t>10.  Add coordinate registration and deterministic global history matching.</w:t>
      </w:r>
    </w:p>
    <w:p>
      <w:pPr>
        <w:spacing w:after="40"/>
        <w:ind w:left="403" w:hanging="317"/>
      </w:pPr>
      <w:r>
        <w:rPr>
          <w:rFonts w:ascii="Aptos" w:hAnsi="Aptos"/>
          <w:sz w:val="21"/>
        </w:rPr>
        <w:t>11.  Add zone leases and range allocation.</w:t>
      </w:r>
    </w:p>
    <w:p>
      <w:pPr>
        <w:spacing w:after="40"/>
        <w:ind w:left="403" w:hanging="317"/>
      </w:pPr>
      <w:r>
        <w:rPr>
          <w:rFonts w:ascii="Aptos" w:hAnsi="Aptos"/>
          <w:sz w:val="21"/>
        </w:rPr>
        <w:t>12.  Adopt the same node plan in canonical InputXML and component topology.</w:t>
      </w:r>
    </w:p>
    <w:p>
      <w:pPr>
        <w:spacing w:after="40"/>
        <w:ind w:left="403" w:hanging="317"/>
      </w:pPr>
      <w:r>
        <w:rPr>
          <w:rFonts w:ascii="Aptos" w:hAnsi="Aptos"/>
          <w:sz w:val="21"/>
        </w:rPr>
        <w:t>13.  Complete CII projection/reparse proof and enable HISTORY_ENFORCED.</w:t>
      </w:r>
    </w:p>
    <w:p>
      <w:pPr>
        <w:pStyle w:val="Heading1"/>
        <w:keepNext/>
      </w:pPr>
      <w:r>
        <w:t>12. Quality gates and acceptance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304"/>
            <w:shd w:fill="D9E2F3"/>
            <w:tcMar>
              <w:top w:w="90" w:type="dxa"/>
              <w:start w:w="90" w:type="dxa"/>
              <w:bottom w:w="90" w:type="dxa"/>
              <w:end w:w="90" w:type="dxa"/>
            </w:tcMar>
            <w:vAlign w:val="center"/>
          </w:tcPr>
          <w:p>
            <w:pPr>
              <w:jc w:val="left"/>
            </w:pPr>
            <w:r>
              <w:rPr>
                <w:rFonts w:ascii="Aptos" w:hAnsi="Aptos"/>
                <w:b/>
                <w:color w:val="1F3757"/>
                <w:sz w:val="18"/>
              </w:rPr>
              <w:t>Domain</w:t>
            </w:r>
          </w:p>
        </w:tc>
        <w:tc>
          <w:tcPr>
            <w:tcW w:type="dxa" w:w="7776"/>
            <w:shd w:fill="D9E2F3"/>
            <w:tcMar>
              <w:top w:w="90" w:type="dxa"/>
              <w:start w:w="90" w:type="dxa"/>
              <w:bottom w:w="90" w:type="dxa"/>
              <w:end w:w="90" w:type="dxa"/>
            </w:tcMar>
            <w:vAlign w:val="center"/>
          </w:tcPr>
          <w:p>
            <w:pPr>
              <w:jc w:val="left"/>
            </w:pPr>
            <w:r>
              <w:rPr>
                <w:rFonts w:ascii="Aptos" w:hAnsi="Aptos"/>
                <w:b/>
                <w:color w:val="1F3757"/>
                <w:sz w:val="18"/>
              </w:rPr>
              <w:t>Acceptance criterion</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8"/>
              </w:rPr>
              <w:t>Determinism</w:t>
            </w:r>
          </w:p>
        </w:tc>
        <w:tc>
          <w:tcPr>
            <w:tcW w:type="dxa" w:w="7776"/>
            <w:tcMar>
              <w:top w:w="80" w:type="dxa"/>
              <w:start w:w="90" w:type="dxa"/>
              <w:bottom w:w="80" w:type="dxa"/>
              <w:end w:w="90" w:type="dxa"/>
            </w:tcMar>
            <w:vAlign w:val="top"/>
          </w:tcPr>
          <w:p>
            <w:pPr>
              <w:spacing w:after="0"/>
            </w:pPr>
            <w:r>
              <w:rPr>
                <w:rFonts w:ascii="Aptos" w:hAnsi="Aptos"/>
                <w:sz w:val="18"/>
              </w:rPr>
              <w:t>Identical source, registry, configuration and evaluation inputs produce identical semantic hashes and output.</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8"/>
              </w:rPr>
              <w:t>Topology</w:t>
            </w:r>
          </w:p>
        </w:tc>
        <w:tc>
          <w:tcPr>
            <w:tcW w:type="dxa" w:w="7776"/>
            <w:tcMar>
              <w:top w:w="80" w:type="dxa"/>
              <w:start w:w="90" w:type="dxa"/>
              <w:bottom w:w="80" w:type="dxa"/>
              <w:end w:w="90" w:type="dxa"/>
            </w:tcMar>
            <w:vAlign w:val="top"/>
          </w:tcPr>
          <w:p>
            <w:pPr>
              <w:spacing w:after="0"/>
            </w:pPr>
            <w:r>
              <w:rPr>
                <w:rFonts w:ascii="Aptos" w:hAnsi="Aptos"/>
                <w:sz w:val="18"/>
              </w:rPr>
              <w:t>No topology mismatch between canonical source topology, final InputXML and reparsed CII.</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8"/>
              </w:rPr>
              <w:t>Numbering</w:t>
            </w:r>
          </w:p>
        </w:tc>
        <w:tc>
          <w:tcPr>
            <w:tcW w:type="dxa" w:w="7776"/>
            <w:tcMar>
              <w:top w:w="80" w:type="dxa"/>
              <w:start w:w="90" w:type="dxa"/>
              <w:bottom w:w="80" w:type="dxa"/>
              <w:end w:w="90" w:type="dxa"/>
            </w:tcMar>
            <w:vAlign w:val="top"/>
          </w:tcPr>
          <w:p>
            <w:pPr>
              <w:spacing w:after="0"/>
            </w:pPr>
            <w:r>
              <w:rPr>
                <w:rFonts w:ascii="Aptos" w:hAnsi="Aptos"/>
                <w:sz w:val="18"/>
              </w:rPr>
              <w:t>Every emitted node number comes from one PsiNodePlan.v1 and is identical across writers and downstream projections.</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8"/>
              </w:rPr>
              <w:t>History</w:t>
            </w:r>
          </w:p>
        </w:tc>
        <w:tc>
          <w:tcPr>
            <w:tcW w:type="dxa" w:w="7776"/>
            <w:tcMar>
              <w:top w:w="80" w:type="dxa"/>
              <w:start w:w="90" w:type="dxa"/>
              <w:bottom w:w="80" w:type="dxa"/>
              <w:end w:w="90" w:type="dxa"/>
            </w:tcMar>
            <w:vAlign w:val="top"/>
          </w:tcPr>
          <w:p>
            <w:pPr>
              <w:spacing w:after="0"/>
            </w:pPr>
            <w:r>
              <w:rPr>
                <w:rFonts w:ascii="Aptos" w:hAnsi="Aptos"/>
                <w:sz w:val="18"/>
              </w:rPr>
              <w:t>Existing approved numbers remain stable unless an explicit reviewed lifecycle action authorizes change.</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8"/>
              </w:rPr>
              <w:t>Traceability</w:t>
            </w:r>
          </w:p>
        </w:tc>
        <w:tc>
          <w:tcPr>
            <w:tcW w:type="dxa" w:w="7776"/>
            <w:tcMar>
              <w:top w:w="80" w:type="dxa"/>
              <w:start w:w="90" w:type="dxa"/>
              <w:bottom w:w="80" w:type="dxa"/>
              <w:end w:w="90" w:type="dxa"/>
            </w:tcMar>
            <w:vAlign w:val="top"/>
          </w:tcPr>
          <w:p>
            <w:pPr>
              <w:spacing w:after="0"/>
            </w:pPr>
            <w:r>
              <w:rPr>
                <w:rFonts w:ascii="Aptos" w:hAnsi="Aptos"/>
                <w:sz w:val="18"/>
              </w:rPr>
              <w:t>Every node, element, support, restraint and projected field has source and transformation evidence.</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8"/>
              </w:rPr>
              <w:t>Failure safety</w:t>
            </w:r>
          </w:p>
        </w:tc>
        <w:tc>
          <w:tcPr>
            <w:tcW w:type="dxa" w:w="7776"/>
            <w:tcMar>
              <w:top w:w="80" w:type="dxa"/>
              <w:start w:w="90" w:type="dxa"/>
              <w:bottom w:w="80" w:type="dxa"/>
              <w:end w:w="90" w:type="dxa"/>
            </w:tcMar>
            <w:vAlign w:val="top"/>
          </w:tcPr>
          <w:p>
            <w:pPr>
              <w:spacing w:after="0"/>
            </w:pPr>
            <w:r>
              <w:rPr>
                <w:rFonts w:ascii="Aptos" w:hAnsi="Aptos"/>
                <w:sz w:val="18"/>
              </w:rPr>
              <w:t>Ambiguity, stale registry, incompatible frames, duplicate numbers and missing plan entries block release.</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8"/>
              </w:rPr>
              <w:t>Regression</w:t>
            </w:r>
          </w:p>
        </w:tc>
        <w:tc>
          <w:tcPr>
            <w:tcW w:type="dxa" w:w="7776"/>
            <w:tcMar>
              <w:top w:w="80" w:type="dxa"/>
              <w:start w:w="90" w:type="dxa"/>
              <w:bottom w:w="80" w:type="dxa"/>
              <w:end w:w="90" w:type="dxa"/>
            </w:tcMar>
            <w:vAlign w:val="top"/>
          </w:tcPr>
          <w:p>
            <w:pPr>
              <w:spacing w:after="0"/>
            </w:pPr>
            <w:r>
              <w:rPr>
                <w:rFonts w:ascii="Aptos" w:hAnsi="Aptos"/>
                <w:sz w:val="18"/>
              </w:rPr>
              <w:t>Representative real fixtures cover multiple dialects, branches, tees, supports, micro-geometry and revision history.</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8"/>
              </w:rPr>
              <w:t>Operational governance</w:t>
            </w:r>
          </w:p>
        </w:tc>
        <w:tc>
          <w:tcPr>
            <w:tcW w:type="dxa" w:w="7776"/>
            <w:tcMar>
              <w:top w:w="80" w:type="dxa"/>
              <w:start w:w="90" w:type="dxa"/>
              <w:bottom w:w="80" w:type="dxa"/>
              <w:end w:w="90" w:type="dxa"/>
            </w:tcMar>
            <w:vAlign w:val="top"/>
          </w:tcPr>
          <w:p>
            <w:pPr>
              <w:spacing w:after="0"/>
            </w:pPr>
            <w:r>
              <w:rPr>
                <w:rFonts w:ascii="Aptos" w:hAnsi="Aptos"/>
                <w:sz w:val="18"/>
              </w:rPr>
              <w:t>Registry updates are reproducible, reviewed and merge-safe.</w:t>
            </w:r>
          </w:p>
        </w:tc>
      </w:tr>
    </w:tbl>
    <w:p>
      <w:pPr>
        <w:spacing w:after="0"/>
      </w:pPr>
    </w:p>
    <w:p>
      <w:pPr>
        <w:pStyle w:val="Heading2"/>
        <w:keepNext/>
      </w:pPr>
      <w:r>
        <w:t>12.1 Definition of concept success</w:t>
      </w:r>
    </w:p>
    <w:tbl>
      <w:tblPr>
        <w:tblW w:type="auto" w:w="0"/>
        <w:jc w:val="center"/>
        <w:tblLook w:firstColumn="1" w:firstRow="1" w:lastColumn="0" w:lastRow="0" w:noHBand="0" w:noVBand="1" w:val="04A0"/>
      </w:tblPr>
      <w:tblGrid>
        <w:gridCol w:w="10166"/>
      </w:tblGrid>
      <w:tr>
        <w:trPr>
          <w:cantSplit w:val="true"/>
        </w:trPr>
        <w:tc>
          <w:tcPr>
            <w:tcW w:type="dxa" w:w="10166"/>
            <w:shd w:fill="EAF2F8"/>
            <w:tcMar>
              <w:top w:w="150" w:type="dxa"/>
              <w:start w:w="180" w:type="dxa"/>
              <w:bottom w:w="150" w:type="dxa"/>
              <w:end w:w="180" w:type="dxa"/>
            </w:tcMar>
          </w:tcPr>
          <w:p>
            <w:pPr>
              <w:spacing w:after="80"/>
            </w:pPr>
            <w:r>
              <w:rPr>
                <w:rFonts w:ascii="Aptos" w:hAnsi="Aptos"/>
                <w:b/>
                <w:color w:val="2F5597"/>
                <w:sz w:val="21"/>
              </w:rPr>
              <w:t>Success statement</w:t>
            </w:r>
          </w:p>
          <w:p>
            <w:pPr>
              <w:spacing w:after="0"/>
            </w:pPr>
            <w:r>
              <w:rPr>
                <w:rFonts w:ascii="Aptos" w:hAnsi="Aptos"/>
                <w:sz w:val="20"/>
              </w:rPr>
              <w:t>A user can load an approved source revision and produce canonical InputXML and CII(2019) in which topology, node numbers, engineering attributes and historical identities are stable, traceable and independently proven - without any writer creating hidden numbering or topology decisions.</w:t>
            </w:r>
          </w:p>
        </w:tc>
      </w:tr>
    </w:tbl>
    <w:p>
      <w:pPr>
        <w:pStyle w:val="Heading1"/>
        <w:keepNext/>
      </w:pPr>
      <w:r>
        <w:t>13. Key risks and required decisions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04"/>
            <w:shd w:fill="D9E2F3"/>
            <w:tcMar>
              <w:top w:w="90" w:type="dxa"/>
              <w:start w:w="90" w:type="dxa"/>
              <w:bottom w:w="90" w:type="dxa"/>
              <w:end w:w="90" w:type="dxa"/>
            </w:tcMar>
            <w:vAlign w:val="center"/>
          </w:tcPr>
          <w:p>
            <w:pPr>
              <w:jc w:val="left"/>
            </w:pPr>
            <w:r>
              <w:rPr>
                <w:rFonts w:ascii="Aptos" w:hAnsi="Aptos"/>
                <w:b/>
                <w:color w:val="1F3757"/>
                <w:sz w:val="17"/>
              </w:rPr>
              <w:t>Risk</w:t>
            </w:r>
          </w:p>
        </w:tc>
        <w:tc>
          <w:tcPr>
            <w:tcW w:type="dxa" w:w="3744"/>
            <w:shd w:fill="D9E2F3"/>
            <w:tcMar>
              <w:top w:w="90" w:type="dxa"/>
              <w:start w:w="90" w:type="dxa"/>
              <w:bottom w:w="90" w:type="dxa"/>
              <w:end w:w="90" w:type="dxa"/>
            </w:tcMar>
            <w:vAlign w:val="center"/>
          </w:tcPr>
          <w:p>
            <w:pPr>
              <w:jc w:val="left"/>
            </w:pPr>
            <w:r>
              <w:rPr>
                <w:rFonts w:ascii="Aptos" w:hAnsi="Aptos"/>
                <w:b/>
                <w:color w:val="1F3757"/>
                <w:sz w:val="17"/>
              </w:rPr>
              <w:t>Failure mode</w:t>
            </w:r>
          </w:p>
        </w:tc>
        <w:tc>
          <w:tcPr>
            <w:tcW w:type="dxa" w:w="4032"/>
            <w:shd w:fill="D9E2F3"/>
            <w:tcMar>
              <w:top w:w="90" w:type="dxa"/>
              <w:start w:w="90" w:type="dxa"/>
              <w:bottom w:w="90" w:type="dxa"/>
              <w:end w:w="90" w:type="dxa"/>
            </w:tcMar>
            <w:vAlign w:val="center"/>
          </w:tcPr>
          <w:p>
            <w:pPr>
              <w:jc w:val="left"/>
            </w:pPr>
            <w:r>
              <w:rPr>
                <w:rFonts w:ascii="Aptos" w:hAnsi="Aptos"/>
                <w:b/>
                <w:color w:val="1F3757"/>
                <w:sz w:val="17"/>
              </w:rPr>
              <w:t>Required decision/control</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Historical numbering versus physical order</w:t>
            </w:r>
          </w:p>
        </w:tc>
        <w:tc>
          <w:tcPr>
            <w:tcW w:type="dxa" w:w="3744"/>
            <w:tcMar>
              <w:top w:w="80" w:type="dxa"/>
              <w:start w:w="90" w:type="dxa"/>
              <w:bottom w:w="80" w:type="dxa"/>
              <w:end w:w="90" w:type="dxa"/>
            </w:tcMar>
            <w:vAlign w:val="top"/>
          </w:tcPr>
          <w:p>
            <w:pPr>
              <w:spacing w:after="0"/>
            </w:pPr>
            <w:r>
              <w:rPr>
                <w:rFonts w:ascii="Aptos" w:hAnsi="Aptos"/>
                <w:sz w:val="17"/>
              </w:rPr>
              <w:t>Historical stability and monotonic source order cannot both be guaranteed indefinitely.</w:t>
            </w:r>
          </w:p>
        </w:tc>
        <w:tc>
          <w:tcPr>
            <w:tcW w:type="dxa" w:w="4032"/>
            <w:tcMar>
              <w:top w:w="80" w:type="dxa"/>
              <w:start w:w="90" w:type="dxa"/>
              <w:bottom w:w="80" w:type="dxa"/>
              <w:end w:w="90" w:type="dxa"/>
            </w:tcMar>
            <w:vAlign w:val="top"/>
          </w:tcPr>
          <w:p>
            <w:pPr>
              <w:spacing w:after="0"/>
            </w:pPr>
            <w:r>
              <w:rPr>
                <w:rFonts w:ascii="Aptos" w:hAnsi="Aptos"/>
                <w:sz w:val="17"/>
              </w:rPr>
              <w:t>Declare historical stability as the primary invariant.</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Micro-geometry over-collapse</w:t>
            </w:r>
          </w:p>
        </w:tc>
        <w:tc>
          <w:tcPr>
            <w:tcW w:type="dxa" w:w="3744"/>
            <w:tcMar>
              <w:top w:w="80" w:type="dxa"/>
              <w:start w:w="90" w:type="dxa"/>
              <w:bottom w:w="80" w:type="dxa"/>
              <w:end w:w="90" w:type="dxa"/>
            </w:tcMar>
            <w:vAlign w:val="top"/>
          </w:tcPr>
          <w:p>
            <w:pPr>
              <w:spacing w:after="0"/>
            </w:pPr>
            <w:r>
              <w:rPr>
                <w:rFonts w:ascii="Aptos" w:hAnsi="Aptos"/>
                <w:sz w:val="17"/>
              </w:rPr>
              <w:t>Distance-only collapse can corrupt parallel lines, junctions or engineering discontinuities.</w:t>
            </w:r>
          </w:p>
        </w:tc>
        <w:tc>
          <w:tcPr>
            <w:tcW w:type="dxa" w:w="4032"/>
            <w:tcMar>
              <w:top w:w="80" w:type="dxa"/>
              <w:start w:w="90" w:type="dxa"/>
              <w:bottom w:w="80" w:type="dxa"/>
              <w:end w:w="90" w:type="dxa"/>
            </w:tcMar>
            <w:vAlign w:val="top"/>
          </w:tcPr>
          <w:p>
            <w:pPr>
              <w:spacing w:after="0"/>
            </w:pPr>
            <w:r>
              <w:rPr>
                <w:rFonts w:ascii="Aptos" w:hAnsi="Aptos"/>
                <w:sz w:val="17"/>
              </w:rPr>
              <w:t>Use type allowlists, topology authority and cluster-wide checks.</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Coordinate frame drift</w:t>
            </w:r>
          </w:p>
        </w:tc>
        <w:tc>
          <w:tcPr>
            <w:tcW w:type="dxa" w:w="3744"/>
            <w:tcMar>
              <w:top w:w="80" w:type="dxa"/>
              <w:start w:w="90" w:type="dxa"/>
              <w:bottom w:w="80" w:type="dxa"/>
              <w:end w:w="90" w:type="dxa"/>
            </w:tcMar>
            <w:vAlign w:val="top"/>
          </w:tcPr>
          <w:p>
            <w:pPr>
              <w:spacing w:after="0"/>
            </w:pPr>
            <w:r>
              <w:rPr>
                <w:rFonts w:ascii="Aptos" w:hAnsi="Aptos"/>
                <w:sz w:val="17"/>
              </w:rPr>
              <w:t>Translated, rotated or mirrored models can create false new nodes or false matches.</w:t>
            </w:r>
          </w:p>
        </w:tc>
        <w:tc>
          <w:tcPr>
            <w:tcW w:type="dxa" w:w="4032"/>
            <w:tcMar>
              <w:top w:w="80" w:type="dxa"/>
              <w:start w:w="90" w:type="dxa"/>
              <w:bottom w:w="80" w:type="dxa"/>
              <w:end w:w="90" w:type="dxa"/>
            </w:tcMar>
            <w:vAlign w:val="top"/>
          </w:tcPr>
          <w:p>
            <w:pPr>
              <w:spacing w:after="0"/>
            </w:pPr>
            <w:r>
              <w:rPr>
                <w:rFonts w:ascii="Aptos" w:hAnsi="Aptos"/>
                <w:sz w:val="17"/>
              </w:rPr>
              <w:t>Require registered transforms or disable spatial reuse.</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Concurrent range allocation</w:t>
            </w:r>
          </w:p>
        </w:tc>
        <w:tc>
          <w:tcPr>
            <w:tcW w:type="dxa" w:w="3744"/>
            <w:tcMar>
              <w:top w:w="80" w:type="dxa"/>
              <w:start w:w="90" w:type="dxa"/>
              <w:bottom w:w="80" w:type="dxa"/>
              <w:end w:w="90" w:type="dxa"/>
            </w:tcMar>
            <w:vAlign w:val="top"/>
          </w:tcPr>
          <w:p>
            <w:pPr>
              <w:spacing w:after="0"/>
            </w:pPr>
            <w:r>
              <w:rPr>
                <w:rFonts w:ascii="Aptos" w:hAnsi="Aptos"/>
                <w:sz w:val="17"/>
              </w:rPr>
              <w:t>Two valid PRs can allocate the same free block from one stale snapshot.</w:t>
            </w:r>
          </w:p>
        </w:tc>
        <w:tc>
          <w:tcPr>
            <w:tcW w:type="dxa" w:w="4032"/>
            <w:tcMar>
              <w:top w:w="80" w:type="dxa"/>
              <w:start w:w="90" w:type="dxa"/>
              <w:bottom w:w="80" w:type="dxa"/>
              <w:end w:w="90" w:type="dxa"/>
            </w:tcMar>
            <w:vAlign w:val="top"/>
          </w:tcPr>
          <w:p>
            <w:pPr>
              <w:spacing w:after="0"/>
            </w:pPr>
            <w:r>
              <w:rPr>
                <w:rFonts w:ascii="Aptos" w:hAnsi="Aptos"/>
                <w:sz w:val="17"/>
              </w:rPr>
              <w:t>Validate current main at merge and serialize zone updates.</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Multiple numbering authorities</w:t>
            </w:r>
          </w:p>
        </w:tc>
        <w:tc>
          <w:tcPr>
            <w:tcW w:type="dxa" w:w="3744"/>
            <w:tcMar>
              <w:top w:w="80" w:type="dxa"/>
              <w:start w:w="90" w:type="dxa"/>
              <w:bottom w:w="80" w:type="dxa"/>
              <w:end w:w="90" w:type="dxa"/>
            </w:tcMar>
            <w:vAlign w:val="top"/>
          </w:tcPr>
          <w:p>
            <w:pPr>
              <w:spacing w:after="0"/>
            </w:pPr>
            <w:r>
              <w:rPr>
                <w:rFonts w:ascii="Aptos" w:hAnsi="Aptos"/>
                <w:sz w:val="17"/>
              </w:rPr>
              <w:t>Legacy writer and topology builder can override the node plan.</w:t>
            </w:r>
          </w:p>
        </w:tc>
        <w:tc>
          <w:tcPr>
            <w:tcW w:type="dxa" w:w="4032"/>
            <w:tcMar>
              <w:top w:w="80" w:type="dxa"/>
              <w:start w:w="90" w:type="dxa"/>
              <w:bottom w:w="80" w:type="dxa"/>
              <w:end w:w="90" w:type="dxa"/>
            </w:tcMar>
            <w:vAlign w:val="top"/>
          </w:tcPr>
          <w:p>
            <w:pPr>
              <w:spacing w:after="0"/>
            </w:pPr>
            <w:r>
              <w:rPr>
                <w:rFonts w:ascii="Aptos" w:hAnsi="Aptos"/>
                <w:sz w:val="17"/>
              </w:rPr>
              <w:t>Remove all independent allocation before enforcement.</w:t>
            </w:r>
          </w:p>
        </w:tc>
      </w:tr>
      <w:tr>
        <w:trPr>
          <w:cantSplit w:val="true"/>
        </w:trPr>
        <w:tc>
          <w:tcPr>
            <w:tcW w:type="dxa" w:w="2304"/>
            <w:tcMar>
              <w:top w:w="80" w:type="dxa"/>
              <w:start w:w="90" w:type="dxa"/>
              <w:bottom w:w="80" w:type="dxa"/>
              <w:end w:w="90" w:type="dxa"/>
            </w:tcMar>
            <w:vAlign w:val="top"/>
          </w:tcPr>
          <w:p>
            <w:pPr>
              <w:spacing w:after="0"/>
            </w:pPr>
            <w:r>
              <w:rPr>
                <w:rFonts w:ascii="Aptos" w:hAnsi="Aptos"/>
                <w:sz w:val="17"/>
              </w:rPr>
              <w:t>Contract proliferation</w:t>
            </w:r>
          </w:p>
        </w:tc>
        <w:tc>
          <w:tcPr>
            <w:tcW w:type="dxa" w:w="3744"/>
            <w:tcMar>
              <w:top w:w="80" w:type="dxa"/>
              <w:start w:w="90" w:type="dxa"/>
              <w:bottom w:w="80" w:type="dxa"/>
              <w:end w:w="90" w:type="dxa"/>
            </w:tcMar>
            <w:vAlign w:val="top"/>
          </w:tcPr>
          <w:p>
            <w:pPr>
              <w:spacing w:after="0"/>
            </w:pPr>
            <w:r>
              <w:rPr>
                <w:rFonts w:ascii="Aptos" w:hAnsi="Aptos"/>
                <w:sz w:val="17"/>
              </w:rPr>
              <w:t>Too many informal schemas can become difficult to govern.</w:t>
            </w:r>
          </w:p>
        </w:tc>
        <w:tc>
          <w:tcPr>
            <w:tcW w:type="dxa" w:w="4032"/>
            <w:tcMar>
              <w:top w:w="80" w:type="dxa"/>
              <w:start w:w="90" w:type="dxa"/>
              <w:bottom w:w="80" w:type="dxa"/>
              <w:end w:w="90" w:type="dxa"/>
            </w:tcMar>
            <w:vAlign w:val="top"/>
          </w:tcPr>
          <w:p>
            <w:pPr>
              <w:spacing w:after="0"/>
            </w:pPr>
            <w:r>
              <w:rPr>
                <w:rFonts w:ascii="Aptos" w:hAnsi="Aptos"/>
                <w:sz w:val="17"/>
              </w:rPr>
              <w:t>Publish a registry of contracts, owners, versions and consumers.</w:t>
            </w:r>
          </w:p>
        </w:tc>
      </w:tr>
    </w:tbl>
    <w:p>
      <w:pPr>
        <w:spacing w:after="0"/>
      </w:pPr>
    </w:p>
    <w:p>
      <w:pPr>
        <w:pStyle w:val="Heading2"/>
        <w:keepNext/>
      </w:pPr>
      <w:r>
        <w:t>13.1 Open engineering decisions</w:t>
      </w:r>
    </w:p>
    <w:p>
      <w:pPr>
        <w:pStyle w:val="ListBullet"/>
        <w:spacing w:after="40"/>
      </w:pPr>
      <w:r>
        <w:rPr>
          <w:rFonts w:ascii="Aptos" w:hAnsi="Aptos"/>
          <w:sz w:val="21"/>
        </w:rPr>
        <w:t>Confirm the downstream maximum node number and any reserved-number rules from authoritative PSI/CII specifications.</w:t>
      </w:r>
    </w:p>
    <w:p>
      <w:pPr>
        <w:pStyle w:val="ListBullet"/>
        <w:spacing w:after="40"/>
      </w:pPr>
      <w:r>
        <w:rPr>
          <w:rFonts w:ascii="Aptos" w:hAnsi="Aptos"/>
          <w:sz w:val="21"/>
        </w:rPr>
        <w:t>Confirm whether node numbers must be globally unique per zone or per line in all downstream tools.</w:t>
      </w:r>
    </w:p>
    <w:p>
      <w:pPr>
        <w:pStyle w:val="ListBullet"/>
        <w:spacing w:after="40"/>
      </w:pPr>
      <w:r>
        <w:rPr>
          <w:rFonts w:ascii="Aptos" w:hAnsi="Aptos"/>
          <w:sz w:val="21"/>
        </w:rPr>
        <w:t>Approve the component categories eligible for micro-component consumption.</w:t>
      </w:r>
    </w:p>
    <w:p>
      <w:pPr>
        <w:pStyle w:val="ListBullet"/>
        <w:spacing w:after="40"/>
      </w:pPr>
      <w:r>
        <w:rPr>
          <w:rFonts w:ascii="Aptos" w:hAnsi="Aptos"/>
          <w:sz w:val="21"/>
        </w:rPr>
        <w:t>Approve topology, coordinate and history thresholds using real revision-pair calibration.</w:t>
      </w:r>
    </w:p>
    <w:p>
      <w:pPr>
        <w:pStyle w:val="ListBullet"/>
        <w:spacing w:after="40"/>
      </w:pPr>
      <w:r>
        <w:rPr>
          <w:rFonts w:ascii="Aptos" w:hAnsi="Aptos"/>
          <w:sz w:val="21"/>
        </w:rPr>
        <w:t>Define reviewed behaviour for historical node split, merge, line rename and zone transfer.</w:t>
      </w:r>
    </w:p>
    <w:p>
      <w:pPr>
        <w:pStyle w:val="ListBullet"/>
        <w:spacing w:after="40"/>
      </w:pPr>
      <w:r>
        <w:rPr>
          <w:rFonts w:ascii="Aptos" w:hAnsi="Aptos"/>
          <w:sz w:val="21"/>
        </w:rPr>
        <w:t>Choose the merge-queue or zone-serialization mechanism for registry updates.</w:t>
      </w:r>
    </w:p>
    <w:p>
      <w:pPr>
        <w:pStyle w:val="Heading1"/>
        <w:keepNext/>
      </w:pPr>
      <w:r>
        <w:t>14. Concept deliverables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952"/>
            <w:shd w:fill="D9E2F3"/>
            <w:tcMar>
              <w:top w:w="90" w:type="dxa"/>
              <w:start w:w="90" w:type="dxa"/>
              <w:bottom w:w="90" w:type="dxa"/>
              <w:end w:w="90" w:type="dxa"/>
            </w:tcMar>
            <w:vAlign w:val="center"/>
          </w:tcPr>
          <w:p>
            <w:pPr>
              <w:jc w:val="left"/>
            </w:pPr>
            <w:r>
              <w:rPr>
                <w:rFonts w:ascii="Aptos" w:hAnsi="Aptos"/>
                <w:b/>
                <w:color w:val="1F3757"/>
                <w:sz w:val="18"/>
              </w:rPr>
              <w:t>Deliverable</w:t>
            </w:r>
          </w:p>
        </w:tc>
        <w:tc>
          <w:tcPr>
            <w:tcW w:type="dxa" w:w="7128"/>
            <w:shd w:fill="D9E2F3"/>
            <w:tcMar>
              <w:top w:w="90" w:type="dxa"/>
              <w:start w:w="90" w:type="dxa"/>
              <w:bottom w:w="90" w:type="dxa"/>
              <w:end w:w="90" w:type="dxa"/>
            </w:tcMar>
            <w:vAlign w:val="center"/>
          </w:tcPr>
          <w:p>
            <w:pPr>
              <w:jc w:val="left"/>
            </w:pPr>
            <w:r>
              <w:rPr>
                <w:rFonts w:ascii="Aptos" w:hAnsi="Aptos"/>
                <w:b/>
                <w:color w:val="1F3757"/>
                <w:sz w:val="18"/>
              </w:rPr>
              <w:t>Description</w:t>
            </w:r>
          </w:p>
        </w:tc>
      </w:tr>
      <w:tr>
        <w:trPr>
          <w:cantSplit w:val="true"/>
        </w:trPr>
        <w:tc>
          <w:tcPr>
            <w:tcW w:type="dxa" w:w="2952"/>
            <w:tcMar>
              <w:top w:w="80" w:type="dxa"/>
              <w:start w:w="90" w:type="dxa"/>
              <w:bottom w:w="80" w:type="dxa"/>
              <w:end w:w="90" w:type="dxa"/>
            </w:tcMar>
            <w:vAlign w:val="top"/>
          </w:tcPr>
          <w:p>
            <w:pPr>
              <w:spacing w:after="0"/>
            </w:pPr>
            <w:r>
              <w:rPr>
                <w:rFonts w:ascii="Aptos" w:hAnsi="Aptos"/>
                <w:sz w:val="18"/>
              </w:rPr>
              <w:t>Canonical InputXML contract suite</w:t>
            </w:r>
          </w:p>
        </w:tc>
        <w:tc>
          <w:tcPr>
            <w:tcW w:type="dxa" w:w="7128"/>
            <w:tcMar>
              <w:top w:w="80" w:type="dxa"/>
              <w:start w:w="90" w:type="dxa"/>
              <w:bottom w:w="80" w:type="dxa"/>
              <w:end w:w="90" w:type="dxa"/>
            </w:tcMar>
            <w:vAlign w:val="top"/>
          </w:tcPr>
          <w:p>
            <w:pPr>
              <w:spacing w:after="0"/>
            </w:pPr>
            <w:r>
              <w:rPr>
                <w:rFonts w:ascii="Aptos" w:hAnsi="Aptos"/>
                <w:sz w:val="18"/>
              </w:rPr>
              <w:t>XSD, Schematron, adapter registry, canonical compiler policy and golden fixtures.</w:t>
            </w:r>
          </w:p>
        </w:tc>
      </w:tr>
      <w:tr>
        <w:trPr>
          <w:cantSplit w:val="true"/>
        </w:trPr>
        <w:tc>
          <w:tcPr>
            <w:tcW w:type="dxa" w:w="2952"/>
            <w:tcMar>
              <w:top w:w="80" w:type="dxa"/>
              <w:start w:w="90" w:type="dxa"/>
              <w:bottom w:w="80" w:type="dxa"/>
              <w:end w:w="90" w:type="dxa"/>
            </w:tcMar>
            <w:vAlign w:val="top"/>
          </w:tcPr>
          <w:p>
            <w:pPr>
              <w:spacing w:after="0"/>
            </w:pPr>
            <w:r>
              <w:rPr>
                <w:rFonts w:ascii="Aptos" w:hAnsi="Aptos"/>
                <w:sz w:val="18"/>
              </w:rPr>
              <w:t>Topology evidence suite</w:t>
            </w:r>
          </w:p>
        </w:tc>
        <w:tc>
          <w:tcPr>
            <w:tcW w:type="dxa" w:w="7128"/>
            <w:tcMar>
              <w:top w:w="80" w:type="dxa"/>
              <w:start w:w="90" w:type="dxa"/>
              <w:bottom w:w="80" w:type="dxa"/>
              <w:end w:w="90" w:type="dxa"/>
            </w:tcMar>
            <w:vAlign w:val="top"/>
          </w:tcPr>
          <w:p>
            <w:pPr>
              <w:spacing w:after="0"/>
            </w:pPr>
            <w:r>
              <w:rPr>
                <w:rFonts w:ascii="Aptos" w:hAnsi="Aptos"/>
                <w:sz w:val="18"/>
              </w:rPr>
              <w:t>Canonical topology, trace ledger, producer parity and post-canonical parity reports.</w:t>
            </w:r>
          </w:p>
        </w:tc>
      </w:tr>
      <w:tr>
        <w:trPr>
          <w:cantSplit w:val="true"/>
        </w:trPr>
        <w:tc>
          <w:tcPr>
            <w:tcW w:type="dxa" w:w="2952"/>
            <w:tcMar>
              <w:top w:w="80" w:type="dxa"/>
              <w:start w:w="90" w:type="dxa"/>
              <w:bottom w:w="80" w:type="dxa"/>
              <w:end w:w="90" w:type="dxa"/>
            </w:tcMar>
            <w:vAlign w:val="top"/>
          </w:tcPr>
          <w:p>
            <w:pPr>
              <w:spacing w:after="0"/>
            </w:pPr>
            <w:r>
              <w:rPr>
                <w:rFonts w:ascii="Aptos" w:hAnsi="Aptos"/>
                <w:sz w:val="18"/>
              </w:rPr>
              <w:t>Node identity suite</w:t>
            </w:r>
          </w:p>
        </w:tc>
        <w:tc>
          <w:tcPr>
            <w:tcW w:type="dxa" w:w="7128"/>
            <w:tcMar>
              <w:top w:w="80" w:type="dxa"/>
              <w:start w:w="90" w:type="dxa"/>
              <w:bottom w:w="80" w:type="dxa"/>
              <w:end w:w="90" w:type="dxa"/>
            </w:tcMar>
            <w:vAlign w:val="top"/>
          </w:tcPr>
          <w:p>
            <w:pPr>
              <w:spacing w:after="0"/>
            </w:pPr>
            <w:r>
              <w:rPr>
                <w:rFonts w:ascii="Aptos" w:hAnsi="Aptos"/>
                <w:sz w:val="18"/>
              </w:rPr>
              <w:t>Node preprocess result, logical graph, history plan, allocation plan and immutable node plan.</w:t>
            </w:r>
          </w:p>
        </w:tc>
      </w:tr>
      <w:tr>
        <w:trPr>
          <w:cantSplit w:val="true"/>
        </w:trPr>
        <w:tc>
          <w:tcPr>
            <w:tcW w:type="dxa" w:w="2952"/>
            <w:tcMar>
              <w:top w:w="80" w:type="dxa"/>
              <w:start w:w="90" w:type="dxa"/>
              <w:bottom w:w="80" w:type="dxa"/>
              <w:end w:w="90" w:type="dxa"/>
            </w:tcMar>
            <w:vAlign w:val="top"/>
          </w:tcPr>
          <w:p>
            <w:pPr>
              <w:spacing w:after="0"/>
            </w:pPr>
            <w:r>
              <w:rPr>
                <w:rFonts w:ascii="Aptos" w:hAnsi="Aptos"/>
                <w:sz w:val="18"/>
              </w:rPr>
              <w:t>Registry suite</w:t>
            </w:r>
          </w:p>
        </w:tc>
        <w:tc>
          <w:tcPr>
            <w:tcW w:type="dxa" w:w="7128"/>
            <w:tcMar>
              <w:top w:w="80" w:type="dxa"/>
              <w:start w:w="90" w:type="dxa"/>
              <w:bottom w:w="80" w:type="dxa"/>
              <w:end w:w="90" w:type="dxa"/>
            </w:tcMar>
            <w:vAlign w:val="top"/>
          </w:tcPr>
          <w:p>
            <w:pPr>
              <w:spacing w:after="0"/>
            </w:pPr>
            <w:r>
              <w:rPr>
                <w:rFonts w:ascii="Aptos" w:hAnsi="Aptos"/>
                <w:sz w:val="18"/>
              </w:rPr>
              <w:t>Zone pool, line histories, coordinate registration and immutable run audits.</w:t>
            </w:r>
          </w:p>
        </w:tc>
      </w:tr>
      <w:tr>
        <w:trPr>
          <w:cantSplit w:val="true"/>
        </w:trPr>
        <w:tc>
          <w:tcPr>
            <w:tcW w:type="dxa" w:w="2952"/>
            <w:tcMar>
              <w:top w:w="80" w:type="dxa"/>
              <w:start w:w="90" w:type="dxa"/>
              <w:bottom w:w="80" w:type="dxa"/>
              <w:end w:w="90" w:type="dxa"/>
            </w:tcMar>
            <w:vAlign w:val="top"/>
          </w:tcPr>
          <w:p>
            <w:pPr>
              <w:spacing w:after="0"/>
            </w:pPr>
            <w:r>
              <w:rPr>
                <w:rFonts w:ascii="Aptos" w:hAnsi="Aptos"/>
                <w:sz w:val="18"/>
              </w:rPr>
              <w:t>Writer suite</w:t>
            </w:r>
          </w:p>
        </w:tc>
        <w:tc>
          <w:tcPr>
            <w:tcW w:type="dxa" w:w="7128"/>
            <w:tcMar>
              <w:top w:w="80" w:type="dxa"/>
              <w:start w:w="90" w:type="dxa"/>
              <w:bottom w:w="80" w:type="dxa"/>
              <w:end w:w="90" w:type="dxa"/>
            </w:tcMar>
            <w:vAlign w:val="top"/>
          </w:tcPr>
          <w:p>
            <w:pPr>
              <w:spacing w:after="0"/>
            </w:pPr>
            <w:r>
              <w:rPr>
                <w:rFonts w:ascii="Aptos" w:hAnsi="Aptos"/>
                <w:sz w:val="18"/>
              </w:rPr>
              <w:t>Pure canonical and sequential serializers driven by the same node plan.</w:t>
            </w:r>
          </w:p>
        </w:tc>
      </w:tr>
      <w:tr>
        <w:trPr>
          <w:cantSplit w:val="true"/>
        </w:trPr>
        <w:tc>
          <w:tcPr>
            <w:tcW w:type="dxa" w:w="2952"/>
            <w:tcMar>
              <w:top w:w="80" w:type="dxa"/>
              <w:start w:w="90" w:type="dxa"/>
              <w:bottom w:w="80" w:type="dxa"/>
              <w:end w:w="90" w:type="dxa"/>
            </w:tcMar>
            <w:vAlign w:val="top"/>
          </w:tcPr>
          <w:p>
            <w:pPr>
              <w:spacing w:after="0"/>
            </w:pPr>
            <w:r>
              <w:rPr>
                <w:rFonts w:ascii="Aptos" w:hAnsi="Aptos"/>
                <w:sz w:val="18"/>
              </w:rPr>
              <w:t>Assurance suite</w:t>
            </w:r>
          </w:p>
        </w:tc>
        <w:tc>
          <w:tcPr>
            <w:tcW w:type="dxa" w:w="7128"/>
            <w:tcMar>
              <w:top w:w="80" w:type="dxa"/>
              <w:start w:w="90" w:type="dxa"/>
              <w:bottom w:w="80" w:type="dxa"/>
              <w:end w:w="90" w:type="dxa"/>
            </w:tcMar>
            <w:vAlign w:val="top"/>
          </w:tcPr>
          <w:p>
            <w:pPr>
              <w:spacing w:after="0"/>
            </w:pPr>
            <w:r>
              <w:rPr>
                <w:rFonts w:ascii="Aptos" w:hAnsi="Aptos"/>
                <w:sz w:val="18"/>
              </w:rPr>
              <w:t>Pre-writer ledger, projection ledger, hash-chain validation and independent CII reparse proof.</w:t>
            </w:r>
          </w:p>
        </w:tc>
      </w:tr>
      <w:tr>
        <w:trPr>
          <w:cantSplit w:val="true"/>
        </w:trPr>
        <w:tc>
          <w:tcPr>
            <w:tcW w:type="dxa" w:w="2952"/>
            <w:tcMar>
              <w:top w:w="80" w:type="dxa"/>
              <w:start w:w="90" w:type="dxa"/>
              <w:bottom w:w="80" w:type="dxa"/>
              <w:end w:w="90" w:type="dxa"/>
            </w:tcMar>
            <w:vAlign w:val="top"/>
          </w:tcPr>
          <w:p>
            <w:pPr>
              <w:spacing w:after="0"/>
            </w:pPr>
            <w:r>
              <w:rPr>
                <w:rFonts w:ascii="Aptos" w:hAnsi="Aptos"/>
                <w:sz w:val="18"/>
              </w:rPr>
              <w:t>Review workflow</w:t>
            </w:r>
          </w:p>
        </w:tc>
        <w:tc>
          <w:tcPr>
            <w:tcW w:type="dxa" w:w="7128"/>
            <w:tcMar>
              <w:top w:w="80" w:type="dxa"/>
              <w:start w:w="90" w:type="dxa"/>
              <w:bottom w:w="80" w:type="dxa"/>
              <w:end w:w="90" w:type="dxa"/>
            </w:tcMar>
            <w:vAlign w:val="top"/>
          </w:tcPr>
          <w:p>
            <w:pPr>
              <w:spacing w:after="0"/>
            </w:pPr>
            <w:r>
              <w:rPr>
                <w:rFonts w:ascii="Aptos" w:hAnsi="Aptos"/>
                <w:sz w:val="18"/>
              </w:rPr>
              <w:t>Dry-run reports, ambiguity review, registry update bundles and merge-time validation.</w:t>
            </w:r>
          </w:p>
        </w:tc>
      </w:tr>
      <w:tr>
        <w:trPr>
          <w:cantSplit w:val="true"/>
        </w:trPr>
        <w:tc>
          <w:tcPr>
            <w:tcW w:type="dxa" w:w="2952"/>
            <w:tcMar>
              <w:top w:w="80" w:type="dxa"/>
              <w:start w:w="90" w:type="dxa"/>
              <w:bottom w:w="80" w:type="dxa"/>
              <w:end w:w="90" w:type="dxa"/>
            </w:tcMar>
            <w:vAlign w:val="top"/>
          </w:tcPr>
          <w:p>
            <w:pPr>
              <w:spacing w:after="0"/>
            </w:pPr>
            <w:r>
              <w:rPr>
                <w:rFonts w:ascii="Aptos" w:hAnsi="Aptos"/>
                <w:sz w:val="18"/>
              </w:rPr>
              <w:t>Regression suite</w:t>
            </w:r>
          </w:p>
        </w:tc>
        <w:tc>
          <w:tcPr>
            <w:tcW w:type="dxa" w:w="7128"/>
            <w:tcMar>
              <w:top w:w="80" w:type="dxa"/>
              <w:start w:w="90" w:type="dxa"/>
              <w:bottom w:w="80" w:type="dxa"/>
              <w:end w:w="90" w:type="dxa"/>
            </w:tcMar>
            <w:vAlign w:val="top"/>
          </w:tcPr>
          <w:p>
            <w:pPr>
              <w:spacing w:after="0"/>
            </w:pPr>
            <w:r>
              <w:rPr>
                <w:rFonts w:ascii="Aptos" w:hAnsi="Aptos"/>
                <w:sz w:val="18"/>
              </w:rPr>
              <w:t>Synthetic and real revision fixtures covering topology, numbering, history and CII round trip.</w:t>
            </w:r>
          </w:p>
        </w:tc>
      </w:tr>
    </w:tbl>
    <w:p>
      <w:pPr>
        <w:spacing w:after="0"/>
      </w:pPr>
    </w:p>
    <w:p>
      <w:r>
        <w:br w:type="page"/>
      </w:r>
    </w:p>
    <w:p>
      <w:pPr>
        <w:pStyle w:val="Heading1"/>
        <w:keepNext/>
      </w:pPr>
      <w:r>
        <w:t>15. Repository module map</w:t>
      </w:r>
    </w:p>
    <w:p>
      <w:pPr>
        <w:spacing w:after="120" w:line="259" w:lineRule="auto"/>
      </w:pPr>
      <w:r>
        <w:rPr>
          <w:rFonts w:ascii="Aptos" w:hAnsi="Aptos"/>
          <w:sz w:val="21"/>
        </w:rPr>
        <w:t>The final file layout should follow repository ownership boundaries. Exact filenames may be refined during implementation, but responsibilities should remain separated.</w:t>
      </w:r>
    </w:p>
    <w:tbl>
      <w:tblPr>
        <w:tblW w:type="auto" w:w="0"/>
        <w:jc w:val="center"/>
        <w:tblLayout w:type="autofit"/>
        <w:tblLook w:firstColumn="1" w:firstRow="1" w:lastColumn="0" w:lastRow="0" w:noHBand="0" w:noVBand="1" w:val="04A0"/>
      </w:tblPr>
      <w:tblGrid>
        <w:gridCol w:w="10166"/>
      </w:tblGrid>
      <w:tr>
        <w:trPr>
          <w:cantSplit w:val="true"/>
        </w:trPr>
        <w:tc>
          <w:tcPr>
            <w:tcW w:type="dxa" w:w="10166"/>
            <w:shd w:fill="F4F6F8"/>
            <w:tcMar>
              <w:top w:w="120" w:type="dxa"/>
              <w:start w:w="140" w:type="dxa"/>
              <w:bottom w:w="120" w:type="dxa"/>
              <w:end w:w="140" w:type="dxa"/>
            </w:tcMar>
          </w:tcPr>
          <w:p>
            <w:pPr>
              <w:spacing w:after="0"/>
            </w:pPr>
            <w:r>
              <w:rPr>
                <w:rFonts w:ascii="Liberation Mono" w:hAnsi="Liberation Mono"/>
                <w:color w:val="282D32"/>
                <w:sz w:val="17"/>
              </w:rPr>
              <w:t>contracts/</w:t>
            </w:r>
            <w:r>
              <w:br/>
            </w:r>
            <w:r>
              <w:rPr>
                <w:rFonts w:ascii="Liberation Mono" w:hAnsi="Liberation Mono"/>
                <w:color w:val="282D32"/>
                <w:sz w:val="17"/>
              </w:rPr>
              <w:t xml:space="preserve">  inputxml/v1/</w:t>
            </w:r>
            <w:r>
              <w:br/>
            </w:r>
            <w:r>
              <w:rPr>
                <w:rFonts w:ascii="Liberation Mono" w:hAnsi="Liberation Mono"/>
                <w:color w:val="282D32"/>
                <w:sz w:val="17"/>
              </w:rPr>
              <w:t xml:space="preserve">  psi-node-history-contract.js</w:t>
            </w:r>
            <w:r>
              <w:br/>
            </w:r>
            <w:r>
              <w:rPr>
                <w:rFonts w:ascii="Liberation Mono" w:hAnsi="Liberation Mono"/>
                <w:color w:val="282D32"/>
                <w:sz w:val="17"/>
              </w:rPr>
            </w:r>
            <w:r>
              <w:br/>
            </w:r>
            <w:r>
              <w:rPr>
                <w:rFonts w:ascii="Liberation Mono" w:hAnsi="Liberation Mono"/>
                <w:color w:val="282D32"/>
                <w:sz w:val="17"/>
              </w:rPr>
              <w:t>scripts/inputxml_compiler/</w:t>
            </w:r>
            <w:r>
              <w:br/>
            </w:r>
            <w:r>
              <w:rPr>
                <w:rFonts w:ascii="Liberation Mono" w:hAnsi="Liberation Mono"/>
                <w:color w:val="282D32"/>
                <w:sz w:val="17"/>
              </w:rPr>
              <w:t xml:space="preserve">  managed_stage.py</w:t>
            </w:r>
            <w:r>
              <w:br/>
            </w:r>
            <w:r>
              <w:rPr>
                <w:rFonts w:ascii="Liberation Mono" w:hAnsi="Liberation Mono"/>
                <w:color w:val="282D32"/>
                <w:sz w:val="17"/>
              </w:rPr>
              <w:t xml:space="preserve">  node_managed_stage_bridge.mjs</w:t>
            </w:r>
            <w:r>
              <w:br/>
            </w:r>
            <w:r>
              <w:rPr>
                <w:rFonts w:ascii="Liberation Mono" w:hAnsi="Liberation Mono"/>
                <w:color w:val="282D32"/>
                <w:sz w:val="17"/>
              </w:rPr>
            </w:r>
            <w:r>
              <w:br/>
            </w:r>
            <w:r>
              <w:rPr>
                <w:rFonts w:ascii="Liberation Mono" w:hAnsi="Liberation Mono"/>
                <w:color w:val="282D32"/>
                <w:sz w:val="17"/>
              </w:rPr>
              <w:t>scripts/</w:t>
            </w:r>
            <w:r>
              <w:br/>
            </w:r>
            <w:r>
              <w:rPr>
                <w:rFonts w:ascii="Liberation Mono" w:hAnsi="Liberation Mono"/>
                <w:color w:val="282D32"/>
                <w:sz w:val="17"/>
              </w:rPr>
              <w:t xml:space="preserve">  inputxml_assurance_ledger.py</w:t>
            </w:r>
            <w:r>
              <w:br/>
            </w:r>
            <w:r>
              <w:rPr>
                <w:rFonts w:ascii="Liberation Mono" w:hAnsi="Liberation Mono"/>
                <w:color w:val="282D32"/>
                <w:sz w:val="17"/>
              </w:rPr>
            </w:r>
            <w:r>
              <w:br/>
            </w:r>
            <w:r>
              <w:rPr>
                <w:rFonts w:ascii="Liberation Mono" w:hAnsi="Liberation Mono"/>
                <w:color w:val="282D32"/>
                <w:sz w:val="17"/>
              </w:rPr>
              <w:t>node-preprocessor/</w:t>
            </w:r>
            <w:r>
              <w:br/>
            </w:r>
            <w:r>
              <w:rPr>
                <w:rFonts w:ascii="Liberation Mono" w:hAnsi="Liberation Mono"/>
                <w:color w:val="282D32"/>
                <w:sz w:val="17"/>
              </w:rPr>
              <w:t xml:space="preserve">  psi-node-preprocessor.js</w:t>
            </w:r>
            <w:r>
              <w:br/>
            </w:r>
            <w:r>
              <w:rPr>
                <w:rFonts w:ascii="Liberation Mono" w:hAnsi="Liberation Mono"/>
                <w:color w:val="282D32"/>
                <w:sz w:val="17"/>
              </w:rPr>
              <w:t xml:space="preserve">  source-inventory.js</w:t>
            </w:r>
            <w:r>
              <w:br/>
            </w:r>
            <w:r>
              <w:rPr>
                <w:rFonts w:ascii="Liberation Mono" w:hAnsi="Liberation Mono"/>
                <w:color w:val="282D32"/>
                <w:sz w:val="17"/>
              </w:rPr>
              <w:t xml:space="preserve">  micro-geometry-normalizer.js</w:t>
            </w:r>
            <w:r>
              <w:br/>
            </w:r>
            <w:r>
              <w:rPr>
                <w:rFonts w:ascii="Liberation Mono" w:hAnsi="Liberation Mono"/>
                <w:color w:val="282D32"/>
                <w:sz w:val="17"/>
              </w:rPr>
              <w:t xml:space="preserve">  node-history-matcher.js</w:t>
            </w:r>
            <w:r>
              <w:br/>
            </w:r>
            <w:r>
              <w:rPr>
                <w:rFonts w:ascii="Liberation Mono" w:hAnsi="Liberation Mono"/>
                <w:color w:val="282D32"/>
                <w:sz w:val="17"/>
              </w:rPr>
              <w:t xml:space="preserve">  node-range-allocator.js</w:t>
            </w:r>
            <w:r>
              <w:br/>
            </w:r>
            <w:r>
              <w:rPr>
                <w:rFonts w:ascii="Liberation Mono" w:hAnsi="Liberation Mono"/>
                <w:color w:val="282D32"/>
                <w:sz w:val="17"/>
              </w:rPr>
              <w:t xml:space="preserve">  node-history-registry.js</w:t>
            </w:r>
            <w:r>
              <w:br/>
            </w:r>
            <w:r>
              <w:rPr>
                <w:rFonts w:ascii="Liberation Mono" w:hAnsi="Liberation Mono"/>
                <w:color w:val="282D32"/>
                <w:sz w:val="17"/>
              </w:rPr>
              <w:t xml:space="preserve">  node-preprocess-audit.js</w:t>
            </w:r>
            <w:r>
              <w:br/>
            </w:r>
            <w:r>
              <w:rPr>
                <w:rFonts w:ascii="Liberation Mono" w:hAnsi="Liberation Mono"/>
                <w:color w:val="282D32"/>
                <w:sz w:val="17"/>
              </w:rPr>
            </w:r>
            <w:r>
              <w:br/>
            </w:r>
            <w:r>
              <w:rPr>
                <w:rFonts w:ascii="Liberation Mono" w:hAnsi="Liberation Mono"/>
                <w:color w:val="282D32"/>
                <w:sz w:val="17"/>
              </w:rPr>
              <w:t>tabs/stagedjson-to-enrichxml/</w:t>
            </w:r>
            <w:r>
              <w:br/>
            </w:r>
            <w:r>
              <w:rPr>
                <w:rFonts w:ascii="Liberation Mono" w:hAnsi="Liberation Mono"/>
                <w:color w:val="282D32"/>
                <w:sz w:val="17"/>
              </w:rPr>
              <w:t xml:space="preserve">  sj-sequence-plan.js</w:t>
            </w:r>
            <w:r>
              <w:br/>
            </w:r>
            <w:r>
              <w:rPr>
                <w:rFonts w:ascii="Liberation Mono" w:hAnsi="Liberation Mono"/>
                <w:color w:val="282D32"/>
                <w:sz w:val="17"/>
              </w:rPr>
              <w:t xml:space="preserve">  sj-xml-writer.js</w:t>
            </w:r>
            <w:r>
              <w:br/>
            </w:r>
            <w:r>
              <w:rPr>
                <w:rFonts w:ascii="Liberation Mono" w:hAnsi="Liberation Mono"/>
                <w:color w:val="282D32"/>
                <w:sz w:val="17"/>
              </w:rPr>
              <w:t xml:space="preserve">  sj-sequential-writer-shadow.js</w:t>
            </w:r>
            <w:r>
              <w:br/>
            </w:r>
            <w:r>
              <w:rPr>
                <w:rFonts w:ascii="Liberation Mono" w:hAnsi="Liberation Mono"/>
                <w:color w:val="282D32"/>
                <w:sz w:val="17"/>
              </w:rPr>
              <w:t xml:space="preserve">  sj-xml-writer-parity.js</w:t>
            </w:r>
            <w:r>
              <w:br/>
            </w:r>
            <w:r>
              <w:rPr>
                <w:rFonts w:ascii="Liberation Mono" w:hAnsi="Liberation Mono"/>
                <w:color w:val="282D32"/>
                <w:sz w:val="17"/>
              </w:rPr>
            </w:r>
            <w:r>
              <w:br/>
            </w:r>
            <w:r>
              <w:rPr>
                <w:rFonts w:ascii="Liberation Mono" w:hAnsi="Liberation Mono"/>
                <w:color w:val="282D32"/>
                <w:sz w:val="17"/>
              </w:rPr>
              <w:t>tabs/model-converters/converters/component-topology/</w:t>
            </w:r>
            <w:r>
              <w:br/>
            </w:r>
            <w:r>
              <w:rPr>
                <w:rFonts w:ascii="Liberation Mono" w:hAnsi="Liberation Mono"/>
                <w:color w:val="282D32"/>
                <w:sz w:val="17"/>
              </w:rPr>
              <w:t xml:space="preserve">  topology-canonical-builder.js</w:t>
            </w:r>
            <w:r>
              <w:br/>
            </w:r>
            <w:r>
              <w:rPr>
                <w:rFonts w:ascii="Liberation Mono" w:hAnsi="Liberation Mono"/>
                <w:color w:val="282D32"/>
                <w:sz w:val="17"/>
              </w:rPr>
              <w:t xml:space="preserve">  topology-trace-ledger.js</w:t>
            </w:r>
            <w:r>
              <w:br/>
            </w:r>
            <w:r>
              <w:rPr>
                <w:rFonts w:ascii="Liberation Mono" w:hAnsi="Liberation Mono"/>
                <w:color w:val="282D32"/>
                <w:sz w:val="17"/>
              </w:rPr>
              <w:t xml:space="preserve">  topology-parity-report.js</w:t>
            </w:r>
            <w:r>
              <w:br/>
            </w:r>
            <w:r>
              <w:rPr>
                <w:rFonts w:ascii="Liberation Mono" w:hAnsi="Liberation Mono"/>
                <w:color w:val="282D32"/>
                <w:sz w:val="17"/>
              </w:rPr>
              <w:t xml:space="preserve">  topology-canonical-inputxml-parity.js</w:t>
            </w:r>
          </w:p>
        </w:tc>
      </w:tr>
    </w:tbl>
    <w:p>
      <w:pPr>
        <w:spacing w:after="0"/>
      </w:pPr>
    </w:p>
    <w:p>
      <w:pPr>
        <w:pStyle w:val="Heading2"/>
        <w:keepNext/>
      </w:pPr>
      <w:r>
        <w:t>15.1 Ownership boundaries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76"/>
            <w:shd w:fill="D9E2F3"/>
            <w:tcMar>
              <w:top w:w="90" w:type="dxa"/>
              <w:start w:w="90" w:type="dxa"/>
              <w:bottom w:w="90" w:type="dxa"/>
              <w:end w:w="90" w:type="dxa"/>
            </w:tcMar>
            <w:vAlign w:val="center"/>
          </w:tcPr>
          <w:p>
            <w:pPr>
              <w:jc w:val="left"/>
            </w:pPr>
            <w:r>
              <w:rPr>
                <w:rFonts w:ascii="Aptos" w:hAnsi="Aptos"/>
                <w:b/>
                <w:color w:val="1F3757"/>
                <w:sz w:val="17"/>
              </w:rPr>
              <w:t>Owner</w:t>
            </w:r>
          </w:p>
        </w:tc>
        <w:tc>
          <w:tcPr>
            <w:tcW w:type="dxa" w:w="4104"/>
            <w:shd w:fill="D9E2F3"/>
            <w:tcMar>
              <w:top w:w="90" w:type="dxa"/>
              <w:start w:w="90" w:type="dxa"/>
              <w:bottom w:w="90" w:type="dxa"/>
              <w:end w:w="90" w:type="dxa"/>
            </w:tcMar>
            <w:vAlign w:val="center"/>
          </w:tcPr>
          <w:p>
            <w:pPr>
              <w:jc w:val="left"/>
            </w:pPr>
            <w:r>
              <w:rPr>
                <w:rFonts w:ascii="Aptos" w:hAnsi="Aptos"/>
                <w:b/>
                <w:color w:val="1F3757"/>
                <w:sz w:val="17"/>
              </w:rPr>
              <w:t>Owns</w:t>
            </w:r>
          </w:p>
        </w:tc>
        <w:tc>
          <w:tcPr>
            <w:tcW w:type="dxa" w:w="3600"/>
            <w:shd w:fill="D9E2F3"/>
            <w:tcMar>
              <w:top w:w="90" w:type="dxa"/>
              <w:start w:w="90" w:type="dxa"/>
              <w:bottom w:w="90" w:type="dxa"/>
              <w:end w:w="90" w:type="dxa"/>
            </w:tcMar>
            <w:vAlign w:val="center"/>
          </w:tcPr>
          <w:p>
            <w:pPr>
              <w:jc w:val="left"/>
            </w:pPr>
            <w:r>
              <w:rPr>
                <w:rFonts w:ascii="Aptos" w:hAnsi="Aptos"/>
                <w:b/>
                <w:color w:val="1F3757"/>
                <w:sz w:val="17"/>
              </w:rPr>
              <w:t>Does not own</w:t>
            </w:r>
          </w:p>
        </w:tc>
      </w:tr>
      <w:tr>
        <w:trPr>
          <w:cantSplit w:val="true"/>
        </w:trPr>
        <w:tc>
          <w:tcPr>
            <w:tcW w:type="dxa" w:w="2376"/>
            <w:tcMar>
              <w:top w:w="80" w:type="dxa"/>
              <w:start w:w="90" w:type="dxa"/>
              <w:bottom w:w="80" w:type="dxa"/>
              <w:end w:w="90" w:type="dxa"/>
            </w:tcMar>
            <w:vAlign w:val="top"/>
          </w:tcPr>
          <w:p>
            <w:pPr>
              <w:spacing w:after="0"/>
            </w:pPr>
            <w:r>
              <w:rPr>
                <w:rFonts w:ascii="Aptos" w:hAnsi="Aptos"/>
                <w:sz w:val="17"/>
              </w:rPr>
              <w:t>InputXML compiler</w:t>
            </w:r>
          </w:p>
        </w:tc>
        <w:tc>
          <w:tcPr>
            <w:tcW w:type="dxa" w:w="4104"/>
            <w:tcMar>
              <w:top w:w="80" w:type="dxa"/>
              <w:start w:w="90" w:type="dxa"/>
              <w:bottom w:w="80" w:type="dxa"/>
              <w:end w:w="90" w:type="dxa"/>
            </w:tcMar>
            <w:vAlign w:val="top"/>
          </w:tcPr>
          <w:p>
            <w:pPr>
              <w:spacing w:after="0"/>
            </w:pPr>
            <w:r>
              <w:rPr>
                <w:rFonts w:ascii="Aptos" w:hAnsi="Aptos"/>
                <w:sz w:val="17"/>
              </w:rPr>
              <w:t>Dialect adaptation and canonical InputXML construction.</w:t>
            </w:r>
          </w:p>
        </w:tc>
        <w:tc>
          <w:tcPr>
            <w:tcW w:type="dxa" w:w="3600"/>
            <w:tcMar>
              <w:top w:w="80" w:type="dxa"/>
              <w:start w:w="90" w:type="dxa"/>
              <w:bottom w:w="80" w:type="dxa"/>
              <w:end w:w="90" w:type="dxa"/>
            </w:tcMar>
            <w:vAlign w:val="top"/>
          </w:tcPr>
          <w:p>
            <w:pPr>
              <w:spacing w:after="0"/>
            </w:pPr>
            <w:r>
              <w:rPr>
                <w:rFonts w:ascii="Aptos" w:hAnsi="Aptos"/>
                <w:sz w:val="17"/>
              </w:rPr>
              <w:t>Historical-number allocation or writer presentation order.</w:t>
            </w:r>
          </w:p>
        </w:tc>
      </w:tr>
      <w:tr>
        <w:trPr>
          <w:cantSplit w:val="true"/>
        </w:trPr>
        <w:tc>
          <w:tcPr>
            <w:tcW w:type="dxa" w:w="2376"/>
            <w:tcMar>
              <w:top w:w="80" w:type="dxa"/>
              <w:start w:w="90" w:type="dxa"/>
              <w:bottom w:w="80" w:type="dxa"/>
              <w:end w:w="90" w:type="dxa"/>
            </w:tcMar>
            <w:vAlign w:val="top"/>
          </w:tcPr>
          <w:p>
            <w:pPr>
              <w:spacing w:after="0"/>
            </w:pPr>
            <w:r>
              <w:rPr>
                <w:rFonts w:ascii="Aptos" w:hAnsi="Aptos"/>
                <w:sz w:val="17"/>
              </w:rPr>
              <w:t>Topology core</w:t>
            </w:r>
          </w:p>
        </w:tc>
        <w:tc>
          <w:tcPr>
            <w:tcW w:type="dxa" w:w="4104"/>
            <w:tcMar>
              <w:top w:w="80" w:type="dxa"/>
              <w:start w:w="90" w:type="dxa"/>
              <w:bottom w:w="80" w:type="dxa"/>
              <w:end w:w="90" w:type="dxa"/>
            </w:tcMar>
            <w:vAlign w:val="top"/>
          </w:tcPr>
          <w:p>
            <w:pPr>
              <w:spacing w:after="0"/>
            </w:pPr>
            <w:r>
              <w:rPr>
                <w:rFonts w:ascii="Aptos" w:hAnsi="Aptos"/>
                <w:sz w:val="17"/>
              </w:rPr>
              <w:t>Canonical connectivity and topology evidence.</w:t>
            </w:r>
          </w:p>
        </w:tc>
        <w:tc>
          <w:tcPr>
            <w:tcW w:type="dxa" w:w="3600"/>
            <w:tcMar>
              <w:top w:w="80" w:type="dxa"/>
              <w:start w:w="90" w:type="dxa"/>
              <w:bottom w:w="80" w:type="dxa"/>
              <w:end w:w="90" w:type="dxa"/>
            </w:tcMar>
            <w:vAlign w:val="top"/>
          </w:tcPr>
          <w:p>
            <w:pPr>
              <w:spacing w:after="0"/>
            </w:pPr>
            <w:r>
              <w:rPr>
                <w:rFonts w:ascii="Aptos" w:hAnsi="Aptos"/>
                <w:sz w:val="17"/>
              </w:rPr>
              <w:t>CII text formatting.</w:t>
            </w:r>
          </w:p>
        </w:tc>
      </w:tr>
      <w:tr>
        <w:trPr>
          <w:cantSplit w:val="true"/>
        </w:trPr>
        <w:tc>
          <w:tcPr>
            <w:tcW w:type="dxa" w:w="2376"/>
            <w:tcMar>
              <w:top w:w="80" w:type="dxa"/>
              <w:start w:w="90" w:type="dxa"/>
              <w:bottom w:w="80" w:type="dxa"/>
              <w:end w:w="90" w:type="dxa"/>
            </w:tcMar>
            <w:vAlign w:val="top"/>
          </w:tcPr>
          <w:p>
            <w:pPr>
              <w:spacing w:after="0"/>
            </w:pPr>
            <w:r>
              <w:rPr>
                <w:rFonts w:ascii="Aptos" w:hAnsi="Aptos"/>
                <w:sz w:val="17"/>
              </w:rPr>
              <w:t>Node preprocessor</w:t>
            </w:r>
          </w:p>
        </w:tc>
        <w:tc>
          <w:tcPr>
            <w:tcW w:type="dxa" w:w="4104"/>
            <w:tcMar>
              <w:top w:w="80" w:type="dxa"/>
              <w:start w:w="90" w:type="dxa"/>
              <w:bottom w:w="80" w:type="dxa"/>
              <w:end w:w="90" w:type="dxa"/>
            </w:tcMar>
            <w:vAlign w:val="top"/>
          </w:tcPr>
          <w:p>
            <w:pPr>
              <w:spacing w:after="0"/>
            </w:pPr>
            <w:r>
              <w:rPr>
                <w:rFonts w:ascii="Aptos" w:hAnsi="Aptos"/>
                <w:sz w:val="17"/>
              </w:rPr>
              <w:t>Logical-node normalization, history matching and allocation.</w:t>
            </w:r>
          </w:p>
        </w:tc>
        <w:tc>
          <w:tcPr>
            <w:tcW w:type="dxa" w:w="3600"/>
            <w:tcMar>
              <w:top w:w="80" w:type="dxa"/>
              <w:start w:w="90" w:type="dxa"/>
              <w:bottom w:w="80" w:type="dxa"/>
              <w:end w:w="90" w:type="dxa"/>
            </w:tcMar>
            <w:vAlign w:val="top"/>
          </w:tcPr>
          <w:p>
            <w:pPr>
              <w:spacing w:after="0"/>
            </w:pPr>
            <w:r>
              <w:rPr>
                <w:rFonts w:ascii="Aptos" w:hAnsi="Aptos"/>
                <w:sz w:val="17"/>
              </w:rPr>
              <w:t>XML serialization.</w:t>
            </w:r>
          </w:p>
        </w:tc>
      </w:tr>
      <w:tr>
        <w:trPr>
          <w:cantSplit w:val="true"/>
        </w:trPr>
        <w:tc>
          <w:tcPr>
            <w:tcW w:type="dxa" w:w="2376"/>
            <w:tcMar>
              <w:top w:w="80" w:type="dxa"/>
              <w:start w:w="90" w:type="dxa"/>
              <w:bottom w:w="80" w:type="dxa"/>
              <w:end w:w="90" w:type="dxa"/>
            </w:tcMar>
            <w:vAlign w:val="top"/>
          </w:tcPr>
          <w:p>
            <w:pPr>
              <w:spacing w:after="0"/>
            </w:pPr>
            <w:r>
              <w:rPr>
                <w:rFonts w:ascii="Aptos" w:hAnsi="Aptos"/>
                <w:sz w:val="17"/>
              </w:rPr>
              <w:t>PSI writers</w:t>
            </w:r>
          </w:p>
        </w:tc>
        <w:tc>
          <w:tcPr>
            <w:tcW w:type="dxa" w:w="4104"/>
            <w:tcMar>
              <w:top w:w="80" w:type="dxa"/>
              <w:start w:w="90" w:type="dxa"/>
              <w:bottom w:w="80" w:type="dxa"/>
              <w:end w:w="90" w:type="dxa"/>
            </w:tcMar>
            <w:vAlign w:val="top"/>
          </w:tcPr>
          <w:p>
            <w:pPr>
              <w:spacing w:after="0"/>
            </w:pPr>
            <w:r>
              <w:rPr>
                <w:rFonts w:ascii="Aptos" w:hAnsi="Aptos"/>
                <w:sz w:val="17"/>
              </w:rPr>
              <w:t>Serialization of approved plans.</w:t>
            </w:r>
          </w:p>
        </w:tc>
        <w:tc>
          <w:tcPr>
            <w:tcW w:type="dxa" w:w="3600"/>
            <w:tcMar>
              <w:top w:w="80" w:type="dxa"/>
              <w:start w:w="90" w:type="dxa"/>
              <w:bottom w:w="80" w:type="dxa"/>
              <w:end w:w="90" w:type="dxa"/>
            </w:tcMar>
            <w:vAlign w:val="top"/>
          </w:tcPr>
          <w:p>
            <w:pPr>
              <w:spacing w:after="0"/>
            </w:pPr>
            <w:r>
              <w:rPr>
                <w:rFonts w:ascii="Aptos" w:hAnsi="Aptos"/>
                <w:sz w:val="17"/>
              </w:rPr>
              <w:t>Topology inference or numbering.</w:t>
            </w:r>
          </w:p>
        </w:tc>
      </w:tr>
      <w:tr>
        <w:trPr>
          <w:cantSplit w:val="true"/>
        </w:trPr>
        <w:tc>
          <w:tcPr>
            <w:tcW w:type="dxa" w:w="2376"/>
            <w:tcMar>
              <w:top w:w="80" w:type="dxa"/>
              <w:start w:w="90" w:type="dxa"/>
              <w:bottom w:w="80" w:type="dxa"/>
              <w:end w:w="90" w:type="dxa"/>
            </w:tcMar>
            <w:vAlign w:val="top"/>
          </w:tcPr>
          <w:p>
            <w:pPr>
              <w:spacing w:after="0"/>
            </w:pPr>
            <w:r>
              <w:rPr>
                <w:rFonts w:ascii="Aptos" w:hAnsi="Aptos"/>
                <w:sz w:val="17"/>
              </w:rPr>
              <w:t>Assurance ledger</w:t>
            </w:r>
          </w:p>
        </w:tc>
        <w:tc>
          <w:tcPr>
            <w:tcW w:type="dxa" w:w="4104"/>
            <w:tcMar>
              <w:top w:w="80" w:type="dxa"/>
              <w:start w:w="90" w:type="dxa"/>
              <w:bottom w:w="80" w:type="dxa"/>
              <w:end w:w="90" w:type="dxa"/>
            </w:tcMar>
            <w:vAlign w:val="top"/>
          </w:tcPr>
          <w:p>
            <w:pPr>
              <w:spacing w:after="0"/>
            </w:pPr>
            <w:r>
              <w:rPr>
                <w:rFonts w:ascii="Aptos" w:hAnsi="Aptos"/>
                <w:sz w:val="17"/>
              </w:rPr>
              <w:t>Hash, parity and completeness gates.</w:t>
            </w:r>
          </w:p>
        </w:tc>
        <w:tc>
          <w:tcPr>
            <w:tcW w:type="dxa" w:w="3600"/>
            <w:tcMar>
              <w:top w:w="80" w:type="dxa"/>
              <w:start w:w="90" w:type="dxa"/>
              <w:bottom w:w="80" w:type="dxa"/>
              <w:end w:w="90" w:type="dxa"/>
            </w:tcMar>
            <w:vAlign w:val="top"/>
          </w:tcPr>
          <w:p>
            <w:pPr>
              <w:spacing w:after="0"/>
            </w:pPr>
            <w:r>
              <w:rPr>
                <w:rFonts w:ascii="Aptos" w:hAnsi="Aptos"/>
                <w:sz w:val="17"/>
              </w:rPr>
              <w:t>Repairing failed production artifacts.</w:t>
            </w:r>
          </w:p>
        </w:tc>
      </w:tr>
      <w:tr>
        <w:trPr>
          <w:cantSplit w:val="true"/>
        </w:trPr>
        <w:tc>
          <w:tcPr>
            <w:tcW w:type="dxa" w:w="2376"/>
            <w:tcMar>
              <w:top w:w="80" w:type="dxa"/>
              <w:start w:w="90" w:type="dxa"/>
              <w:bottom w:w="80" w:type="dxa"/>
              <w:end w:w="90" w:type="dxa"/>
            </w:tcMar>
            <w:vAlign w:val="top"/>
          </w:tcPr>
          <w:p>
            <w:pPr>
              <w:spacing w:after="0"/>
            </w:pPr>
            <w:r>
              <w:rPr>
                <w:rFonts w:ascii="Aptos" w:hAnsi="Aptos"/>
                <w:sz w:val="17"/>
              </w:rPr>
              <w:t>CII projector</w:t>
            </w:r>
          </w:p>
        </w:tc>
        <w:tc>
          <w:tcPr>
            <w:tcW w:type="dxa" w:w="4104"/>
            <w:tcMar>
              <w:top w:w="80" w:type="dxa"/>
              <w:start w:w="90" w:type="dxa"/>
              <w:bottom w:w="80" w:type="dxa"/>
              <w:end w:w="90" w:type="dxa"/>
            </w:tcMar>
            <w:vAlign w:val="top"/>
          </w:tcPr>
          <w:p>
            <w:pPr>
              <w:spacing w:after="0"/>
            </w:pPr>
            <w:r>
              <w:rPr>
                <w:rFonts w:ascii="Aptos" w:hAnsi="Aptos"/>
                <w:sz w:val="17"/>
              </w:rPr>
              <w:t>Canonical InputXML to CII(2019) projection.</w:t>
            </w:r>
          </w:p>
        </w:tc>
        <w:tc>
          <w:tcPr>
            <w:tcW w:type="dxa" w:w="3600"/>
            <w:tcMar>
              <w:top w:w="80" w:type="dxa"/>
              <w:start w:w="90" w:type="dxa"/>
              <w:bottom w:w="80" w:type="dxa"/>
              <w:end w:w="90" w:type="dxa"/>
            </w:tcMar>
            <w:vAlign w:val="top"/>
          </w:tcPr>
          <w:p>
            <w:pPr>
              <w:spacing w:after="0"/>
            </w:pPr>
            <w:r>
              <w:rPr>
                <w:rFonts w:ascii="Aptos" w:hAnsi="Aptos"/>
                <w:sz w:val="17"/>
              </w:rPr>
              <w:t>Changing upstream topology or node identity.</w:t>
            </w:r>
          </w:p>
        </w:tc>
      </w:tr>
    </w:tbl>
    <w:p>
      <w:pPr>
        <w:spacing w:after="0"/>
      </w:pPr>
    </w:p>
    <w:p>
      <w:pPr>
        <w:pStyle w:val="Heading1"/>
        <w:keepNext/>
      </w:pPr>
      <w:r>
        <w:t>16. Conclusion</w:t>
      </w:r>
    </w:p>
    <w:p>
      <w:pPr>
        <w:spacing w:after="120" w:line="259" w:lineRule="auto"/>
      </w:pPr>
      <w:r>
        <w:rPr>
          <w:rFonts w:ascii="Aptos" w:hAnsi="Aptos"/>
          <w:sz w:val="21"/>
        </w:rPr>
        <w:t>The InputXML upgrade should be governed as an engineering assurance program, not as a generic XML modernization effort. Its central achievement is one canonical, topology-complete and historically stable interchange model that all downstream writers and CII projections consume without hidden decisions.</w:t>
      </w:r>
    </w:p>
    <w:p>
      <w:pPr>
        <w:spacing w:after="120" w:line="259" w:lineRule="auto"/>
      </w:pPr>
      <w:r>
        <w:rPr>
          <w:rFonts w:ascii="Aptos" w:hAnsi="Aptos"/>
          <w:sz w:val="21"/>
        </w:rPr>
        <w:t>The near-term priority is to close the existing real topology-assurance and post-canonical parity gaps. The next structural priority is to make both PSI writers pure serializers. Only after those gates are complete should micro-geometry normalization, historical matching and range allocation become production authorities.</w:t>
      </w:r>
    </w:p>
    <w:tbl>
      <w:tblPr>
        <w:tblW w:type="auto" w:w="0"/>
        <w:jc w:val="center"/>
        <w:tblLook w:firstColumn="1" w:firstRow="1" w:lastColumn="0" w:lastRow="0" w:noHBand="0" w:noVBand="1" w:val="04A0"/>
      </w:tblPr>
      <w:tblGrid>
        <w:gridCol w:w="10166"/>
      </w:tblGrid>
      <w:tr>
        <w:trPr>
          <w:cantSplit w:val="true"/>
        </w:trPr>
        <w:tc>
          <w:tcPr>
            <w:tcW w:type="dxa" w:w="10166"/>
            <w:shd w:fill="EAF2F8"/>
            <w:tcMar>
              <w:top w:w="150" w:type="dxa"/>
              <w:start w:w="180" w:type="dxa"/>
              <w:bottom w:w="150" w:type="dxa"/>
              <w:end w:w="180" w:type="dxa"/>
            </w:tcMar>
          </w:tcPr>
          <w:p>
            <w:pPr>
              <w:spacing w:after="80"/>
            </w:pPr>
            <w:r>
              <w:rPr>
                <w:rFonts w:ascii="Aptos" w:hAnsi="Aptos"/>
                <w:b/>
                <w:color w:val="2F5597"/>
                <w:sz w:val="21"/>
              </w:rPr>
              <w:t>Recommended governing statement</w:t>
            </w:r>
          </w:p>
          <w:p>
            <w:pPr>
              <w:spacing w:after="0"/>
            </w:pPr>
            <w:r>
              <w:rPr>
                <w:rFonts w:ascii="Aptos" w:hAnsi="Aptos"/>
                <w:sz w:val="20"/>
              </w:rPr>
              <w:t>Canonical InputXML is released only when its topology, node identities, engineering numbering and CII projection are all derived from the same immutable evidence chain and independently verified.</w:t>
            </w:r>
          </w:p>
        </w:tc>
      </w:tr>
    </w:tbl>
    <w:p>
      <w:r>
        <w:br w:type="page"/>
      </w:r>
    </w:p>
    <w:p>
      <w:pPr>
        <w:pStyle w:val="Heading1"/>
        <w:keepNext/>
      </w:pPr>
      <w:r>
        <w:t>Appendix A - Concept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592"/>
            <w:shd w:fill="D9E2F3"/>
            <w:tcMar>
              <w:top w:w="90" w:type="dxa"/>
              <w:start w:w="90" w:type="dxa"/>
              <w:bottom w:w="90" w:type="dxa"/>
              <w:end w:w="90" w:type="dxa"/>
            </w:tcMar>
            <w:vAlign w:val="center"/>
          </w:tcPr>
          <w:p>
            <w:pPr>
              <w:jc w:val="left"/>
            </w:pPr>
            <w:r>
              <w:rPr>
                <w:rFonts w:ascii="Aptos" w:hAnsi="Aptos"/>
                <w:b/>
                <w:color w:val="1F3757"/>
                <w:sz w:val="18"/>
              </w:rPr>
              <w:t>Term</w:t>
            </w:r>
          </w:p>
        </w:tc>
        <w:tc>
          <w:tcPr>
            <w:tcW w:type="dxa" w:w="7488"/>
            <w:shd w:fill="D9E2F3"/>
            <w:tcMar>
              <w:top w:w="90" w:type="dxa"/>
              <w:start w:w="90" w:type="dxa"/>
              <w:bottom w:w="90" w:type="dxa"/>
              <w:end w:w="90" w:type="dxa"/>
            </w:tcMar>
            <w:vAlign w:val="center"/>
          </w:tcPr>
          <w:p>
            <w:pPr>
              <w:jc w:val="left"/>
            </w:pPr>
            <w:r>
              <w:rPr>
                <w:rFonts w:ascii="Aptos" w:hAnsi="Aptos"/>
                <w:b/>
                <w:color w:val="1F3757"/>
                <w:sz w:val="18"/>
              </w:rPr>
              <w:t>Definition</w:t>
            </w:r>
          </w:p>
        </w:tc>
      </w:tr>
      <w:tr>
        <w:trPr>
          <w:cantSplit w:val="true"/>
        </w:trPr>
        <w:tc>
          <w:tcPr>
            <w:tcW w:type="dxa" w:w="2592"/>
            <w:tcMar>
              <w:top w:w="80" w:type="dxa"/>
              <w:start w:w="90" w:type="dxa"/>
              <w:bottom w:w="80" w:type="dxa"/>
              <w:end w:w="90" w:type="dxa"/>
            </w:tcMar>
            <w:vAlign w:val="top"/>
          </w:tcPr>
          <w:p>
            <w:pPr>
              <w:spacing w:after="0"/>
            </w:pPr>
            <w:r>
              <w:rPr>
                <w:rFonts w:ascii="Aptos" w:hAnsi="Aptos"/>
                <w:sz w:val="18"/>
              </w:rPr>
              <w:t>Source XML</w:t>
            </w:r>
          </w:p>
        </w:tc>
        <w:tc>
          <w:tcPr>
            <w:tcW w:type="dxa" w:w="7488"/>
            <w:tcMar>
              <w:top w:w="80" w:type="dxa"/>
              <w:start w:w="90" w:type="dxa"/>
              <w:bottom w:w="80" w:type="dxa"/>
              <w:end w:w="90" w:type="dxa"/>
            </w:tcMar>
            <w:vAlign w:val="top"/>
          </w:tcPr>
          <w:p>
            <w:pPr>
              <w:spacing w:after="0"/>
            </w:pPr>
            <w:r>
              <w:rPr>
                <w:rFonts w:ascii="Aptos" w:hAnsi="Aptos"/>
                <w:sz w:val="18"/>
              </w:rPr>
              <w:t>Any upstream vendor or application XML. Governed by the separate XML Upgrade plan.</w:t>
            </w:r>
          </w:p>
        </w:tc>
      </w:tr>
      <w:tr>
        <w:trPr>
          <w:cantSplit w:val="true"/>
        </w:trPr>
        <w:tc>
          <w:tcPr>
            <w:tcW w:type="dxa" w:w="2592"/>
            <w:tcMar>
              <w:top w:w="80" w:type="dxa"/>
              <w:start w:w="90" w:type="dxa"/>
              <w:bottom w:w="80" w:type="dxa"/>
              <w:end w:w="90" w:type="dxa"/>
            </w:tcMar>
            <w:vAlign w:val="top"/>
          </w:tcPr>
          <w:p>
            <w:pPr>
              <w:spacing w:after="0"/>
            </w:pPr>
            <w:r>
              <w:rPr>
                <w:rFonts w:ascii="Aptos" w:hAnsi="Aptos"/>
                <w:sz w:val="18"/>
              </w:rPr>
              <w:t>InputXML</w:t>
            </w:r>
          </w:p>
        </w:tc>
        <w:tc>
          <w:tcPr>
            <w:tcW w:type="dxa" w:w="7488"/>
            <w:tcMar>
              <w:top w:w="80" w:type="dxa"/>
              <w:start w:w="90" w:type="dxa"/>
              <w:bottom w:w="80" w:type="dxa"/>
              <w:end w:w="90" w:type="dxa"/>
            </w:tcMar>
            <w:vAlign w:val="top"/>
          </w:tcPr>
          <w:p>
            <w:pPr>
              <w:spacing w:after="0"/>
            </w:pPr>
            <w:r>
              <w:rPr>
                <w:rFonts w:ascii="Aptos" w:hAnsi="Aptos"/>
                <w:sz w:val="18"/>
              </w:rPr>
              <w:t>The canonical engineering interchange consumed by the InputXML-to-CII projection path.</w:t>
            </w:r>
          </w:p>
        </w:tc>
      </w:tr>
      <w:tr>
        <w:trPr>
          <w:cantSplit w:val="true"/>
        </w:trPr>
        <w:tc>
          <w:tcPr>
            <w:tcW w:type="dxa" w:w="2592"/>
            <w:tcMar>
              <w:top w:w="80" w:type="dxa"/>
              <w:start w:w="90" w:type="dxa"/>
              <w:bottom w:w="80" w:type="dxa"/>
              <w:end w:w="90" w:type="dxa"/>
            </w:tcMar>
            <w:vAlign w:val="top"/>
          </w:tcPr>
          <w:p>
            <w:pPr>
              <w:spacing w:after="0"/>
            </w:pPr>
            <w:r>
              <w:rPr>
                <w:rFonts w:ascii="Aptos" w:hAnsi="Aptos"/>
                <w:sz w:val="18"/>
              </w:rPr>
              <w:t>Canonical topology</w:t>
            </w:r>
          </w:p>
        </w:tc>
        <w:tc>
          <w:tcPr>
            <w:tcW w:type="dxa" w:w="7488"/>
            <w:tcMar>
              <w:top w:w="80" w:type="dxa"/>
              <w:start w:w="90" w:type="dxa"/>
              <w:bottom w:w="80" w:type="dxa"/>
              <w:end w:w="90" w:type="dxa"/>
            </w:tcMar>
            <w:vAlign w:val="top"/>
          </w:tcPr>
          <w:p>
            <w:pPr>
              <w:spacing w:after="0"/>
            </w:pPr>
            <w:r>
              <w:rPr>
                <w:rFonts w:ascii="Aptos" w:hAnsi="Aptos"/>
                <w:sz w:val="18"/>
              </w:rPr>
              <w:t>The authoritative graph of nodes, edges, junctions, boundaries, supports and relationships.</w:t>
            </w:r>
          </w:p>
        </w:tc>
      </w:tr>
      <w:tr>
        <w:trPr>
          <w:cantSplit w:val="true"/>
        </w:trPr>
        <w:tc>
          <w:tcPr>
            <w:tcW w:type="dxa" w:w="2592"/>
            <w:tcMar>
              <w:top w:w="80" w:type="dxa"/>
              <w:start w:w="90" w:type="dxa"/>
              <w:bottom w:w="80" w:type="dxa"/>
              <w:end w:w="90" w:type="dxa"/>
            </w:tcMar>
            <w:vAlign w:val="top"/>
          </w:tcPr>
          <w:p>
            <w:pPr>
              <w:spacing w:after="0"/>
            </w:pPr>
            <w:r>
              <w:rPr>
                <w:rFonts w:ascii="Aptos" w:hAnsi="Aptos"/>
                <w:sz w:val="18"/>
              </w:rPr>
              <w:t>Logical node</w:t>
            </w:r>
          </w:p>
        </w:tc>
        <w:tc>
          <w:tcPr>
            <w:tcW w:type="dxa" w:w="7488"/>
            <w:tcMar>
              <w:top w:w="80" w:type="dxa"/>
              <w:start w:w="90" w:type="dxa"/>
              <w:bottom w:w="80" w:type="dxa"/>
              <w:end w:w="90" w:type="dxa"/>
            </w:tcMar>
            <w:vAlign w:val="top"/>
          </w:tcPr>
          <w:p>
            <w:pPr>
              <w:spacing w:after="0"/>
            </w:pPr>
            <w:r>
              <w:rPr>
                <w:rFonts w:ascii="Aptos" w:hAnsi="Aptos"/>
                <w:sz w:val="18"/>
              </w:rPr>
              <w:t>A topology node after approved micro-component consumption or micro-gap snapping.</w:t>
            </w:r>
          </w:p>
        </w:tc>
      </w:tr>
      <w:tr>
        <w:trPr>
          <w:cantSplit w:val="true"/>
        </w:trPr>
        <w:tc>
          <w:tcPr>
            <w:tcW w:type="dxa" w:w="2592"/>
            <w:tcMar>
              <w:top w:w="80" w:type="dxa"/>
              <w:start w:w="90" w:type="dxa"/>
              <w:bottom w:w="80" w:type="dxa"/>
              <w:end w:w="90" w:type="dxa"/>
            </w:tcMar>
            <w:vAlign w:val="top"/>
          </w:tcPr>
          <w:p>
            <w:pPr>
              <w:spacing w:after="0"/>
            </w:pPr>
            <w:r>
              <w:rPr>
                <w:rFonts w:ascii="Aptos" w:hAnsi="Aptos"/>
                <w:sz w:val="18"/>
              </w:rPr>
              <w:t>Historical node</w:t>
            </w:r>
          </w:p>
        </w:tc>
        <w:tc>
          <w:tcPr>
            <w:tcW w:type="dxa" w:w="7488"/>
            <w:tcMar>
              <w:top w:w="80" w:type="dxa"/>
              <w:start w:w="90" w:type="dxa"/>
              <w:bottom w:w="80" w:type="dxa"/>
              <w:end w:w="90" w:type="dxa"/>
            </w:tcMar>
            <w:vAlign w:val="top"/>
          </w:tcPr>
          <w:p>
            <w:pPr>
              <w:spacing w:after="0"/>
            </w:pPr>
            <w:r>
              <w:rPr>
                <w:rFonts w:ascii="Aptos" w:hAnsi="Aptos"/>
                <w:sz w:val="18"/>
              </w:rPr>
              <w:t>A persistent engineering identity retained across revisions.</w:t>
            </w:r>
          </w:p>
        </w:tc>
      </w:tr>
      <w:tr>
        <w:trPr>
          <w:cantSplit w:val="true"/>
        </w:trPr>
        <w:tc>
          <w:tcPr>
            <w:tcW w:type="dxa" w:w="2592"/>
            <w:tcMar>
              <w:top w:w="80" w:type="dxa"/>
              <w:start w:w="90" w:type="dxa"/>
              <w:bottom w:w="80" w:type="dxa"/>
              <w:end w:w="90" w:type="dxa"/>
            </w:tcMar>
            <w:vAlign w:val="top"/>
          </w:tcPr>
          <w:p>
            <w:pPr>
              <w:spacing w:after="0"/>
            </w:pPr>
            <w:r>
              <w:rPr>
                <w:rFonts w:ascii="Aptos" w:hAnsi="Aptos"/>
                <w:sz w:val="18"/>
              </w:rPr>
              <w:t>Engineering node number</w:t>
            </w:r>
          </w:p>
        </w:tc>
        <w:tc>
          <w:tcPr>
            <w:tcW w:type="dxa" w:w="7488"/>
            <w:tcMar>
              <w:top w:w="80" w:type="dxa"/>
              <w:start w:w="90" w:type="dxa"/>
              <w:bottom w:w="80" w:type="dxa"/>
              <w:end w:w="90" w:type="dxa"/>
            </w:tcMar>
            <w:vAlign w:val="top"/>
          </w:tcPr>
          <w:p>
            <w:pPr>
              <w:spacing w:after="0"/>
            </w:pPr>
            <w:r>
              <w:rPr>
                <w:rFonts w:ascii="Aptos" w:hAnsi="Aptos"/>
                <w:sz w:val="18"/>
              </w:rPr>
              <w:t>The numeric node identifier emitted to PSI XML, InputXML and CII.</w:t>
            </w:r>
          </w:p>
        </w:tc>
      </w:tr>
      <w:tr>
        <w:trPr>
          <w:cantSplit w:val="true"/>
        </w:trPr>
        <w:tc>
          <w:tcPr>
            <w:tcW w:type="dxa" w:w="2592"/>
            <w:tcMar>
              <w:top w:w="80" w:type="dxa"/>
              <w:start w:w="90" w:type="dxa"/>
              <w:bottom w:w="80" w:type="dxa"/>
              <w:end w:w="90" w:type="dxa"/>
            </w:tcMar>
            <w:vAlign w:val="top"/>
          </w:tcPr>
          <w:p>
            <w:pPr>
              <w:spacing w:after="0"/>
            </w:pPr>
            <w:r>
              <w:rPr>
                <w:rFonts w:ascii="Aptos" w:hAnsi="Aptos"/>
                <w:sz w:val="18"/>
              </w:rPr>
              <w:t>Node plan</w:t>
            </w:r>
          </w:p>
        </w:tc>
        <w:tc>
          <w:tcPr>
            <w:tcW w:type="dxa" w:w="7488"/>
            <w:tcMar>
              <w:top w:w="80" w:type="dxa"/>
              <w:start w:w="90" w:type="dxa"/>
              <w:bottom w:w="80" w:type="dxa"/>
              <w:end w:w="90" w:type="dxa"/>
            </w:tcMar>
            <w:vAlign w:val="top"/>
          </w:tcPr>
          <w:p>
            <w:pPr>
              <w:spacing w:after="0"/>
            </w:pPr>
            <w:r>
              <w:rPr>
                <w:rFonts w:ascii="Aptos" w:hAnsi="Aptos"/>
                <w:sz w:val="18"/>
              </w:rPr>
              <w:t>The immutable mapping from logical and historical identities to emitted writer nodes and numbers.</w:t>
            </w:r>
          </w:p>
        </w:tc>
      </w:tr>
      <w:tr>
        <w:trPr>
          <w:cantSplit w:val="true"/>
        </w:trPr>
        <w:tc>
          <w:tcPr>
            <w:tcW w:type="dxa" w:w="2592"/>
            <w:tcMar>
              <w:top w:w="80" w:type="dxa"/>
              <w:start w:w="90" w:type="dxa"/>
              <w:bottom w:w="80" w:type="dxa"/>
              <w:end w:w="90" w:type="dxa"/>
            </w:tcMar>
            <w:vAlign w:val="top"/>
          </w:tcPr>
          <w:p>
            <w:pPr>
              <w:spacing w:after="0"/>
            </w:pPr>
            <w:r>
              <w:rPr>
                <w:rFonts w:ascii="Aptos" w:hAnsi="Aptos"/>
                <w:sz w:val="18"/>
              </w:rPr>
              <w:t>Assurance ledger</w:t>
            </w:r>
          </w:p>
        </w:tc>
        <w:tc>
          <w:tcPr>
            <w:tcW w:type="dxa" w:w="7488"/>
            <w:tcMar>
              <w:top w:w="80" w:type="dxa"/>
              <w:start w:w="90" w:type="dxa"/>
              <w:bottom w:w="80" w:type="dxa"/>
              <w:end w:w="90" w:type="dxa"/>
            </w:tcMar>
            <w:vAlign w:val="top"/>
          </w:tcPr>
          <w:p>
            <w:pPr>
              <w:spacing w:after="0"/>
            </w:pPr>
            <w:r>
              <w:rPr>
                <w:rFonts w:ascii="Aptos" w:hAnsi="Aptos"/>
                <w:sz w:val="18"/>
              </w:rPr>
              <w:t>A fail-closed report proving required contracts, hashes, parity and evidence.</w:t>
            </w:r>
          </w:p>
        </w:tc>
      </w:tr>
      <w:tr>
        <w:trPr>
          <w:cantSplit w:val="true"/>
        </w:trPr>
        <w:tc>
          <w:tcPr>
            <w:tcW w:type="dxa" w:w="2592"/>
            <w:tcMar>
              <w:top w:w="80" w:type="dxa"/>
              <w:start w:w="90" w:type="dxa"/>
              <w:bottom w:w="80" w:type="dxa"/>
              <w:end w:w="90" w:type="dxa"/>
            </w:tcMar>
            <w:vAlign w:val="top"/>
          </w:tcPr>
          <w:p>
            <w:pPr>
              <w:spacing w:after="0"/>
            </w:pPr>
            <w:r>
              <w:rPr>
                <w:rFonts w:ascii="Aptos" w:hAnsi="Aptos"/>
                <w:sz w:val="18"/>
              </w:rPr>
              <w:t>Projection ledger</w:t>
            </w:r>
          </w:p>
        </w:tc>
        <w:tc>
          <w:tcPr>
            <w:tcW w:type="dxa" w:w="7488"/>
            <w:tcMar>
              <w:top w:w="80" w:type="dxa"/>
              <w:start w:w="90" w:type="dxa"/>
              <w:bottom w:w="80" w:type="dxa"/>
              <w:end w:w="90" w:type="dxa"/>
            </w:tcMar>
            <w:vAlign w:val="top"/>
          </w:tcPr>
          <w:p>
            <w:pPr>
              <w:spacing w:after="0"/>
            </w:pPr>
            <w:r>
              <w:rPr>
                <w:rFonts w:ascii="Aptos" w:hAnsi="Aptos"/>
                <w:sz w:val="18"/>
              </w:rPr>
              <w:t>Evidence that canonical InputXML fields and topology reached CII without forbidden loss.</w:t>
            </w:r>
          </w:p>
        </w:tc>
      </w:tr>
    </w:tbl>
    <w:p>
      <w:pPr>
        <w:spacing w:after="0"/>
      </w:pPr>
    </w:p>
    <w:p>
      <w:pPr>
        <w:pStyle w:val="Heading1"/>
        <w:keepNext/>
      </w:pPr>
      <w:r>
        <w:t>Appendix B - Repository references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880"/>
            <w:shd w:fill="D9E2F3"/>
            <w:tcMar>
              <w:top w:w="90" w:type="dxa"/>
              <w:start w:w="90" w:type="dxa"/>
              <w:bottom w:w="90" w:type="dxa"/>
              <w:end w:w="90" w:type="dxa"/>
            </w:tcMar>
            <w:vAlign w:val="center"/>
          </w:tcPr>
          <w:p>
            <w:pPr>
              <w:jc w:val="left"/>
            </w:pPr>
            <w:r>
              <w:rPr>
                <w:rFonts w:ascii="Aptos" w:hAnsi="Aptos"/>
                <w:b/>
                <w:color w:val="1F3757"/>
                <w:sz w:val="17"/>
              </w:rPr>
              <w:t>Reference</w:t>
            </w:r>
          </w:p>
        </w:tc>
        <w:tc>
          <w:tcPr>
            <w:tcW w:type="dxa" w:w="7200"/>
            <w:shd w:fill="D9E2F3"/>
            <w:tcMar>
              <w:top w:w="90" w:type="dxa"/>
              <w:start w:w="90" w:type="dxa"/>
              <w:bottom w:w="90" w:type="dxa"/>
              <w:end w:w="90" w:type="dxa"/>
            </w:tcMar>
            <w:vAlign w:val="center"/>
          </w:tcPr>
          <w:p>
            <w:pPr>
              <w:jc w:val="left"/>
            </w:pPr>
            <w:r>
              <w:rPr>
                <w:rFonts w:ascii="Aptos" w:hAnsi="Aptos"/>
                <w:b/>
                <w:color w:val="1F3757"/>
                <w:sz w:val="17"/>
              </w:rPr>
              <w:t>Relevance</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7"/>
              </w:rPr>
              <w:t>PR #201</w:t>
            </w:r>
          </w:p>
        </w:tc>
        <w:tc>
          <w:tcPr>
            <w:tcW w:type="dxa" w:w="7200"/>
            <w:tcMar>
              <w:top w:w="80" w:type="dxa"/>
              <w:start w:w="90" w:type="dxa"/>
              <w:bottom w:w="80" w:type="dxa"/>
              <w:end w:w="90" w:type="dxa"/>
            </w:tcMar>
            <w:vAlign w:val="top"/>
          </w:tcPr>
          <w:p>
            <w:pPr>
              <w:spacing w:after="0"/>
            </w:pPr>
            <w:r>
              <w:rPr>
                <w:rFonts w:ascii="Aptos" w:hAnsi="Aptos"/>
                <w:sz w:val="17"/>
              </w:rPr>
              <w:t>Single-object-root stagedJson enrichment shape preservation; merged as e1c25d4850b683433751761f3484943e6e2f7462.</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7"/>
              </w:rPr>
              <w:t>sj-xml-writer.js</w:t>
            </w:r>
          </w:p>
        </w:tc>
        <w:tc>
          <w:tcPr>
            <w:tcW w:type="dxa" w:w="7200"/>
            <w:tcMar>
              <w:top w:w="80" w:type="dxa"/>
              <w:start w:w="90" w:type="dxa"/>
              <w:bottom w:w="80" w:type="dxa"/>
              <w:end w:w="90" w:type="dxa"/>
            </w:tcMar>
            <w:vAlign w:val="top"/>
          </w:tcPr>
          <w:p>
            <w:pPr>
              <w:spacing w:after="0"/>
            </w:pPr>
            <w:r>
              <w:rPr>
                <w:rFonts w:ascii="Aptos" w:hAnsi="Aptos"/>
                <w:sz w:val="17"/>
              </w:rPr>
              <w:t>Current PSI XML writer and current writer-owned numbering behaviour.</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7"/>
              </w:rPr>
              <w:t>sj-node-contract.js</w:t>
            </w:r>
          </w:p>
        </w:tc>
        <w:tc>
          <w:tcPr>
            <w:tcW w:type="dxa" w:w="7200"/>
            <w:tcMar>
              <w:top w:w="80" w:type="dxa"/>
              <w:start w:w="90" w:type="dxa"/>
              <w:bottom w:w="80" w:type="dxa"/>
              <w:end w:w="90" w:type="dxa"/>
            </w:tcMar>
            <w:vAlign w:val="top"/>
          </w:tcPr>
          <w:p>
            <w:pPr>
              <w:spacing w:after="0"/>
            </w:pPr>
            <w:r>
              <w:rPr>
                <w:rFonts w:ascii="Aptos" w:hAnsi="Aptos"/>
                <w:sz w:val="17"/>
              </w:rPr>
              <w:t>Current component-to-node projection cardinality and node-role behaviour.</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7"/>
              </w:rPr>
              <w:t>sj-sequence-plan.js</w:t>
            </w:r>
          </w:p>
        </w:tc>
        <w:tc>
          <w:tcPr>
            <w:tcW w:type="dxa" w:w="7200"/>
            <w:tcMar>
              <w:top w:w="80" w:type="dxa"/>
              <w:start w:w="90" w:type="dxa"/>
              <w:bottom w:w="80" w:type="dxa"/>
              <w:end w:w="90" w:type="dxa"/>
            </w:tcMar>
            <w:vAlign w:val="top"/>
          </w:tcPr>
          <w:p>
            <w:pPr>
              <w:spacing w:after="0"/>
            </w:pPr>
            <w:r>
              <w:rPr>
                <w:rFonts w:ascii="Aptos" w:hAnsi="Aptos"/>
                <w:sz w:val="17"/>
              </w:rPr>
              <w:t>Current immutable source-sequence evidence.</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7"/>
              </w:rPr>
              <w:t>sj-sequential-writer-shadow.js</w:t>
            </w:r>
          </w:p>
        </w:tc>
        <w:tc>
          <w:tcPr>
            <w:tcW w:type="dxa" w:w="7200"/>
            <w:tcMar>
              <w:top w:w="80" w:type="dxa"/>
              <w:start w:w="90" w:type="dxa"/>
              <w:bottom w:w="80" w:type="dxa"/>
              <w:end w:w="90" w:type="dxa"/>
            </w:tcMar>
            <w:vAlign w:val="top"/>
          </w:tcPr>
          <w:p>
            <w:pPr>
              <w:spacing w:after="0"/>
            </w:pPr>
            <w:r>
              <w:rPr>
                <w:rFonts w:ascii="Aptos" w:hAnsi="Aptos"/>
                <w:sz w:val="17"/>
              </w:rPr>
              <w:t>Current canonical/sequential selection path.</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7"/>
              </w:rPr>
              <w:t>sj-xml-writer-parity.js</w:t>
            </w:r>
          </w:p>
        </w:tc>
        <w:tc>
          <w:tcPr>
            <w:tcW w:type="dxa" w:w="7200"/>
            <w:tcMar>
              <w:top w:w="80" w:type="dxa"/>
              <w:start w:w="90" w:type="dxa"/>
              <w:bottom w:w="80" w:type="dxa"/>
              <w:end w:w="90" w:type="dxa"/>
            </w:tcMar>
            <w:vAlign w:val="top"/>
          </w:tcPr>
          <w:p>
            <w:pPr>
              <w:spacing w:after="0"/>
            </w:pPr>
            <w:r>
              <w:rPr>
                <w:rFonts w:ascii="Aptos" w:hAnsi="Aptos"/>
                <w:sz w:val="17"/>
              </w:rPr>
              <w:t>Current writer parity and selection blockers.</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7"/>
              </w:rPr>
              <w:t>topology-canonical-builder.js</w:t>
            </w:r>
          </w:p>
        </w:tc>
        <w:tc>
          <w:tcPr>
            <w:tcW w:type="dxa" w:w="7200"/>
            <w:tcMar>
              <w:top w:w="80" w:type="dxa"/>
              <w:start w:w="90" w:type="dxa"/>
              <w:bottom w:w="80" w:type="dxa"/>
              <w:end w:w="90" w:type="dxa"/>
            </w:tcMar>
            <w:vAlign w:val="top"/>
          </w:tcPr>
          <w:p>
            <w:pPr>
              <w:spacing w:after="0"/>
            </w:pPr>
            <w:r>
              <w:rPr>
                <w:rFonts w:ascii="Aptos" w:hAnsi="Aptos"/>
                <w:sz w:val="17"/>
              </w:rPr>
              <w:t>Canonical component topology construction and independent node-number projection.</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7"/>
              </w:rPr>
              <w:t>topology-connectivity.js</w:t>
            </w:r>
          </w:p>
        </w:tc>
        <w:tc>
          <w:tcPr>
            <w:tcW w:type="dxa" w:w="7200"/>
            <w:tcMar>
              <w:top w:w="80" w:type="dxa"/>
              <w:start w:w="90" w:type="dxa"/>
              <w:bottom w:w="80" w:type="dxa"/>
              <w:end w:w="90" w:type="dxa"/>
            </w:tcMar>
            <w:vAlign w:val="top"/>
          </w:tcPr>
          <w:p>
            <w:pPr>
              <w:spacing w:after="0"/>
            </w:pPr>
            <w:r>
              <w:rPr>
                <w:rFonts w:ascii="Aptos" w:hAnsi="Aptos"/>
                <w:sz w:val="17"/>
              </w:rPr>
              <w:t>Explicit source order/reference connectivity authority.</w:t>
            </w:r>
          </w:p>
        </w:tc>
      </w:tr>
      <w:tr>
        <w:trPr>
          <w:cantSplit w:val="true"/>
        </w:trPr>
        <w:tc>
          <w:tcPr>
            <w:tcW w:type="dxa" w:w="2880"/>
            <w:tcMar>
              <w:top w:w="80" w:type="dxa"/>
              <w:start w:w="90" w:type="dxa"/>
              <w:bottom w:w="80" w:type="dxa"/>
              <w:end w:w="90" w:type="dxa"/>
            </w:tcMar>
            <w:vAlign w:val="top"/>
          </w:tcPr>
          <w:p>
            <w:pPr>
              <w:spacing w:after="0"/>
            </w:pPr>
            <w:r>
              <w:rPr>
                <w:rFonts w:ascii="Aptos" w:hAnsi="Aptos"/>
                <w:sz w:val="17"/>
              </w:rPr>
              <w:t>inputxml_assurance_ledger.py</w:t>
            </w:r>
          </w:p>
        </w:tc>
        <w:tc>
          <w:tcPr>
            <w:tcW w:type="dxa" w:w="7200"/>
            <w:tcMar>
              <w:top w:w="80" w:type="dxa"/>
              <w:start w:w="90" w:type="dxa"/>
              <w:bottom w:w="80" w:type="dxa"/>
              <w:end w:w="90" w:type="dxa"/>
            </w:tcMar>
            <w:vAlign w:val="top"/>
          </w:tcPr>
          <w:p>
            <w:pPr>
              <w:spacing w:after="0"/>
            </w:pPr>
            <w:r>
              <w:rPr>
                <w:rFonts w:ascii="Aptos" w:hAnsi="Aptos"/>
                <w:sz w:val="17"/>
              </w:rPr>
              <w:t>Pre-writer InputXML-to-CII assurance consumer.</w:t>
            </w:r>
          </w:p>
        </w:tc>
      </w:tr>
    </w:tbl>
    <w:p>
      <w:pPr>
        <w:spacing w:after="0"/>
      </w:pPr>
    </w:p>
    <w:sectPr w:rsidR="00FC693F" w:rsidRPr="0006063C" w:rsidSect="00034616">
      <w:headerReference w:type="default" r:id="rId9"/>
      <w:footerReference w:type="default" r:id="rId10"/>
      <w:pgSz w:w="12240" w:h="15840"/>
      <w:pgMar w:top="936" w:right="1037" w:bottom="864"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E6E6E"/>
        <w:sz w:val="16"/>
      </w:rPr>
      <w:t>Concept baseline: 19 July 2026 | Repository: reallaksh19/3D_Converters</w:t>
    </w:r>
  </w:p>
  <w:p>
    <w:pPr>
      <w:jc w:val="right"/>
    </w:pPr>
    <w:r>
      <w:rPr>
        <w:rFonts w:ascii="Aptos" w:hAnsi="Aptos"/>
        <w:color w:val="5F6368"/>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7"/>
      </w:rPr>
      <w:t>3D_Converters | InputXML Upgrade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5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Label">
    <w:name w:val="Doc Label"/>
    <w:rPr>
      <w:rFonts w:ascii="Aptos" w:hAnsi="Aptos"/>
      <w:b/>
      <w:color w:val="5F63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InputXML Upgrade Concept Document</dc:title>
  <dc:subject>Canonical engineering model, deterministic node identity, topology assurance and CII(2019) projection</dc:subject>
  <dc:creator>OpenAI</dc:creator>
  <cp:keywords>InputXML, CII 2019, topology, node history, node numbering, assurance, 3D_Converters</cp:keywords>
  <dc:description>Concept document for InputXML Upgrade. XML Upgrade is explicitly out of scope.</dc:description>
  <cp:lastModifiedBy/>
  <cp:revision>1</cp:revision>
  <dcterms:created xsi:type="dcterms:W3CDTF">2013-12-23T23:15:00Z</dcterms:created>
  <dcterms:modified xsi:type="dcterms:W3CDTF">2013-12-23T23:15:00Z</dcterms:modified>
  <cp:category/>
</cp:coreProperties>
</file>