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2F5597"/>
          <w:sz w:val="28"/>
        </w:rPr>
        <w:t>ADDENDUM</w:t>
      </w:r>
    </w:p>
    <w:p>
      <w:pPr>
        <w:pStyle w:val="Title"/>
        <w:jc w:val="center"/>
      </w:pPr>
      <w:r>
        <w:t>Remaining Decisions, Assurance Boundaries</w:t>
        <w:br/>
        <w:t>and Delivery Governance</w:t>
      </w:r>
    </w:p>
    <w:p>
      <w:pPr>
        <w:pStyle w:val="Subtitle"/>
        <w:jc w:val="center"/>
      </w:pPr>
      <w:r>
        <w:t>Companion to “Historical Node Numbering and Micro-Geometry Preprocessor” — Revision 3</w:t>
      </w:r>
    </w:p>
    <w:p>
      <w:pPr>
        <w:jc w:val="center"/>
      </w:pPr>
      <w:r>
        <w:rPr>
          <w:rFonts w:ascii="Aptos" w:hAnsi="Aptos"/>
          <w:color w:val="2F5597"/>
          <w:sz w:val="20"/>
        </w:rPr>
        <w:t>━━━━━━━━━━━━━━━━━━━━━━━━━━━━━━━━━━━━━━━━━━━━━━━━━━━━━━━━━━━━━━</w:t>
      </w:r>
    </w:p>
    <w:p>
      <w:pPr>
        <w:spacing w:before="360"/>
        <w:jc w:val="center"/>
      </w:pPr>
      <w:r>
        <w:rPr>
          <w:rFonts w:ascii="Aptos" w:hAnsi="Aptos"/>
          <w:b/>
          <w:color w:val="17365D"/>
          <w:sz w:val="22"/>
        </w:rPr>
        <w:t>Purpose</w:t>
      </w:r>
    </w:p>
    <w:p>
      <w:pPr>
        <w:ind w:left="1440" w:right="1440"/>
        <w:jc w:val="center"/>
      </w:pPr>
      <w:r>
        <w:rPr>
          <w:rFonts w:ascii="Aptos" w:hAnsi="Aptos"/>
          <w:color w:val="1F2937"/>
          <w:sz w:val="21"/>
        </w:rPr>
        <w:t>Separate the remaining programme work into evidence-gated engineering decisions, broader assurance obligations outside the core concept, and a controlled orchestrator/coding-agent delivery model.</w:t>
      </w:r>
    </w:p>
    <w:p>
      <w:pPr>
        <w:spacing w:before="960"/>
      </w:pPr>
      <w:r>
        <w:rPr>
          <w:rFonts w:ascii="Aptos" w:hAnsi="Aptos"/>
          <w:b/>
          <w:color w:val="17365D"/>
          <w:sz w:val="20"/>
        </w:rPr>
        <w:t>Document control</w:t>
      </w:r>
    </w:p>
    <w:tbl>
      <w:tblPr>
        <w:tblStyle w:val="TableGrid"/>
        <w:tblW w:type="auto" w:w="0"/>
        <w:jc w:val="center"/>
        <w:tblLook w:firstColumn="1" w:firstRow="1" w:lastColumn="0" w:lastRow="0" w:noHBand="0" w:noVBand="1" w:val="04A0"/>
      </w:tblPr>
      <w:tblGrid>
        <w:gridCol w:w="5083"/>
        <w:gridCol w:w="5083"/>
      </w:tblGrid>
      <w:tr>
        <w:tc>
          <w:tcPr>
            <w:tcW w:type="dxa" w:w="2592"/>
            <w:shd w:fill="D9EAF7"/>
            <w:tcMar>
              <w:top w:w="80" w:type="dxa"/>
              <w:start w:w="90" w:type="dxa"/>
              <w:bottom w:w="80" w:type="dxa"/>
              <w:end w:w="90" w:type="dxa"/>
            </w:tcMar>
            <w:vAlign w:val="center"/>
          </w:tcPr>
          <w:p>
            <w:pPr>
              <w:spacing w:before="0" w:after="0" w:line="259" w:lineRule="auto"/>
            </w:pPr>
            <w:r>
              <w:rPr>
                <w:rFonts w:ascii="Aptos" w:hAnsi="Aptos"/>
                <w:b w:val="0"/>
                <w:sz w:val="18"/>
              </w:rPr>
              <w:t>Document status</w:t>
            </w:r>
          </w:p>
        </w:tc>
        <w:tc>
          <w:tcPr>
            <w:tcW w:type="dxa" w:w="7056"/>
            <w:tcMar>
              <w:top w:w="80" w:type="dxa"/>
              <w:start w:w="90" w:type="dxa"/>
              <w:bottom w:w="80" w:type="dxa"/>
              <w:end w:w="90" w:type="dxa"/>
            </w:tcMar>
            <w:vAlign w:val="center"/>
          </w:tcPr>
          <w:p>
            <w:pPr>
              <w:spacing w:before="0" w:after="0" w:line="259" w:lineRule="auto"/>
            </w:pPr>
            <w:r>
              <w:rPr>
                <w:rFonts w:ascii="Aptos" w:hAnsi="Aptos"/>
                <w:b w:val="0"/>
                <w:sz w:val="18"/>
              </w:rPr>
              <w:t>Proposed addendum for programme review</w:t>
            </w:r>
          </w:p>
        </w:tc>
      </w:tr>
      <w:tr>
        <w:tc>
          <w:tcPr>
            <w:tcW w:type="dxa" w:w="2592"/>
            <w:shd w:fill="D9EAF7"/>
            <w:tcMar>
              <w:top w:w="80" w:type="dxa"/>
              <w:start w:w="90" w:type="dxa"/>
              <w:bottom w:w="80" w:type="dxa"/>
              <w:end w:w="90" w:type="dxa"/>
            </w:tcMar>
            <w:vAlign w:val="center"/>
          </w:tcPr>
          <w:p>
            <w:pPr>
              <w:spacing w:before="0" w:after="0" w:line="259" w:lineRule="auto"/>
            </w:pPr>
            <w:r>
              <w:rPr>
                <w:rFonts w:ascii="Aptos" w:hAnsi="Aptos"/>
                <w:b w:val="0"/>
                <w:sz w:val="18"/>
              </w:rPr>
              <w:t>Related architecture</w:t>
            </w:r>
          </w:p>
        </w:tc>
        <w:tc>
          <w:tcPr>
            <w:tcW w:type="dxa" w:w="7056"/>
            <w:tcMar>
              <w:top w:w="80" w:type="dxa"/>
              <w:start w:w="90" w:type="dxa"/>
              <w:bottom w:w="80" w:type="dxa"/>
              <w:end w:w="90" w:type="dxa"/>
            </w:tcMar>
            <w:vAlign w:val="center"/>
          </w:tcPr>
          <w:p>
            <w:pPr>
              <w:spacing w:before="0" w:after="0" w:line="259" w:lineRule="auto"/>
            </w:pPr>
            <w:r>
              <w:rPr>
                <w:rFonts w:ascii="Aptos" w:hAnsi="Aptos"/>
                <w:b w:val="0"/>
                <w:sz w:val="18"/>
              </w:rPr>
              <w:t>Historical Node Numbering and Micro-Geometry Preprocessor — Revision 3</w:t>
            </w:r>
          </w:p>
        </w:tc>
      </w:tr>
      <w:tr>
        <w:tc>
          <w:tcPr>
            <w:tcW w:type="dxa" w:w="2592"/>
            <w:shd w:fill="D9EAF7"/>
            <w:tcMar>
              <w:top w:w="80" w:type="dxa"/>
              <w:start w:w="90" w:type="dxa"/>
              <w:bottom w:w="80" w:type="dxa"/>
              <w:end w:w="90" w:type="dxa"/>
            </w:tcMar>
            <w:vAlign w:val="center"/>
          </w:tcPr>
          <w:p>
            <w:pPr>
              <w:spacing w:before="0" w:after="0" w:line="259" w:lineRule="auto"/>
            </w:pPr>
            <w:r>
              <w:rPr>
                <w:rFonts w:ascii="Aptos" w:hAnsi="Aptos"/>
                <w:b w:val="0"/>
                <w:sz w:val="18"/>
              </w:rPr>
              <w:t>Addendum version</w:t>
            </w:r>
          </w:p>
        </w:tc>
        <w:tc>
          <w:tcPr>
            <w:tcW w:type="dxa" w:w="7056"/>
            <w:tcMar>
              <w:top w:w="80" w:type="dxa"/>
              <w:start w:w="90" w:type="dxa"/>
              <w:bottom w:w="80" w:type="dxa"/>
              <w:end w:w="90" w:type="dxa"/>
            </w:tcMar>
            <w:vAlign w:val="center"/>
          </w:tcPr>
          <w:p>
            <w:pPr>
              <w:spacing w:before="0" w:after="0" w:line="259" w:lineRule="auto"/>
            </w:pPr>
            <w:r>
              <w:rPr>
                <w:rFonts w:ascii="Aptos" w:hAnsi="Aptos"/>
                <w:b w:val="0"/>
                <w:sz w:val="18"/>
              </w:rPr>
              <w:t>1.0</w:t>
            </w:r>
          </w:p>
        </w:tc>
      </w:tr>
      <w:tr>
        <w:tc>
          <w:tcPr>
            <w:tcW w:type="dxa" w:w="2592"/>
            <w:shd w:fill="D9EAF7"/>
            <w:tcMar>
              <w:top w:w="80" w:type="dxa"/>
              <w:start w:w="90" w:type="dxa"/>
              <w:bottom w:w="80" w:type="dxa"/>
              <w:end w:w="90" w:type="dxa"/>
            </w:tcMar>
            <w:vAlign w:val="center"/>
          </w:tcPr>
          <w:p>
            <w:pPr>
              <w:spacing w:before="0" w:after="0" w:line="259" w:lineRule="auto"/>
            </w:pPr>
            <w:r>
              <w:rPr>
                <w:rFonts w:ascii="Aptos" w:hAnsi="Aptos"/>
                <w:b w:val="0"/>
                <w:sz w:val="18"/>
              </w:rPr>
              <w:t>Prepared date</w:t>
            </w:r>
          </w:p>
        </w:tc>
        <w:tc>
          <w:tcPr>
            <w:tcW w:type="dxa" w:w="7056"/>
            <w:tcMar>
              <w:top w:w="80" w:type="dxa"/>
              <w:start w:w="90" w:type="dxa"/>
              <w:bottom w:w="80" w:type="dxa"/>
              <w:end w:w="90" w:type="dxa"/>
            </w:tcMar>
            <w:vAlign w:val="center"/>
          </w:tcPr>
          <w:p>
            <w:pPr>
              <w:spacing w:before="0" w:after="0" w:line="259" w:lineRule="auto"/>
            </w:pPr>
            <w:r>
              <w:rPr>
                <w:rFonts w:ascii="Aptos" w:hAnsi="Aptos"/>
                <w:b w:val="0"/>
                <w:sz w:val="18"/>
              </w:rPr>
              <w:t>19 July 2026</w:t>
            </w:r>
          </w:p>
        </w:tc>
      </w:tr>
      <w:tr>
        <w:tc>
          <w:tcPr>
            <w:tcW w:type="dxa" w:w="2592"/>
            <w:shd w:fill="D9EAF7"/>
            <w:tcMar>
              <w:top w:w="80" w:type="dxa"/>
              <w:start w:w="90" w:type="dxa"/>
              <w:bottom w:w="80" w:type="dxa"/>
              <w:end w:w="90" w:type="dxa"/>
            </w:tcMar>
            <w:vAlign w:val="center"/>
          </w:tcPr>
          <w:p>
            <w:pPr>
              <w:spacing w:before="0" w:after="0" w:line="259" w:lineRule="auto"/>
            </w:pPr>
            <w:r>
              <w:rPr>
                <w:rFonts w:ascii="Aptos" w:hAnsi="Aptos"/>
                <w:b w:val="0"/>
                <w:sz w:val="18"/>
              </w:rPr>
              <w:t>Primary audience</w:t>
            </w:r>
          </w:p>
        </w:tc>
        <w:tc>
          <w:tcPr>
            <w:tcW w:type="dxa" w:w="7056"/>
            <w:tcMar>
              <w:top w:w="80" w:type="dxa"/>
              <w:start w:w="90" w:type="dxa"/>
              <w:bottom w:w="80" w:type="dxa"/>
              <w:end w:w="90" w:type="dxa"/>
            </w:tcMar>
            <w:vAlign w:val="center"/>
          </w:tcPr>
          <w:p>
            <w:pPr>
              <w:spacing w:before="0" w:after="0" w:line="259" w:lineRule="auto"/>
            </w:pPr>
            <w:r>
              <w:rPr>
                <w:rFonts w:ascii="Aptos" w:hAnsi="Aptos"/>
                <w:b w:val="0"/>
                <w:sz w:val="18"/>
              </w:rPr>
              <w:t>Orchestrator, coding agents, independent reviewers, engineering approvers</w:t>
            </w:r>
          </w:p>
        </w:tc>
      </w:tr>
    </w:tbl>
    <w:p>
      <w:pPr>
        <w:pStyle w:val="SmallNote"/>
        <w:spacing w:before="300"/>
        <w:jc w:val="center"/>
      </w:pPr>
      <w:r>
        <w:t>This addendum does not replace Revision 3. It controls unresolved decision closure, assurance interfaces, and delivery governance.</w:t>
      </w:r>
    </w:p>
    <w:p>
      <w:r>
        <w:br w:type="page"/>
      </w:r>
    </w:p>
    <w:p>
      <w:pPr>
        <w:pStyle w:val="Heading1"/>
      </w:pPr>
      <w:r>
        <w:t>Contents</w:t>
      </w:r>
    </w:p>
    <w:p>
      <w:pPr>
        <w:spacing w:after="60"/>
        <w:ind w:left="216"/>
      </w:pPr>
      <w:r>
        <w:rPr>
          <w:rFonts w:ascii="Aptos" w:hAnsi="Aptos"/>
          <w:color w:val="1F2937"/>
          <w:sz w:val="20"/>
        </w:rPr>
        <w:t>1. Executive summary</w:t>
      </w:r>
    </w:p>
    <w:p>
      <w:pPr>
        <w:spacing w:after="60"/>
        <w:ind w:left="216"/>
      </w:pPr>
      <w:r>
        <w:rPr>
          <w:rFonts w:ascii="Aptos" w:hAnsi="Aptos"/>
          <w:color w:val="1F2937"/>
          <w:sz w:val="20"/>
        </w:rPr>
        <w:t>2. Authority and use of this addendum</w:t>
      </w:r>
    </w:p>
    <w:p>
      <w:pPr>
        <w:spacing w:after="60"/>
        <w:ind w:left="216"/>
      </w:pPr>
      <w:r>
        <w:rPr>
          <w:rFonts w:ascii="Aptos" w:hAnsi="Aptos"/>
          <w:color w:val="1F2937"/>
          <w:sz w:val="20"/>
        </w:rPr>
        <w:t>3. Evidence-gated engineering decisions</w:t>
      </w:r>
    </w:p>
    <w:p>
      <w:pPr>
        <w:spacing w:after="60"/>
        <w:ind w:left="216"/>
      </w:pPr>
      <w:r>
        <w:rPr>
          <w:rFonts w:ascii="Aptos" w:hAnsi="Aptos"/>
          <w:color w:val="1F2937"/>
          <w:sz w:val="20"/>
        </w:rPr>
        <w:t>4. Broader assurance matters outside the core concept</w:t>
      </w:r>
    </w:p>
    <w:p>
      <w:pPr>
        <w:spacing w:after="60"/>
        <w:ind w:left="216"/>
      </w:pPr>
      <w:r>
        <w:rPr>
          <w:rFonts w:ascii="Aptos" w:hAnsi="Aptos"/>
          <w:color w:val="1F2937"/>
          <w:sz w:val="20"/>
        </w:rPr>
        <w:t>5. Delivery governance and agent operating model</w:t>
      </w:r>
    </w:p>
    <w:p>
      <w:pPr>
        <w:spacing w:after="60"/>
        <w:ind w:left="216"/>
      </w:pPr>
      <w:r>
        <w:rPr>
          <w:rFonts w:ascii="Aptos" w:hAnsi="Aptos"/>
          <w:color w:val="1F2937"/>
          <w:sz w:val="20"/>
        </w:rPr>
        <w:t>6. Integrated programme backlog and ownership matrix</w:t>
      </w:r>
    </w:p>
    <w:p>
      <w:pPr>
        <w:spacing w:after="60"/>
        <w:ind w:left="216"/>
      </w:pPr>
      <w:r>
        <w:rPr>
          <w:rFonts w:ascii="Aptos" w:hAnsi="Aptos"/>
          <w:color w:val="1F2937"/>
          <w:sz w:val="20"/>
        </w:rPr>
        <w:t>7. Decision and release gates</w:t>
      </w:r>
    </w:p>
    <w:p>
      <w:pPr>
        <w:spacing w:after="60"/>
        <w:ind w:left="216"/>
      </w:pPr>
      <w:r>
        <w:rPr>
          <w:rFonts w:ascii="Aptos" w:hAnsi="Aptos"/>
          <w:color w:val="1F2937"/>
          <w:sz w:val="20"/>
        </w:rPr>
        <w:t>Appendix A. Coding-agent task packet template</w:t>
      </w:r>
    </w:p>
    <w:p>
      <w:pPr>
        <w:spacing w:after="60"/>
        <w:ind w:left="216"/>
      </w:pPr>
      <w:r>
        <w:rPr>
          <w:rFonts w:ascii="Aptos" w:hAnsi="Aptos"/>
          <w:color w:val="1F2937"/>
          <w:sz w:val="20"/>
        </w:rPr>
        <w:t>Appendix B. Independent review-agent checklist</w:t>
      </w:r>
    </w:p>
    <w:p>
      <w:pPr>
        <w:spacing w:after="60"/>
        <w:ind w:left="216"/>
      </w:pPr>
      <w:r>
        <w:rPr>
          <w:rFonts w:ascii="Aptos" w:hAnsi="Aptos"/>
          <w:color w:val="1F2937"/>
          <w:sz w:val="20"/>
        </w:rPr>
        <w:t>Appendix C. Recommended repository and document layout</w:t>
      </w:r>
    </w:p>
    <w:p>
      <w:pPr>
        <w:pStyle w:val="Heading1"/>
      </w:pPr>
      <w:r>
        <w:t>1. Executive summary</w:t>
      </w:r>
    </w:p>
    <w:p>
      <w:r>
        <w:t>Revision 3 establishes the target engineering architecture: one normalized topology authority, one immutable node plan, zone-global engineering-number uniqueness, conservative historical matching, deterministic allocation, and a shared PSI serializer. The architecture is sufficiently complete to guide implementation.</w:t>
      </w:r>
    </w:p>
    <w:p>
      <w:r>
        <w:t>The remaining programme work is not one undifferentiated backlog. It falls into three classes with different owners and completion evidence: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7365D"/>
            <w:vAlign w:val="center"/>
          </w:tcPr>
          <w:p>
            <w:r>
              <w:rPr>
                <w:rFonts w:ascii="Aptos" w:hAnsi="Aptos"/>
                <w:b/>
                <w:color w:val="FFFFFF"/>
                <w:sz w:val="18"/>
              </w:rPr>
              <w:t>Class</w:t>
            </w:r>
          </w:p>
        </w:tc>
        <w:tc>
          <w:tcPr>
            <w:tcW w:type="dxa" w:w="3672"/>
            <w:shd w:fill="17365D"/>
            <w:vAlign w:val="center"/>
          </w:tcPr>
          <w:p>
            <w:r>
              <w:rPr>
                <w:rFonts w:ascii="Aptos" w:hAnsi="Aptos"/>
                <w:b/>
                <w:color w:val="FFFFFF"/>
                <w:sz w:val="18"/>
              </w:rPr>
              <w:t>Meaning</w:t>
            </w:r>
          </w:p>
        </w:tc>
        <w:tc>
          <w:tcPr>
            <w:tcW w:type="dxa" w:w="2088"/>
            <w:shd w:fill="17365D"/>
            <w:vAlign w:val="center"/>
          </w:tcPr>
          <w:p>
            <w:r>
              <w:rPr>
                <w:rFonts w:ascii="Aptos" w:hAnsi="Aptos"/>
                <w:b/>
                <w:color w:val="FFFFFF"/>
                <w:sz w:val="18"/>
              </w:rPr>
              <w:t>Primary owner</w:t>
            </w:r>
          </w:p>
        </w:tc>
        <w:tc>
          <w:tcPr>
            <w:tcW w:type="dxa" w:w="2088"/>
            <w:shd w:fill="17365D"/>
            <w:vAlign w:val="center"/>
          </w:tcPr>
          <w:p>
            <w:r>
              <w:rPr>
                <w:rFonts w:ascii="Aptos" w:hAnsi="Aptos"/>
                <w:b/>
                <w:color w:val="FFFFFF"/>
                <w:sz w:val="18"/>
              </w:rPr>
              <w:t>Production effect</w:t>
            </w:r>
          </w:p>
        </w:tc>
      </w:tr>
      <w:tr>
        <w:trPr>
          <w:cantSplit/>
        </w:trPr>
        <w:tc>
          <w:tcPr>
            <w:tcW w:type="dxa" w:w="1944"/>
            <w:tcMar>
              <w:top w:w="80" w:type="dxa"/>
              <w:start w:w="90" w:type="dxa"/>
              <w:bottom w:w="80" w:type="dxa"/>
              <w:end w:w="90" w:type="dxa"/>
            </w:tcMar>
            <w:vAlign w:val="center"/>
          </w:tcPr>
          <w:p>
            <w:pPr>
              <w:spacing w:before="0" w:after="0" w:line="259" w:lineRule="auto"/>
            </w:pPr>
            <w:r>
              <w:rPr>
                <w:rFonts w:ascii="Aptos" w:hAnsi="Aptos"/>
                <w:b/>
                <w:sz w:val="17"/>
              </w:rPr>
              <w:t>A. Evidence-gated decisions</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7"/>
              </w:rPr>
              <w:t>Architecture choices recorded but not closable without benchmark, schema or downstream-converter evidence.</w:t>
            </w:r>
          </w:p>
        </w:tc>
        <w:tc>
          <w:tcPr>
            <w:tcW w:type="dxa" w:w="2088"/>
            <w:tcMar>
              <w:top w:w="80" w:type="dxa"/>
              <w:start w:w="90" w:type="dxa"/>
              <w:bottom w:w="80" w:type="dxa"/>
              <w:end w:w="90" w:type="dxa"/>
            </w:tcMar>
            <w:vAlign w:val="center"/>
          </w:tcPr>
          <w:p>
            <w:pPr>
              <w:spacing w:before="0" w:after="0" w:line="259" w:lineRule="auto"/>
            </w:pPr>
            <w:r>
              <w:rPr>
                <w:rFonts w:ascii="Aptos" w:hAnsi="Aptos"/>
                <w:b w:val="0"/>
                <w:sz w:val="17"/>
              </w:rPr>
              <w:t>Orchestrator + engineering approver</w:t>
            </w:r>
          </w:p>
        </w:tc>
        <w:tc>
          <w:tcPr>
            <w:tcW w:type="dxa" w:w="2088"/>
            <w:tcMar>
              <w:top w:w="80" w:type="dxa"/>
              <w:start w:w="90" w:type="dxa"/>
              <w:bottom w:w="80" w:type="dxa"/>
              <w:end w:w="90" w:type="dxa"/>
            </w:tcMar>
            <w:vAlign w:val="center"/>
          </w:tcPr>
          <w:p>
            <w:pPr>
              <w:spacing w:before="0" w:after="0" w:line="259" w:lineRule="auto"/>
            </w:pPr>
            <w:r>
              <w:rPr>
                <w:rFonts w:ascii="Aptos" w:hAnsi="Aptos"/>
                <w:b w:val="0"/>
                <w:sz w:val="17"/>
              </w:rPr>
              <w:t>Blocks the affected enforcement gate.</w:t>
            </w:r>
          </w:p>
        </w:tc>
      </w:tr>
      <w:tr>
        <w:trPr>
          <w:cantSplit/>
        </w:trPr>
        <w:tc>
          <w:tcPr>
            <w:tcW w:type="dxa" w:w="1944"/>
            <w:tcMar>
              <w:top w:w="80" w:type="dxa"/>
              <w:start w:w="90" w:type="dxa"/>
              <w:bottom w:w="80" w:type="dxa"/>
              <w:end w:w="90" w:type="dxa"/>
            </w:tcMar>
            <w:vAlign w:val="center"/>
          </w:tcPr>
          <w:p>
            <w:pPr>
              <w:spacing w:before="0" w:after="0" w:line="259" w:lineRule="auto"/>
            </w:pPr>
            <w:r>
              <w:rPr>
                <w:rFonts w:ascii="Aptos" w:hAnsi="Aptos"/>
                <w:b/>
                <w:sz w:val="17"/>
              </w:rPr>
              <w:t>B. Broader assurance matters</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7"/>
              </w:rPr>
              <w:t>Upstream or downstream quality obligations intentionally outside the node-history concept.</w:t>
            </w:r>
          </w:p>
        </w:tc>
        <w:tc>
          <w:tcPr>
            <w:tcW w:type="dxa" w:w="2088"/>
            <w:tcMar>
              <w:top w:w="80" w:type="dxa"/>
              <w:start w:w="90" w:type="dxa"/>
              <w:bottom w:w="80" w:type="dxa"/>
              <w:end w:w="90" w:type="dxa"/>
            </w:tcMar>
            <w:vAlign w:val="center"/>
          </w:tcPr>
          <w:p>
            <w:pPr>
              <w:spacing w:before="0" w:after="0" w:line="259" w:lineRule="auto"/>
            </w:pPr>
            <w:r>
              <w:rPr>
                <w:rFonts w:ascii="Aptos" w:hAnsi="Aptos"/>
                <w:b w:val="0"/>
                <w:sz w:val="17"/>
              </w:rPr>
              <w:t>Assurance workstream owner</w:t>
            </w:r>
          </w:p>
        </w:tc>
        <w:tc>
          <w:tcPr>
            <w:tcW w:type="dxa" w:w="2088"/>
            <w:tcMar>
              <w:top w:w="80" w:type="dxa"/>
              <w:start w:w="90" w:type="dxa"/>
              <w:bottom w:w="80" w:type="dxa"/>
              <w:end w:w="90" w:type="dxa"/>
            </w:tcMar>
            <w:vAlign w:val="center"/>
          </w:tcPr>
          <w:p>
            <w:pPr>
              <w:spacing w:before="0" w:after="0" w:line="259" w:lineRule="auto"/>
            </w:pPr>
            <w:r>
              <w:rPr>
                <w:rFonts w:ascii="Aptos" w:hAnsi="Aptos"/>
                <w:b w:val="0"/>
                <w:sz w:val="17"/>
              </w:rPr>
              <w:t>May block production even when node-history contracts pass.</w:t>
            </w:r>
          </w:p>
        </w:tc>
      </w:tr>
      <w:tr>
        <w:trPr>
          <w:cantSplit/>
        </w:trPr>
        <w:tc>
          <w:tcPr>
            <w:tcW w:type="dxa" w:w="1944"/>
            <w:tcMar>
              <w:top w:w="80" w:type="dxa"/>
              <w:start w:w="90" w:type="dxa"/>
              <w:bottom w:w="80" w:type="dxa"/>
              <w:end w:w="90" w:type="dxa"/>
            </w:tcMar>
            <w:vAlign w:val="center"/>
          </w:tcPr>
          <w:p>
            <w:pPr>
              <w:spacing w:before="0" w:after="0" w:line="259" w:lineRule="auto"/>
            </w:pPr>
            <w:r>
              <w:rPr>
                <w:rFonts w:ascii="Aptos" w:hAnsi="Aptos"/>
                <w:b/>
                <w:sz w:val="17"/>
              </w:rPr>
              <w:t>C. Delivery governance</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7"/>
              </w:rPr>
              <w:t>Rules for decomposing, implementing, reviewing and merging work through coding agents.</w:t>
            </w:r>
          </w:p>
        </w:tc>
        <w:tc>
          <w:tcPr>
            <w:tcW w:type="dxa" w:w="2088"/>
            <w:tcMar>
              <w:top w:w="80" w:type="dxa"/>
              <w:start w:w="90" w:type="dxa"/>
              <w:bottom w:w="80" w:type="dxa"/>
              <w:end w:w="90" w:type="dxa"/>
            </w:tcMar>
            <w:vAlign w:val="center"/>
          </w:tcPr>
          <w:p>
            <w:pPr>
              <w:spacing w:before="0" w:after="0" w:line="259" w:lineRule="auto"/>
            </w:pPr>
            <w:r>
              <w:rPr>
                <w:rFonts w:ascii="Aptos" w:hAnsi="Aptos"/>
                <w:b w:val="0"/>
                <w:sz w:val="17"/>
              </w:rPr>
              <w:t>Orchestrator</w:t>
            </w:r>
          </w:p>
        </w:tc>
        <w:tc>
          <w:tcPr>
            <w:tcW w:type="dxa" w:w="2088"/>
            <w:tcMar>
              <w:top w:w="80" w:type="dxa"/>
              <w:start w:w="90" w:type="dxa"/>
              <w:bottom w:w="80" w:type="dxa"/>
              <w:end w:w="90" w:type="dxa"/>
            </w:tcMar>
            <w:vAlign w:val="center"/>
          </w:tcPr>
          <w:p>
            <w:pPr>
              <w:spacing w:before="0" w:after="0" w:line="259" w:lineRule="auto"/>
            </w:pPr>
            <w:r>
              <w:rPr>
                <w:rFonts w:ascii="Aptos" w:hAnsi="Aptos"/>
                <w:b w:val="0"/>
                <w:sz w:val="17"/>
              </w:rPr>
              <w:t>Controls whether a change is eligible to merge or advance phase.</w:t>
            </w:r>
          </w:p>
        </w:tc>
      </w:tr>
    </w:tbl>
    <w:p>
      <w:r>
        <w:rPr>
          <w:rFonts w:ascii="Aptos" w:hAnsi="Aptos"/>
          <w:b/>
          <w:color w:val="17365D"/>
        </w:rPr>
        <w:t xml:space="preserve">Programme rule: </w:t>
      </w:r>
      <w:r>
        <w:t>a technical contract is not “complete” merely because code exists. It is complete only when its required evidence, negative tests and integration gate are accepted by the designated owner.</w:t>
      </w:r>
    </w:p>
    <w:p>
      <w:r>
        <w:br w:type="page"/>
      </w:r>
    </w:p>
    <w:p>
      <w:pPr>
        <w:pStyle w:val="Heading1"/>
      </w:pPr>
      <w:r>
        <w:t>2. Authority and use of this addendum</w:t>
      </w:r>
    </w:p>
    <w:p>
      <w:pPr>
        <w:pStyle w:val="Heading2"/>
      </w:pPr>
      <w:r>
        <w:t>2.1 Relationship to Revision 3</w:t>
      </w:r>
    </w:p>
    <w:p>
      <w:r>
        <w:t>Revision 3 remains authoritative for system architecture, topology ownership, node-history matching, allocation, registry transactions, serializer integration, parity, and the Pipe/Branch/Node context model.</w:t>
      </w:r>
    </w:p>
    <w:p>
      <w:r>
        <w:t>This addendum is authoritative for three programme concerns: how unresolved decisions are closed, which assurance dependencies sit outside the concept, and how orchestrator-led coding-agent delivery is controlled.</w:t>
      </w:r>
    </w:p>
    <w:p>
      <w:pPr>
        <w:pStyle w:val="Heading2"/>
      </w:pPr>
      <w:r>
        <w:t>2.2 Conflict rule</w:t>
      </w:r>
    </w:p>
    <w:p>
      <w:r>
        <w:t>When repository behaviour, a coding-agent proposal, and Revision 3 disagree, the coding agent must not silently choose. The task stops at the affected boundary and returns a conflict report to the orchestrator. Contract changes require an approved decision record and explicit version impact.</w:t>
      </w:r>
    </w:p>
    <w:p>
      <w:pPr>
        <w:pStyle w:val="Heading2"/>
      </w:pPr>
      <w:r>
        <w:t>2.3 Status terminology</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7365D"/>
            <w:vAlign w:val="center"/>
          </w:tcPr>
          <w:p>
            <w:r>
              <w:rPr>
                <w:rFonts w:ascii="Aptos" w:hAnsi="Aptos"/>
                <w:b/>
                <w:color w:val="FFFFFF"/>
                <w:sz w:val="18"/>
              </w:rPr>
              <w:t>Status</w:t>
            </w:r>
          </w:p>
        </w:tc>
        <w:tc>
          <w:tcPr>
            <w:tcW w:type="dxa" w:w="4608"/>
            <w:shd w:fill="17365D"/>
            <w:vAlign w:val="center"/>
          </w:tcPr>
          <w:p>
            <w:r>
              <w:rPr>
                <w:rFonts w:ascii="Aptos" w:hAnsi="Aptos"/>
                <w:b/>
                <w:color w:val="FFFFFF"/>
                <w:sz w:val="18"/>
              </w:rPr>
              <w:t>Meaning</w:t>
            </w:r>
          </w:p>
        </w:tc>
        <w:tc>
          <w:tcPr>
            <w:tcW w:type="dxa" w:w="3312"/>
            <w:shd w:fill="17365D"/>
            <w:vAlign w:val="center"/>
          </w:tcPr>
          <w:p>
            <w:r>
              <w:rPr>
                <w:rFonts w:ascii="Aptos" w:hAnsi="Aptos"/>
                <w:b/>
                <w:color w:val="FFFFFF"/>
                <w:sz w:val="18"/>
              </w:rPr>
              <w:t>Permitted action</w:t>
            </w:r>
          </w:p>
        </w:tc>
      </w:tr>
      <w:tr>
        <w:tc>
          <w:tcPr>
            <w:tcW w:type="dxa" w:w="1944"/>
            <w:tcMar>
              <w:top w:w="80" w:type="dxa"/>
              <w:start w:w="90" w:type="dxa"/>
              <w:bottom w:w="80" w:type="dxa"/>
              <w:end w:w="90" w:type="dxa"/>
            </w:tcMar>
            <w:vAlign w:val="center"/>
          </w:tcPr>
          <w:p>
            <w:pPr>
              <w:spacing w:before="0" w:after="0" w:line="259" w:lineRule="auto"/>
            </w:pPr>
            <w:r>
              <w:rPr>
                <w:rFonts w:ascii="Aptos" w:hAnsi="Aptos"/>
                <w:b/>
                <w:sz w:val="17"/>
              </w:rPr>
              <w:t>OPEN_EVIDENCE</w:t>
            </w:r>
          </w:p>
        </w:tc>
        <w:tc>
          <w:tcPr>
            <w:tcW w:type="dxa" w:w="4608"/>
            <w:tcMar>
              <w:top w:w="80" w:type="dxa"/>
              <w:start w:w="90" w:type="dxa"/>
              <w:bottom w:w="80" w:type="dxa"/>
              <w:end w:w="90" w:type="dxa"/>
            </w:tcMar>
            <w:vAlign w:val="center"/>
          </w:tcPr>
          <w:p>
            <w:pPr>
              <w:spacing w:before="0" w:after="0" w:line="259" w:lineRule="auto"/>
            </w:pPr>
            <w:r>
              <w:rPr>
                <w:rFonts w:ascii="Aptos" w:hAnsi="Aptos"/>
                <w:b w:val="0"/>
                <w:sz w:val="17"/>
              </w:rPr>
              <w:t>Decision is architecturally identified but supporting evidence is incomplete.</w:t>
            </w:r>
          </w:p>
        </w:tc>
        <w:tc>
          <w:tcPr>
            <w:tcW w:type="dxa" w:w="3312"/>
            <w:tcMar>
              <w:top w:w="80" w:type="dxa"/>
              <w:start w:w="90" w:type="dxa"/>
              <w:bottom w:w="80" w:type="dxa"/>
              <w:end w:w="90" w:type="dxa"/>
            </w:tcMar>
            <w:vAlign w:val="center"/>
          </w:tcPr>
          <w:p>
            <w:pPr>
              <w:spacing w:before="0" w:after="0" w:line="259" w:lineRule="auto"/>
            </w:pPr>
            <w:r>
              <w:rPr>
                <w:rFonts w:ascii="Aptos" w:hAnsi="Aptos"/>
                <w:b w:val="0"/>
                <w:sz w:val="17"/>
              </w:rPr>
              <w:t>Shadow analysis and evidence collection only.</w:t>
            </w:r>
          </w:p>
        </w:tc>
      </w:tr>
      <w:tr>
        <w:tc>
          <w:tcPr>
            <w:tcW w:type="dxa" w:w="1944"/>
            <w:tcMar>
              <w:top w:w="80" w:type="dxa"/>
              <w:start w:w="90" w:type="dxa"/>
              <w:bottom w:w="80" w:type="dxa"/>
              <w:end w:w="90" w:type="dxa"/>
            </w:tcMar>
            <w:vAlign w:val="center"/>
          </w:tcPr>
          <w:p>
            <w:pPr>
              <w:spacing w:before="0" w:after="0" w:line="259" w:lineRule="auto"/>
            </w:pPr>
            <w:r>
              <w:rPr>
                <w:rFonts w:ascii="Aptos" w:hAnsi="Aptos"/>
                <w:b/>
                <w:sz w:val="17"/>
              </w:rPr>
              <w:t>REVIEW_REQUIRED</w:t>
            </w:r>
          </w:p>
        </w:tc>
        <w:tc>
          <w:tcPr>
            <w:tcW w:type="dxa" w:w="4608"/>
            <w:tcMar>
              <w:top w:w="80" w:type="dxa"/>
              <w:start w:w="90" w:type="dxa"/>
              <w:bottom w:w="80" w:type="dxa"/>
              <w:end w:w="90" w:type="dxa"/>
            </w:tcMar>
            <w:vAlign w:val="center"/>
          </w:tcPr>
          <w:p>
            <w:pPr>
              <w:spacing w:before="0" w:after="0" w:line="259" w:lineRule="auto"/>
            </w:pPr>
            <w:r>
              <w:rPr>
                <w:rFonts w:ascii="Aptos" w:hAnsi="Aptos"/>
                <w:b w:val="0"/>
                <w:sz w:val="17"/>
              </w:rPr>
              <w:t>Evidence exists but requires an engineering or architecture decision.</w:t>
            </w:r>
          </w:p>
        </w:tc>
        <w:tc>
          <w:tcPr>
            <w:tcW w:type="dxa" w:w="3312"/>
            <w:tcMar>
              <w:top w:w="80" w:type="dxa"/>
              <w:start w:w="90" w:type="dxa"/>
              <w:bottom w:w="80" w:type="dxa"/>
              <w:end w:w="90" w:type="dxa"/>
            </w:tcMar>
            <w:vAlign w:val="center"/>
          </w:tcPr>
          <w:p>
            <w:pPr>
              <w:spacing w:before="0" w:after="0" w:line="259" w:lineRule="auto"/>
            </w:pPr>
            <w:r>
              <w:rPr>
                <w:rFonts w:ascii="Aptos" w:hAnsi="Aptos"/>
                <w:b w:val="0"/>
                <w:sz w:val="17"/>
              </w:rPr>
              <w:t>No automatic production selection.</w:t>
            </w:r>
          </w:p>
        </w:tc>
      </w:tr>
      <w:tr>
        <w:tc>
          <w:tcPr>
            <w:tcW w:type="dxa" w:w="1944"/>
            <w:tcMar>
              <w:top w:w="80" w:type="dxa"/>
              <w:start w:w="90" w:type="dxa"/>
              <w:bottom w:w="80" w:type="dxa"/>
              <w:end w:w="90" w:type="dxa"/>
            </w:tcMar>
            <w:vAlign w:val="center"/>
          </w:tcPr>
          <w:p>
            <w:pPr>
              <w:spacing w:before="0" w:after="0" w:line="259" w:lineRule="auto"/>
            </w:pPr>
            <w:r>
              <w:rPr>
                <w:rFonts w:ascii="Aptos" w:hAnsi="Aptos"/>
                <w:b/>
                <w:sz w:val="17"/>
              </w:rPr>
              <w:t>APPROVED</w:t>
            </w:r>
          </w:p>
        </w:tc>
        <w:tc>
          <w:tcPr>
            <w:tcW w:type="dxa" w:w="4608"/>
            <w:tcMar>
              <w:top w:w="80" w:type="dxa"/>
              <w:start w:w="90" w:type="dxa"/>
              <w:bottom w:w="80" w:type="dxa"/>
              <w:end w:w="90" w:type="dxa"/>
            </w:tcMar>
            <w:vAlign w:val="center"/>
          </w:tcPr>
          <w:p>
            <w:pPr>
              <w:spacing w:before="0" w:after="0" w:line="259" w:lineRule="auto"/>
            </w:pPr>
            <w:r>
              <w:rPr>
                <w:rFonts w:ascii="Aptos" w:hAnsi="Aptos"/>
                <w:b w:val="0"/>
                <w:sz w:val="17"/>
              </w:rPr>
              <w:t>Decision and required evidence are accepted and recorded.</w:t>
            </w:r>
          </w:p>
        </w:tc>
        <w:tc>
          <w:tcPr>
            <w:tcW w:type="dxa" w:w="3312"/>
            <w:tcMar>
              <w:top w:w="80" w:type="dxa"/>
              <w:start w:w="90" w:type="dxa"/>
              <w:bottom w:w="80" w:type="dxa"/>
              <w:end w:w="90" w:type="dxa"/>
            </w:tcMar>
            <w:vAlign w:val="center"/>
          </w:tcPr>
          <w:p>
            <w:pPr>
              <w:spacing w:before="0" w:after="0" w:line="259" w:lineRule="auto"/>
            </w:pPr>
            <w:r>
              <w:rPr>
                <w:rFonts w:ascii="Aptos" w:hAnsi="Aptos"/>
                <w:b w:val="0"/>
                <w:sz w:val="17"/>
              </w:rPr>
              <w:t>Implementation may advance under the approved contract.</w:t>
            </w:r>
          </w:p>
        </w:tc>
      </w:tr>
    </w:tbl>
    <w:p>
      <w:pPr>
        <w:pStyle w:val="Heading1"/>
      </w:pPr>
      <w:r>
        <w:t>3. Evidence-gated engineering decisions</w:t>
      </w:r>
    </w:p>
    <w:p>
      <w:r>
        <w:t>The following decisions are already visible in Revision 3 but remain gated because implementation alone cannot prove the correct engineering behaviour.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792"/>
            <w:shd w:fill="17365D"/>
            <w:vAlign w:val="center"/>
          </w:tcPr>
          <w:p>
            <w:r>
              <w:rPr>
                <w:rFonts w:ascii="Aptos" w:hAnsi="Aptos"/>
                <w:b/>
                <w:color w:val="FFFFFF"/>
                <w:sz w:val="16"/>
              </w:rPr>
              <w:t>ID</w:t>
            </w:r>
          </w:p>
        </w:tc>
        <w:tc>
          <w:tcPr>
            <w:tcW w:type="dxa" w:w="2088"/>
            <w:shd w:fill="17365D"/>
            <w:vAlign w:val="center"/>
          </w:tcPr>
          <w:p>
            <w:r>
              <w:rPr>
                <w:rFonts w:ascii="Aptos" w:hAnsi="Aptos"/>
                <w:b/>
                <w:color w:val="FFFFFF"/>
                <w:sz w:val="16"/>
              </w:rPr>
              <w:t>Decision</w:t>
            </w:r>
          </w:p>
        </w:tc>
        <w:tc>
          <w:tcPr>
            <w:tcW w:type="dxa" w:w="4104"/>
            <w:shd w:fill="17365D"/>
            <w:vAlign w:val="center"/>
          </w:tcPr>
          <w:p>
            <w:r>
              <w:rPr>
                <w:rFonts w:ascii="Aptos" w:hAnsi="Aptos"/>
                <w:b/>
                <w:color w:val="FFFFFF"/>
                <w:sz w:val="16"/>
              </w:rPr>
              <w:t>Evidence required</w:t>
            </w:r>
          </w:p>
        </w:tc>
        <w:tc>
          <w:tcPr>
            <w:tcW w:type="dxa" w:w="1512"/>
            <w:shd w:fill="17365D"/>
            <w:vAlign w:val="center"/>
          </w:tcPr>
          <w:p>
            <w:r>
              <w:rPr>
                <w:rFonts w:ascii="Aptos" w:hAnsi="Aptos"/>
                <w:b/>
                <w:color w:val="FFFFFF"/>
                <w:sz w:val="16"/>
              </w:rPr>
              <w:t>Owner</w:t>
            </w:r>
          </w:p>
        </w:tc>
        <w:tc>
          <w:tcPr>
            <w:tcW w:type="dxa" w:w="1656"/>
            <w:shd w:fill="17365D"/>
            <w:vAlign w:val="center"/>
          </w:tcPr>
          <w:p>
            <w:r>
              <w:rPr>
                <w:rFonts w:ascii="Aptos" w:hAnsi="Aptos"/>
                <w:b/>
                <w:color w:val="FFFFFF"/>
                <w:sz w:val="16"/>
              </w:rPr>
              <w:t>Gate</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EG-01</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Shared PSI-node serialization semantics</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Approved benchmark proving whether one logical node may appear in multiple component-owned PSI &lt;Node&gt; occurrences with the same NodeNumber, plus PSI-to-CII result and node/cardinality reconciliation.</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PSI/CII owner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Phase 7; blocks enforcement</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EG-02</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Historical stability versus monotonic route numbering</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Approved engineering policy and mutation fixtures covering node insertion between retained numbers.</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Engineering approver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Allocator policy freeze</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EG-03</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Historical matcher score calibration</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Benchmark corpus with known continuations, insertions, splits, near-parallel lines and false-reuse mutations; measured precision/false-reuse results.</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Matching owner + reviewer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Spatial reuse enablement</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EG-04</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Non-contiguous line leases</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Proof that selected PSI/CII consumers accept non-contiguous blocks without semantic loss or sequencing assumptions.</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Allocator + downstream owner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Overflow policy approval</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EG-05</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Inline hx:* audit extension profile</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PSI-116 schema/consumer proof that foreign namespace elements are accepted at defined locations and ignored or consumed safely.</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Schema assurance owner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Audit-extended profile only</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EG-06</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Automatic split/merge/rename/zone-transfer lifecycle</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Reviewed migration rules, conflict fixtures and explicit surviving-history decisions.</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Engineering approver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Automation remains disabled until approval</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EG-07</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Coordinate registration calibration</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Anchor-count policy, transform type, residual thresholds and mirrored/scaled-model negative tests.</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Geometry/matching owner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Registered spatial evidence</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EG-08</w:t>
            </w:r>
          </w:p>
        </w:tc>
        <w:tc>
          <w:tcPr>
            <w:tcW w:type="dxa" w:w="2088"/>
            <w:tcMar>
              <w:top w:w="60" w:type="dxa"/>
              <w:start w:w="65" w:type="dxa"/>
              <w:bottom w:w="60" w:type="dxa"/>
              <w:end w:w="65" w:type="dxa"/>
            </w:tcMar>
            <w:vAlign w:val="center"/>
          </w:tcPr>
          <w:p>
            <w:pPr>
              <w:spacing w:before="0" w:after="0" w:line="240" w:lineRule="auto"/>
            </w:pPr>
            <w:r>
              <w:rPr>
                <w:rFonts w:ascii="Aptos" w:hAnsi="Aptos"/>
                <w:b w:val="0"/>
                <w:sz w:val="15"/>
              </w:rPr>
              <w:t>Support attachment ownership and node emission</w:t>
            </w:r>
          </w:p>
        </w:tc>
        <w:tc>
          <w:tcPr>
            <w:tcW w:type="dxa" w:w="4104"/>
            <w:tcMar>
              <w:top w:w="60" w:type="dxa"/>
              <w:start w:w="65" w:type="dxa"/>
              <w:bottom w:w="60" w:type="dxa"/>
              <w:end w:w="65" w:type="dxa"/>
            </w:tcMar>
            <w:vAlign w:val="center"/>
          </w:tcPr>
          <w:p>
            <w:pPr>
              <w:spacing w:before="0" w:after="0" w:line="240" w:lineRule="auto"/>
            </w:pPr>
            <w:r>
              <w:rPr>
                <w:rFonts w:ascii="Aptos" w:hAnsi="Aptos"/>
                <w:b w:val="0"/>
                <w:sz w:val="15"/>
              </w:rPr>
              <w:t>Approved mapping between support assembly, carrier edge/node, PSI ATTA occurrence and CII restraint output.</w:t>
            </w:r>
          </w:p>
        </w:tc>
        <w:tc>
          <w:tcPr>
            <w:tcW w:type="dxa" w:w="1512"/>
            <w:tcMar>
              <w:top w:w="60" w:type="dxa"/>
              <w:start w:w="65" w:type="dxa"/>
              <w:bottom w:w="60" w:type="dxa"/>
              <w:end w:w="65" w:type="dxa"/>
            </w:tcMar>
            <w:vAlign w:val="center"/>
          </w:tcPr>
          <w:p>
            <w:pPr>
              <w:spacing w:before="0" w:after="0" w:line="240" w:lineRule="auto"/>
            </w:pPr>
            <w:r>
              <w:rPr>
                <w:rFonts w:ascii="Aptos" w:hAnsi="Aptos"/>
                <w:b w:val="0"/>
                <w:sz w:val="15"/>
              </w:rPr>
              <w:t>Support/CII owner</w:t>
            </w:r>
          </w:p>
        </w:tc>
        <w:tc>
          <w:tcPr>
            <w:tcW w:type="dxa" w:w="1656"/>
            <w:tcMar>
              <w:top w:w="60" w:type="dxa"/>
              <w:start w:w="65" w:type="dxa"/>
              <w:bottom w:w="60" w:type="dxa"/>
              <w:end w:w="65" w:type="dxa"/>
            </w:tcMar>
            <w:vAlign w:val="center"/>
          </w:tcPr>
          <w:p>
            <w:pPr>
              <w:spacing w:before="0" w:after="0" w:line="240" w:lineRule="auto"/>
            </w:pPr>
            <w:r>
              <w:rPr>
                <w:rFonts w:ascii="Aptos" w:hAnsi="Aptos"/>
                <w:b w:val="0"/>
                <w:sz w:val="15"/>
              </w:rPr>
              <w:t>Support writer integration</w:t>
            </w:r>
          </w:p>
        </w:tc>
      </w:tr>
    </w:tbl>
    <w:p>
      <w:pPr>
        <w:pStyle w:val="Heading2"/>
      </w:pPr>
      <w:r>
        <w:t>3.1 Required closure packet</w:t>
      </w:r>
    </w:p>
    <w:p>
      <w:pPr>
        <w:pStyle w:val="ListBullet"/>
      </w:pPr>
      <w:r>
        <w:t>Decision statement and alternatives considered.</w:t>
      </w:r>
    </w:p>
    <w:p>
      <w:pPr>
        <w:pStyle w:val="ListBullet"/>
      </w:pPr>
      <w:r>
        <w:t>Named benchmark or fixture set.</w:t>
      </w:r>
    </w:p>
    <w:p>
      <w:pPr>
        <w:pStyle w:val="ListBullet"/>
      </w:pPr>
      <w:r>
        <w:t>Positive, negative and determinism test results.</w:t>
      </w:r>
    </w:p>
    <w:p>
      <w:pPr>
        <w:pStyle w:val="ListBullet"/>
      </w:pPr>
      <w:r>
        <w:t>Downstream artifact comparison where applicable.</w:t>
      </w:r>
    </w:p>
    <w:p>
      <w:pPr>
        <w:pStyle w:val="ListBullet"/>
      </w:pPr>
      <w:r>
        <w:t>Approved decision record with owner and date.</w:t>
      </w:r>
    </w:p>
    <w:p>
      <w:pPr>
        <w:pStyle w:val="ListBullet"/>
      </w:pPr>
      <w:r>
        <w:t>Contract/version impact and affected workstreams.</w:t>
      </w:r>
    </w:p>
    <w:p>
      <w:pPr>
        <w:pStyle w:val="Heading2"/>
      </w:pPr>
      <w:r>
        <w:t>3.2 Shared PSI-node serialization closure sequence</w:t>
      </w:r>
    </w:p>
    <w:p>
      <w:pPr>
        <w:pStyle w:val="CodeBlock"/>
        <w:shd w:fill="F4F5F7"/>
        <w:pBdr>
          <w:left w:val="single" w:sz="14" w:space="5" w:color="2F5597"/>
        </w:pBdr>
      </w:pPr>
      <w:r>
        <w:t>1. Extract current component occurrence behavior without changing output.</w:t>
        <w:br/>
        <w:t>2. Build a benchmark containing PIPE, TEE, REDU, ELBO and ATTA cases.</w:t>
        <w:br/>
        <w:t>3. Generate candidate node plans for shared canonical nodes.</w:t>
        <w:br/>
        <w:t>4. Serialize both occurrence models under controlled test profiles.</w:t>
        <w:br/>
        <w:t>5. Run the authoritative PSI XML-to-CII converter.</w:t>
        <w:br/>
        <w:t>6. Reconcile topology, node cardinality, node numbers, restraints and CII elements.</w:t>
        <w:br/>
        <w:t>7. Record the accepted ownership rule in ADR-004.</w:t>
        <w:br/>
        <w:t>8. Enable strict writer enforcement only after approval.</w:t>
      </w:r>
    </w:p>
    <w:p>
      <w:pPr>
        <w:pStyle w:val="Heading1"/>
      </w:pPr>
      <w:r>
        <w:t>4. Broader assurance matters outside the core concept</w:t>
      </w:r>
    </w:p>
    <w:p>
      <w:r>
        <w:t>These matters are intentionally not redesigned by the node-history concept. They nevertheless form production dependencies and must be tracked in a separate assurance backlog.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792"/>
            <w:shd w:fill="17365D"/>
            <w:vAlign w:val="center"/>
          </w:tcPr>
          <w:p>
            <w:r>
              <w:rPr>
                <w:rFonts w:ascii="Aptos" w:hAnsi="Aptos"/>
                <w:b/>
                <w:color w:val="FFFFFF"/>
                <w:sz w:val="16"/>
              </w:rPr>
              <w:t>ID</w:t>
            </w:r>
          </w:p>
        </w:tc>
        <w:tc>
          <w:tcPr>
            <w:tcW w:type="dxa" w:w="2232"/>
            <w:shd w:fill="17365D"/>
            <w:vAlign w:val="center"/>
          </w:tcPr>
          <w:p>
            <w:r>
              <w:rPr>
                <w:rFonts w:ascii="Aptos" w:hAnsi="Aptos"/>
                <w:b/>
                <w:color w:val="FFFFFF"/>
                <w:sz w:val="16"/>
              </w:rPr>
              <w:t>Assurance matter</w:t>
            </w:r>
          </w:p>
        </w:tc>
        <w:tc>
          <w:tcPr>
            <w:tcW w:type="dxa" w:w="3744"/>
            <w:shd w:fill="17365D"/>
            <w:vAlign w:val="center"/>
          </w:tcPr>
          <w:p>
            <w:r>
              <w:rPr>
                <w:rFonts w:ascii="Aptos" w:hAnsi="Aptos"/>
                <w:b/>
                <w:color w:val="FFFFFF"/>
                <w:sz w:val="16"/>
              </w:rPr>
              <w:t>Required outcome</w:t>
            </w:r>
          </w:p>
        </w:tc>
        <w:tc>
          <w:tcPr>
            <w:tcW w:type="dxa" w:w="1584"/>
            <w:shd w:fill="17365D"/>
            <w:vAlign w:val="center"/>
          </w:tcPr>
          <w:p>
            <w:r>
              <w:rPr>
                <w:rFonts w:ascii="Aptos" w:hAnsi="Aptos"/>
                <w:b/>
                <w:color w:val="FFFFFF"/>
                <w:sz w:val="16"/>
              </w:rPr>
              <w:t>Owner</w:t>
            </w:r>
          </w:p>
        </w:tc>
        <w:tc>
          <w:tcPr>
            <w:tcW w:type="dxa" w:w="1800"/>
            <w:shd w:fill="17365D"/>
            <w:vAlign w:val="center"/>
          </w:tcPr>
          <w:p>
            <w:r>
              <w:rPr>
                <w:rFonts w:ascii="Aptos" w:hAnsi="Aptos"/>
                <w:b/>
                <w:color w:val="FFFFFF"/>
                <w:sz w:val="16"/>
              </w:rPr>
              <w:t>Exit artifact</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AS-01</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Source-root normalization and restoration</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Support bare arrays, known envelopes and single-object roots without losing original root shape.</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Source-envelope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Normalized source contract and round-trip tests</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AS-02</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Unknown support-type fallback</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Prevent unknown or unresolved support types from silently becoming REST or another default restraint.</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Support resolver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Explicit review/block policy and fixtures</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AS-03</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DN/OD and wall inference</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Prohibit unsupported bore/OD guesses and record the engineering authority for each derived dimension.</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Enrichment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Versioned inference policy and audit evidence</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AS-04</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Support assembly merge semantics</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Classify legal same-carrier aggregation versus cross-branch/cross-carrier merge conflicts; retain restraint multiset evidence.</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Topology/support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Support assembly contract and conflict tests</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AS-05</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Independent XML parsing and XSD validation</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Replace assurance dependence on regex parsing; distinguish parsed, schema-valid and downstream-contract-valid states.</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XML assurance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Namespace-aware parser and XSD evidence</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AS-06</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Selected XML-to-CII proof</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Run the actually selected PSI output through the authoritative converter and bind results to the selected XML hash.</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CII assurance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Selected-output proof artifact</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AS-07</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Writer fallback and mode persistence</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Record requested/effective writer mode; prohibit unapproved fallback and stale persisted selection.</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Writer-selection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Writer decision contract and negative tests</w:t>
            </w:r>
          </w:p>
        </w:tc>
      </w:tr>
      <w:tr>
        <w:trPr>
          <w:cantSplit/>
        </w:trPr>
        <w:tc>
          <w:tcPr>
            <w:tcW w:type="dxa" w:w="792"/>
            <w:tcMar>
              <w:top w:w="60" w:type="dxa"/>
              <w:start w:w="65" w:type="dxa"/>
              <w:bottom w:w="60" w:type="dxa"/>
              <w:end w:w="65" w:type="dxa"/>
            </w:tcMar>
            <w:vAlign w:val="center"/>
          </w:tcPr>
          <w:p>
            <w:pPr>
              <w:spacing w:before="0" w:after="0" w:line="240" w:lineRule="auto"/>
            </w:pPr>
            <w:r>
              <w:rPr>
                <w:rFonts w:ascii="Aptos" w:hAnsi="Aptos"/>
                <w:b/>
                <w:sz w:val="15"/>
              </w:rPr>
              <w:t>AS-08</w:t>
            </w:r>
          </w:p>
        </w:tc>
        <w:tc>
          <w:tcPr>
            <w:tcW w:type="dxa" w:w="2232"/>
            <w:tcMar>
              <w:top w:w="60" w:type="dxa"/>
              <w:start w:w="65" w:type="dxa"/>
              <w:bottom w:w="60" w:type="dxa"/>
              <w:end w:w="65" w:type="dxa"/>
            </w:tcMar>
            <w:vAlign w:val="center"/>
          </w:tcPr>
          <w:p>
            <w:pPr>
              <w:spacing w:before="0" w:after="0" w:line="240" w:lineRule="auto"/>
            </w:pPr>
            <w:r>
              <w:rPr>
                <w:rFonts w:ascii="Aptos" w:hAnsi="Aptos"/>
                <w:b w:val="0"/>
                <w:sz w:val="15"/>
              </w:rPr>
              <w:t>Audit truthfulness</w:t>
            </w:r>
          </w:p>
        </w:tc>
        <w:tc>
          <w:tcPr>
            <w:tcW w:type="dxa" w:w="3744"/>
            <w:tcMar>
              <w:top w:w="60" w:type="dxa"/>
              <w:start w:w="65" w:type="dxa"/>
              <w:bottom w:w="60" w:type="dxa"/>
              <w:end w:w="65" w:type="dxa"/>
            </w:tcMar>
            <w:vAlign w:val="center"/>
          </w:tcPr>
          <w:p>
            <w:pPr>
              <w:spacing w:before="0" w:after="0" w:line="240" w:lineRule="auto"/>
            </w:pPr>
            <w:r>
              <w:rPr>
                <w:rFonts w:ascii="Aptos" w:hAnsi="Aptos"/>
                <w:b w:val="0"/>
                <w:sz w:val="15"/>
              </w:rPr>
              <w:t>Ensure audit summaries describe the selected output and actual validation state rather than intended mode.</w:t>
            </w:r>
          </w:p>
        </w:tc>
        <w:tc>
          <w:tcPr>
            <w:tcW w:type="dxa" w:w="1584"/>
            <w:tcMar>
              <w:top w:w="60" w:type="dxa"/>
              <w:start w:w="65" w:type="dxa"/>
              <w:bottom w:w="60" w:type="dxa"/>
              <w:end w:w="65" w:type="dxa"/>
            </w:tcMar>
            <w:vAlign w:val="center"/>
          </w:tcPr>
          <w:p>
            <w:pPr>
              <w:spacing w:before="0" w:after="0" w:line="240" w:lineRule="auto"/>
            </w:pPr>
            <w:r>
              <w:rPr>
                <w:rFonts w:ascii="Aptos" w:hAnsi="Aptos"/>
                <w:b w:val="0"/>
                <w:sz w:val="15"/>
              </w:rPr>
              <w:t>Assurance/integration owner</w:t>
            </w:r>
          </w:p>
        </w:tc>
        <w:tc>
          <w:tcPr>
            <w:tcW w:type="dxa" w:w="1800"/>
            <w:tcMar>
              <w:top w:w="60" w:type="dxa"/>
              <w:start w:w="65" w:type="dxa"/>
              <w:bottom w:w="60" w:type="dxa"/>
              <w:end w:w="65" w:type="dxa"/>
            </w:tcMar>
            <w:vAlign w:val="center"/>
          </w:tcPr>
          <w:p>
            <w:pPr>
              <w:spacing w:before="0" w:after="0" w:line="240" w:lineRule="auto"/>
            </w:pPr>
            <w:r>
              <w:rPr>
                <w:rFonts w:ascii="Aptos" w:hAnsi="Aptos"/>
                <w:b w:val="0"/>
                <w:sz w:val="15"/>
              </w:rPr>
              <w:t>Hash-linked audit reconciliation</w:t>
            </w:r>
          </w:p>
        </w:tc>
      </w:tr>
    </w:tbl>
    <w:p>
      <w:pPr>
        <w:pStyle w:val="Heading2"/>
      </w:pPr>
      <w:r>
        <w:t>4.1 Interface rule</w:t>
      </w:r>
    </w:p>
    <w:p>
      <w:r>
        <w:t>A node-history task may consume approved outputs from these assurance workstreams, but it must not silently repair or redefine them. For example, the history matcher may consume resolved support identity, but it must not decide that an unknown support is a REST support.</w:t>
      </w:r>
    </w:p>
    <w:p>
      <w:pPr>
        <w:pStyle w:val="Heading2"/>
      </w:pPr>
      <w:r>
        <w:t>4.2 Combined production gate</w:t>
      </w:r>
    </w:p>
    <w:p>
      <w:pPr>
        <w:pStyle w:val="CodeBlock"/>
        <w:shd w:fill="F4F5F7"/>
        <w:pBdr>
          <w:left w:val="single" w:sz="14" w:space="5" w:color="2F5597"/>
        </w:pBdr>
      </w:pPr>
      <w:r>
        <w:t>Production selection is BLOCKED when any required assurance dependency is:</w:t>
        <w:br/>
        <w:t>- missing;</w:t>
        <w:br/>
        <w:t>- stale against the selected XML/source hash;</w:t>
        <w:br/>
        <w:t>- REVIEW_REQUIRED without approval;</w:t>
        <w:br/>
        <w:t>- internally contradictory;</w:t>
        <w:br/>
        <w:t>- generated from a non-selected writer output; or</w:t>
        <w:br/>
        <w:t>- unable to prove the downstream CII contract.</w:t>
      </w:r>
    </w:p>
    <w:p>
      <w:pPr>
        <w:pStyle w:val="Heading1"/>
      </w:pPr>
      <w:r>
        <w:t>5. Delivery governance and agent operating model</w:t>
      </w:r>
    </w:p>
    <w:p>
      <w:pPr>
        <w:pStyle w:val="Heading2"/>
      </w:pPr>
      <w:r>
        <w:t>5.1 Roles</w:t>
      </w:r>
    </w:p>
    <w:tbl>
      <w:tblPr>
        <w:tblStyle w:val="TableGrid"/>
        <w:tblW w:type="auto" w:w="0"/>
        <w:jc w:val="center"/>
        <w:tblLook w:firstColumn="1" w:firstRow="1" w:lastColumn="0" w:lastRow="0" w:noHBand="0" w:noVBand="1" w:val="04A0"/>
      </w:tblPr>
      <w:tblGrid>
        <w:gridCol w:w="5083"/>
        <w:gridCol w:w="5083"/>
      </w:tblGrid>
      <w:tr>
        <w:tc>
          <w:tcPr>
            <w:tcW w:type="dxa" w:w="2232"/>
            <w:shd w:fill="17365D"/>
            <w:vAlign w:val="center"/>
          </w:tcPr>
          <w:p>
            <w:r>
              <w:rPr>
                <w:rFonts w:ascii="Aptos" w:hAnsi="Aptos"/>
                <w:b/>
                <w:color w:val="FFFFFF"/>
                <w:sz w:val="18"/>
              </w:rPr>
              <w:t>Role</w:t>
            </w:r>
          </w:p>
        </w:tc>
        <w:tc>
          <w:tcPr>
            <w:tcW w:type="dxa" w:w="7776"/>
            <w:shd w:fill="17365D"/>
            <w:vAlign w:val="center"/>
          </w:tcPr>
          <w:p>
            <w:r>
              <w:rPr>
                <w:rFonts w:ascii="Aptos" w:hAnsi="Aptos"/>
                <w:b/>
                <w:color w:val="FFFFFF"/>
                <w:sz w:val="18"/>
              </w:rPr>
              <w:t>Accountability</w:t>
            </w:r>
          </w:p>
        </w:tc>
      </w:tr>
      <w:tr>
        <w:trPr>
          <w:cantSplit/>
        </w:trPr>
        <w:tc>
          <w:tcPr>
            <w:tcW w:type="dxa" w:w="2232"/>
            <w:tcMar>
              <w:top w:w="80" w:type="dxa"/>
              <w:start w:w="90" w:type="dxa"/>
              <w:bottom w:w="80" w:type="dxa"/>
              <w:end w:w="90" w:type="dxa"/>
            </w:tcMar>
            <w:vAlign w:val="center"/>
          </w:tcPr>
          <w:p>
            <w:pPr>
              <w:spacing w:before="0" w:after="0" w:line="259" w:lineRule="auto"/>
            </w:pPr>
            <w:r>
              <w:rPr>
                <w:rFonts w:ascii="Aptos" w:hAnsi="Aptos"/>
                <w:b/>
                <w:sz w:val="17"/>
              </w:rPr>
              <w:t>Orchestrator</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Owns architecture, contract versions, issue decomposition, file ownership, task prompts, acceptance criteria, phase gates and final integration.</w:t>
            </w:r>
          </w:p>
        </w:tc>
      </w:tr>
      <w:tr>
        <w:trPr>
          <w:cantSplit/>
        </w:trPr>
        <w:tc>
          <w:tcPr>
            <w:tcW w:type="dxa" w:w="2232"/>
            <w:tcMar>
              <w:top w:w="80" w:type="dxa"/>
              <w:start w:w="90" w:type="dxa"/>
              <w:bottom w:w="80" w:type="dxa"/>
              <w:end w:w="90" w:type="dxa"/>
            </w:tcMar>
            <w:vAlign w:val="center"/>
          </w:tcPr>
          <w:p>
            <w:pPr>
              <w:spacing w:before="0" w:after="0" w:line="259" w:lineRule="auto"/>
            </w:pPr>
            <w:r>
              <w:rPr>
                <w:rFonts w:ascii="Aptos" w:hAnsi="Aptos"/>
                <w:b/>
                <w:sz w:val="17"/>
              </w:rPr>
              <w:t>Coding agent</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Implements one bounded task under an approved contract, adds minimum tests, reports assumptions and does not redefine architecture.</w:t>
            </w:r>
          </w:p>
        </w:tc>
      </w:tr>
      <w:tr>
        <w:trPr>
          <w:cantSplit/>
        </w:trPr>
        <w:tc>
          <w:tcPr>
            <w:tcW w:type="dxa" w:w="2232"/>
            <w:tcMar>
              <w:top w:w="80" w:type="dxa"/>
              <w:start w:w="90" w:type="dxa"/>
              <w:bottom w:w="80" w:type="dxa"/>
              <w:end w:w="90" w:type="dxa"/>
            </w:tcMar>
            <w:vAlign w:val="center"/>
          </w:tcPr>
          <w:p>
            <w:pPr>
              <w:spacing w:before="0" w:after="0" w:line="259" w:lineRule="auto"/>
            </w:pPr>
            <w:r>
              <w:rPr>
                <w:rFonts w:ascii="Aptos" w:hAnsi="Aptos"/>
                <w:b/>
                <w:sz w:val="17"/>
              </w:rPr>
              <w:t>Independent review agent</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Reviews contract compliance, hidden fallbacks, authority duplication, determinism, negative tests and regression evidence.</w:t>
            </w:r>
          </w:p>
        </w:tc>
      </w:tr>
      <w:tr>
        <w:trPr>
          <w:cantSplit/>
        </w:trPr>
        <w:tc>
          <w:tcPr>
            <w:tcW w:type="dxa" w:w="2232"/>
            <w:tcMar>
              <w:top w:w="80" w:type="dxa"/>
              <w:start w:w="90" w:type="dxa"/>
              <w:bottom w:w="80" w:type="dxa"/>
              <w:end w:w="90" w:type="dxa"/>
            </w:tcMar>
            <w:vAlign w:val="center"/>
          </w:tcPr>
          <w:p>
            <w:pPr>
              <w:spacing w:before="0" w:after="0" w:line="259" w:lineRule="auto"/>
            </w:pPr>
            <w:r>
              <w:rPr>
                <w:rFonts w:ascii="Aptos" w:hAnsi="Aptos"/>
                <w:b/>
                <w:sz w:val="17"/>
              </w:rPr>
              <w:t>Engineering approver</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Closes decisions requiring domain judgement, especially topology evolution, support semantics and numbering policy.</w:t>
            </w:r>
          </w:p>
        </w:tc>
      </w:tr>
      <w:tr>
        <w:trPr>
          <w:cantSplit/>
        </w:trPr>
        <w:tc>
          <w:tcPr>
            <w:tcW w:type="dxa" w:w="2232"/>
            <w:tcMar>
              <w:top w:w="80" w:type="dxa"/>
              <w:start w:w="90" w:type="dxa"/>
              <w:bottom w:w="80" w:type="dxa"/>
              <w:end w:w="90" w:type="dxa"/>
            </w:tcMar>
            <w:vAlign w:val="center"/>
          </w:tcPr>
          <w:p>
            <w:pPr>
              <w:spacing w:before="0" w:after="0" w:line="259" w:lineRule="auto"/>
            </w:pPr>
            <w:r>
              <w:rPr>
                <w:rFonts w:ascii="Aptos" w:hAnsi="Aptos"/>
                <w:b/>
                <w:sz w:val="17"/>
              </w:rPr>
              <w:t>Release integrator</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Validates the combined branch against current target, runs end-to-end gates and controls promotion from shadow to enforced mode.</w:t>
            </w:r>
          </w:p>
        </w:tc>
      </w:tr>
    </w:tbl>
    <w:p>
      <w:pPr>
        <w:pStyle w:val="Heading2"/>
      </w:pPr>
      <w:r>
        <w:t>5.2 Workstream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vAlign w:val="center"/>
          </w:tcPr>
          <w:p>
            <w:r>
              <w:rPr>
                <w:rFonts w:ascii="Aptos" w:hAnsi="Aptos"/>
                <w:b/>
                <w:color w:val="FFFFFF"/>
                <w:sz w:val="17"/>
              </w:rPr>
              <w:t>Workstream</w:t>
            </w:r>
          </w:p>
        </w:tc>
        <w:tc>
          <w:tcPr>
            <w:tcW w:type="dxa" w:w="4248"/>
            <w:shd w:fill="17365D"/>
            <w:vAlign w:val="center"/>
          </w:tcPr>
          <w:p>
            <w:r>
              <w:rPr>
                <w:rFonts w:ascii="Aptos" w:hAnsi="Aptos"/>
                <w:b/>
                <w:color w:val="FFFFFF"/>
                <w:sz w:val="17"/>
              </w:rPr>
              <w:t>Scope</w:t>
            </w:r>
          </w:p>
        </w:tc>
        <w:tc>
          <w:tcPr>
            <w:tcW w:type="dxa" w:w="3672"/>
            <w:shd w:fill="17365D"/>
            <w:vAlign w:val="center"/>
          </w:tcPr>
          <w:p>
            <w:r>
              <w:rPr>
                <w:rFonts w:ascii="Aptos" w:hAnsi="Aptos"/>
                <w:b/>
                <w:color w:val="FFFFFF"/>
                <w:sz w:val="17"/>
              </w:rPr>
              <w:t>Prohibited overlap</w:t>
            </w:r>
          </w:p>
        </w:tc>
      </w:tr>
      <w:tr>
        <w:trPr>
          <w:cantSplit/>
        </w:trPr>
        <w:tc>
          <w:tcPr>
            <w:tcW w:type="dxa" w:w="2088"/>
            <w:tcMar>
              <w:top w:w="80" w:type="dxa"/>
              <w:start w:w="90" w:type="dxa"/>
              <w:bottom w:w="80" w:type="dxa"/>
              <w:end w:w="90" w:type="dxa"/>
            </w:tcMar>
            <w:vAlign w:val="center"/>
          </w:tcPr>
          <w:p>
            <w:pPr>
              <w:spacing w:before="0" w:after="0" w:line="259" w:lineRule="auto"/>
            </w:pPr>
            <w:r>
              <w:rPr>
                <w:rFonts w:ascii="Aptos" w:hAnsi="Aptos"/>
                <w:b/>
                <w:sz w:val="16"/>
              </w:rPr>
              <w:t>WS-A Contracts</w:t>
            </w:r>
          </w:p>
        </w:tc>
        <w:tc>
          <w:tcPr>
            <w:tcW w:type="dxa" w:w="4248"/>
            <w:tcMar>
              <w:top w:w="80" w:type="dxa"/>
              <w:start w:w="90" w:type="dxa"/>
              <w:bottom w:w="80" w:type="dxa"/>
              <w:end w:w="90" w:type="dxa"/>
            </w:tcMar>
            <w:vAlign w:val="center"/>
          </w:tcPr>
          <w:p>
            <w:pPr>
              <w:spacing w:before="0" w:after="0" w:line="259" w:lineRule="auto"/>
            </w:pPr>
            <w:r>
              <w:rPr>
                <w:rFonts w:ascii="Aptos" w:hAnsi="Aptos"/>
                <w:b w:val="0"/>
                <w:sz w:val="16"/>
              </w:rPr>
              <w:t>Schemas, enums, hashes and validation outcomes.</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6"/>
              </w:rPr>
              <w:t>Must not implement production policy implicitly.</w:t>
            </w:r>
          </w:p>
        </w:tc>
      </w:tr>
      <w:tr>
        <w:trPr>
          <w:cantSplit/>
        </w:trPr>
        <w:tc>
          <w:tcPr>
            <w:tcW w:type="dxa" w:w="2088"/>
            <w:tcMar>
              <w:top w:w="80" w:type="dxa"/>
              <w:start w:w="90" w:type="dxa"/>
              <w:bottom w:w="80" w:type="dxa"/>
              <w:end w:w="90" w:type="dxa"/>
            </w:tcMar>
            <w:vAlign w:val="center"/>
          </w:tcPr>
          <w:p>
            <w:pPr>
              <w:spacing w:before="0" w:after="0" w:line="259" w:lineRule="auto"/>
            </w:pPr>
            <w:r>
              <w:rPr>
                <w:rFonts w:ascii="Aptos" w:hAnsi="Aptos"/>
                <w:b/>
                <w:sz w:val="16"/>
              </w:rPr>
              <w:t>WS-B Writer</w:t>
            </w:r>
          </w:p>
        </w:tc>
        <w:tc>
          <w:tcPr>
            <w:tcW w:type="dxa" w:w="4248"/>
            <w:tcMar>
              <w:top w:w="80" w:type="dxa"/>
              <w:start w:w="90" w:type="dxa"/>
              <w:bottom w:w="80" w:type="dxa"/>
              <w:end w:w="90" w:type="dxa"/>
            </w:tcMar>
            <w:vAlign w:val="center"/>
          </w:tcPr>
          <w:p>
            <w:pPr>
              <w:spacing w:before="0" w:after="0" w:line="259" w:lineRule="auto"/>
            </w:pPr>
            <w:r>
              <w:rPr>
                <w:rFonts w:ascii="Aptos" w:hAnsi="Aptos"/>
                <w:b w:val="0"/>
                <w:sz w:val="16"/>
              </w:rPr>
              <w:t>Occurrence planner, strict serializer and deterministic output.</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6"/>
              </w:rPr>
              <w:t>Must not allocate numbers or alter topology.</w:t>
            </w:r>
          </w:p>
        </w:tc>
      </w:tr>
      <w:tr>
        <w:trPr>
          <w:cantSplit/>
        </w:trPr>
        <w:tc>
          <w:tcPr>
            <w:tcW w:type="dxa" w:w="2088"/>
            <w:tcMar>
              <w:top w:w="80" w:type="dxa"/>
              <w:start w:w="90" w:type="dxa"/>
              <w:bottom w:w="80" w:type="dxa"/>
              <w:end w:w="90" w:type="dxa"/>
            </w:tcMar>
            <w:vAlign w:val="center"/>
          </w:tcPr>
          <w:p>
            <w:pPr>
              <w:spacing w:before="0" w:after="0" w:line="259" w:lineRule="auto"/>
            </w:pPr>
            <w:r>
              <w:rPr>
                <w:rFonts w:ascii="Aptos" w:hAnsi="Aptos"/>
                <w:b/>
                <w:sz w:val="16"/>
              </w:rPr>
              <w:t>WS-C Registry</w:t>
            </w:r>
          </w:p>
        </w:tc>
        <w:tc>
          <w:tcPr>
            <w:tcW w:type="dxa" w:w="4248"/>
            <w:tcMar>
              <w:top w:w="80" w:type="dxa"/>
              <w:start w:w="90" w:type="dxa"/>
              <w:bottom w:w="80" w:type="dxa"/>
              <w:end w:w="90" w:type="dxa"/>
            </w:tcMar>
            <w:vAlign w:val="center"/>
          </w:tcPr>
          <w:p>
            <w:pPr>
              <w:spacing w:before="0" w:after="0" w:line="259" w:lineRule="auto"/>
            </w:pPr>
            <w:r>
              <w:rPr>
                <w:rFonts w:ascii="Aptos" w:hAnsi="Aptos"/>
                <w:b w:val="0"/>
                <w:sz w:val="16"/>
              </w:rPr>
              <w:t>Zone manifests, leases, snapshot hashes and patches.</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6"/>
              </w:rPr>
              <w:t>Must not perform fuzzy history matching.</w:t>
            </w:r>
          </w:p>
        </w:tc>
      </w:tr>
      <w:tr>
        <w:trPr>
          <w:cantSplit/>
        </w:trPr>
        <w:tc>
          <w:tcPr>
            <w:tcW w:type="dxa" w:w="2088"/>
            <w:tcMar>
              <w:top w:w="80" w:type="dxa"/>
              <w:start w:w="90" w:type="dxa"/>
              <w:bottom w:w="80" w:type="dxa"/>
              <w:end w:w="90" w:type="dxa"/>
            </w:tcMar>
            <w:vAlign w:val="center"/>
          </w:tcPr>
          <w:p>
            <w:pPr>
              <w:spacing w:before="0" w:after="0" w:line="259" w:lineRule="auto"/>
            </w:pPr>
            <w:r>
              <w:rPr>
                <w:rFonts w:ascii="Aptos" w:hAnsi="Aptos"/>
                <w:b/>
                <w:sz w:val="16"/>
              </w:rPr>
              <w:t>WS-D Matcher</w:t>
            </w:r>
          </w:p>
        </w:tc>
        <w:tc>
          <w:tcPr>
            <w:tcW w:type="dxa" w:w="4248"/>
            <w:tcMar>
              <w:top w:w="80" w:type="dxa"/>
              <w:start w:w="90" w:type="dxa"/>
              <w:bottom w:w="80" w:type="dxa"/>
              <w:end w:w="90" w:type="dxa"/>
            </w:tcMar>
            <w:vAlign w:val="center"/>
          </w:tcPr>
          <w:p>
            <w:pPr>
              <w:spacing w:before="0" w:after="0" w:line="259" w:lineRule="auto"/>
            </w:pPr>
            <w:r>
              <w:rPr>
                <w:rFonts w:ascii="Aptos" w:hAnsi="Aptos"/>
                <w:b w:val="0"/>
                <w:sz w:val="16"/>
              </w:rPr>
              <w:t>Exact identity, topology fingerprints, registration and assignment.</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6"/>
              </w:rPr>
              <w:t>Must not allocate engineering numbers.</w:t>
            </w:r>
          </w:p>
        </w:tc>
      </w:tr>
      <w:tr>
        <w:trPr>
          <w:cantSplit/>
        </w:trPr>
        <w:tc>
          <w:tcPr>
            <w:tcW w:type="dxa" w:w="2088"/>
            <w:tcMar>
              <w:top w:w="80" w:type="dxa"/>
              <w:start w:w="90" w:type="dxa"/>
              <w:bottom w:w="80" w:type="dxa"/>
              <w:end w:w="90" w:type="dxa"/>
            </w:tcMar>
            <w:vAlign w:val="center"/>
          </w:tcPr>
          <w:p>
            <w:pPr>
              <w:spacing w:before="0" w:after="0" w:line="259" w:lineRule="auto"/>
            </w:pPr>
            <w:r>
              <w:rPr>
                <w:rFonts w:ascii="Aptos" w:hAnsi="Aptos"/>
                <w:b/>
                <w:sz w:val="16"/>
              </w:rPr>
              <w:t>WS-E Topology</w:t>
            </w:r>
          </w:p>
        </w:tc>
        <w:tc>
          <w:tcPr>
            <w:tcW w:type="dxa" w:w="4248"/>
            <w:tcMar>
              <w:top w:w="80" w:type="dxa"/>
              <w:start w:w="90" w:type="dxa"/>
              <w:bottom w:w="80" w:type="dxa"/>
              <w:end w:w="90" w:type="dxa"/>
            </w:tcMar>
            <w:vAlign w:val="center"/>
          </w:tcPr>
          <w:p>
            <w:pPr>
              <w:spacing w:before="0" w:after="0" w:line="259" w:lineRule="auto"/>
            </w:pPr>
            <w:r>
              <w:rPr>
                <w:rFonts w:ascii="Aptos" w:hAnsi="Aptos"/>
                <w:b w:val="0"/>
                <w:sz w:val="16"/>
              </w:rPr>
              <w:t>Port alias policy and micro-geometry normalization.</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6"/>
              </w:rPr>
              <w:t>Must not introduce PSI-only connectivity.</w:t>
            </w:r>
          </w:p>
        </w:tc>
      </w:tr>
      <w:tr>
        <w:trPr>
          <w:cantSplit/>
        </w:trPr>
        <w:tc>
          <w:tcPr>
            <w:tcW w:type="dxa" w:w="2088"/>
            <w:tcMar>
              <w:top w:w="80" w:type="dxa"/>
              <w:start w:w="90" w:type="dxa"/>
              <w:bottom w:w="80" w:type="dxa"/>
              <w:end w:w="90" w:type="dxa"/>
            </w:tcMar>
            <w:vAlign w:val="center"/>
          </w:tcPr>
          <w:p>
            <w:pPr>
              <w:spacing w:before="0" w:after="0" w:line="259" w:lineRule="auto"/>
            </w:pPr>
            <w:r>
              <w:rPr>
                <w:rFonts w:ascii="Aptos" w:hAnsi="Aptos"/>
                <w:b/>
                <w:sz w:val="16"/>
              </w:rPr>
              <w:t>WS-F Integration</w:t>
            </w:r>
          </w:p>
        </w:tc>
        <w:tc>
          <w:tcPr>
            <w:tcW w:type="dxa" w:w="4248"/>
            <w:tcMar>
              <w:top w:w="80" w:type="dxa"/>
              <w:start w:w="90" w:type="dxa"/>
              <w:bottom w:w="80" w:type="dxa"/>
              <w:end w:w="90" w:type="dxa"/>
            </w:tcMar>
            <w:vAlign w:val="center"/>
          </w:tcPr>
          <w:p>
            <w:pPr>
              <w:spacing w:before="0" w:after="0" w:line="259" w:lineRule="auto"/>
            </w:pPr>
            <w:r>
              <w:rPr>
                <w:rFonts w:ascii="Aptos" w:hAnsi="Aptos"/>
                <w:b w:val="0"/>
                <w:sz w:val="16"/>
              </w:rPr>
              <w:t>Projectors, parity, topology index and end-to-end gates.</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6"/>
              </w:rPr>
              <w:t>Must not weaken blockers into warnings.</w:t>
            </w:r>
          </w:p>
        </w:tc>
      </w:tr>
      <w:tr>
        <w:trPr>
          <w:cantSplit/>
        </w:trPr>
        <w:tc>
          <w:tcPr>
            <w:tcW w:type="dxa" w:w="2088"/>
            <w:tcMar>
              <w:top w:w="80" w:type="dxa"/>
              <w:start w:w="90" w:type="dxa"/>
              <w:bottom w:w="80" w:type="dxa"/>
              <w:end w:w="90" w:type="dxa"/>
            </w:tcMar>
            <w:vAlign w:val="center"/>
          </w:tcPr>
          <w:p>
            <w:pPr>
              <w:spacing w:before="0" w:after="0" w:line="259" w:lineRule="auto"/>
            </w:pPr>
            <w:r>
              <w:rPr>
                <w:rFonts w:ascii="Aptos" w:hAnsi="Aptos"/>
                <w:b/>
                <w:sz w:val="16"/>
              </w:rPr>
              <w:t>WS-G Assurance</w:t>
            </w:r>
          </w:p>
        </w:tc>
        <w:tc>
          <w:tcPr>
            <w:tcW w:type="dxa" w:w="4248"/>
            <w:tcMar>
              <w:top w:w="80" w:type="dxa"/>
              <w:start w:w="90" w:type="dxa"/>
              <w:bottom w:w="80" w:type="dxa"/>
              <w:end w:w="90" w:type="dxa"/>
            </w:tcMar>
            <w:vAlign w:val="center"/>
          </w:tcPr>
          <w:p>
            <w:pPr>
              <w:spacing w:before="0" w:after="0" w:line="259" w:lineRule="auto"/>
            </w:pPr>
            <w:r>
              <w:rPr>
                <w:rFonts w:ascii="Aptos" w:hAnsi="Aptos"/>
                <w:b w:val="0"/>
                <w:sz w:val="16"/>
              </w:rPr>
              <w:t>XSD, selected-output CII proof, support semantics and audit truth.</w:t>
            </w:r>
          </w:p>
        </w:tc>
        <w:tc>
          <w:tcPr>
            <w:tcW w:type="dxa" w:w="3672"/>
            <w:tcMar>
              <w:top w:w="80" w:type="dxa"/>
              <w:start w:w="90" w:type="dxa"/>
              <w:bottom w:w="80" w:type="dxa"/>
              <w:end w:w="90" w:type="dxa"/>
            </w:tcMar>
            <w:vAlign w:val="center"/>
          </w:tcPr>
          <w:p>
            <w:pPr>
              <w:spacing w:before="0" w:after="0" w:line="259" w:lineRule="auto"/>
            </w:pPr>
            <w:r>
              <w:rPr>
                <w:rFonts w:ascii="Aptos" w:hAnsi="Aptos"/>
                <w:b w:val="0"/>
                <w:sz w:val="16"/>
              </w:rPr>
              <w:t>Must remain independent of writer intent.</w:t>
            </w:r>
          </w:p>
        </w:tc>
      </w:tr>
    </w:tbl>
    <w:p>
      <w:pPr>
        <w:pStyle w:val="Heading2"/>
      </w:pPr>
      <w:r>
        <w:t>5.3 Agent task lifecycle</w:t>
      </w:r>
    </w:p>
    <w:p>
      <w:pPr>
        <w:pStyle w:val="CodeBlock"/>
        <w:shd w:fill="F4F5F7"/>
        <w:pBdr>
          <w:left w:val="single" w:sz="14" w:space="5" w:color="2F5597"/>
        </w:pBdr>
      </w:pPr>
      <w:r>
        <w:t>Issue packet approved</w:t>
        <w:br/>
        <w:t xml:space="preserve">    ↓</w:t>
        <w:br/>
        <w:t>Coding agent implements within allowed files</w:t>
        <w:br/>
        <w:t xml:space="preserve">    ↓</w:t>
        <w:br/>
        <w:t>Agent runs minimum tests and returns evidence report</w:t>
        <w:br/>
        <w:t xml:space="preserve">    ↓</w:t>
        <w:br/>
        <w:t>Independent review agent checks contract and negative cases</w:t>
        <w:br/>
        <w:t xml:space="preserve">    ↓</w:t>
        <w:br/>
        <w:t>Orchestrator accepts, rejects or requests correction</w:t>
        <w:br/>
        <w:t xml:space="preserve">    ↓</w:t>
        <w:br/>
        <w:t>Integration branch runs phase gate</w:t>
        <w:br/>
        <w:t xml:space="preserve">    ↓</w:t>
        <w:br/>
        <w:t>Merge only when all mandatory evidence is current</w:t>
      </w:r>
    </w:p>
    <w:p>
      <w:pPr>
        <w:pStyle w:val="Heading2"/>
      </w:pPr>
      <w:r>
        <w:t>5.4 Mandatory task-packet contents</w:t>
      </w:r>
    </w:p>
    <w:p>
      <w:pPr>
        <w:pStyle w:val="ListBullet"/>
      </w:pPr>
      <w:r>
        <w:t>One concrete objective and named contract/version.</w:t>
      </w:r>
    </w:p>
    <w:p>
      <w:pPr>
        <w:pStyle w:val="ListBullet"/>
      </w:pPr>
      <w:r>
        <w:t>Relevant concept sections, ADRs and fixtures.</w:t>
      </w:r>
    </w:p>
    <w:p>
      <w:pPr>
        <w:pStyle w:val="ListBullet"/>
      </w:pPr>
      <w:r>
        <w:t>Exact files permitted for modification and read-only references.</w:t>
      </w:r>
    </w:p>
    <w:p>
      <w:pPr>
        <w:pStyle w:val="ListBullet"/>
      </w:pPr>
      <w:r>
        <w:t>Explicit non-goals and prohibited authority changes.</w:t>
      </w:r>
    </w:p>
    <w:p>
      <w:pPr>
        <w:pStyle w:val="ListBullet"/>
      </w:pPr>
      <w:r>
        <w:t>Required invariants and blocker codes.</w:t>
      </w:r>
    </w:p>
    <w:p>
      <w:pPr>
        <w:pStyle w:val="ListBullet"/>
      </w:pPr>
      <w:r>
        <w:t>Minimum positive, negative, mutation and determinism tests.</w:t>
      </w:r>
    </w:p>
    <w:p>
      <w:pPr>
        <w:pStyle w:val="ListBullet"/>
      </w:pPr>
      <w:r>
        <w:t>Required final report structure.</w:t>
      </w:r>
    </w:p>
    <w:p>
      <w:pPr>
        <w:pStyle w:val="Heading2"/>
      </w:pPr>
      <w:r>
        <w:t>5.5 Branch and pull-request policy</w:t>
      </w:r>
    </w:p>
    <w:p>
      <w:pPr>
        <w:pStyle w:val="ListBullet"/>
      </w:pPr>
      <w:r>
        <w:t>One issue and one bounded concern per branch.</w:t>
      </w:r>
    </w:p>
    <w:p>
      <w:pPr>
        <w:pStyle w:val="ListBullet"/>
      </w:pPr>
      <w:r>
        <w:t>No unrelated cleanup in programme PRs.</w:t>
      </w:r>
    </w:p>
    <w:p>
      <w:pPr>
        <w:pStyle w:val="ListBullet"/>
      </w:pPr>
      <w:r>
        <w:t>Shared contract files are owned by the orchestrator or contract workstream.</w:t>
      </w:r>
    </w:p>
    <w:p>
      <w:pPr>
        <w:pStyle w:val="ListBullet"/>
      </w:pPr>
      <w:r>
        <w:t>Parallel agents must not edit the same core files.</w:t>
      </w:r>
    </w:p>
    <w:p>
      <w:pPr>
        <w:pStyle w:val="ListBullet"/>
      </w:pPr>
      <w:r>
        <w:t>A contract meaning change requires a dedicated contract PR and version impact statement.</w:t>
      </w:r>
    </w:p>
    <w:p>
      <w:pPr>
        <w:pStyle w:val="ListBullet"/>
      </w:pPr>
      <w:r>
        <w:t>The implementing agent may not self-approve an evidence-gated decision.</w:t>
      </w:r>
    </w:p>
    <w:p>
      <w:pPr>
        <w:pStyle w:val="Heading2"/>
      </w:pPr>
      <w:r>
        <w:t>5.6 Architecture decision records</w:t>
      </w:r>
    </w:p>
    <w:tbl>
      <w:tblPr>
        <w:tblStyle w:val="TableGrid"/>
        <w:tblW w:type="auto" w:w="0"/>
        <w:jc w:val="center"/>
        <w:tblLook w:firstColumn="1" w:firstRow="1" w:lastColumn="0" w:lastRow="0" w:noHBand="0" w:noVBand="1" w:val="04A0"/>
      </w:tblPr>
      <w:tblGrid>
        <w:gridCol w:w="5083"/>
        <w:gridCol w:w="5083"/>
      </w:tblGrid>
      <w:tr>
        <w:tc>
          <w:tcPr>
            <w:tcW w:type="dxa" w:w="1656"/>
            <w:shd w:fill="17365D"/>
            <w:vAlign w:val="center"/>
          </w:tcPr>
          <w:p>
            <w:r>
              <w:rPr>
                <w:rFonts w:ascii="Aptos" w:hAnsi="Aptos"/>
                <w:b/>
                <w:color w:val="FFFFFF"/>
                <w:sz w:val="18"/>
              </w:rPr>
              <w:t>ADR</w:t>
            </w:r>
          </w:p>
        </w:tc>
        <w:tc>
          <w:tcPr>
            <w:tcW w:type="dxa" w:w="8352"/>
            <w:shd w:fill="17365D"/>
            <w:vAlign w:val="center"/>
          </w:tcPr>
          <w:p>
            <w:r>
              <w:rPr>
                <w:rFonts w:ascii="Aptos" w:hAnsi="Aptos"/>
                <w:b/>
                <w:color w:val="FFFFFF"/>
                <w:sz w:val="18"/>
              </w:rPr>
              <w:t>Decision</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ADR-001</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Zone-wide node-number uniqueness</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ADR-002</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Canonical node as logical-node authority</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ADR-003</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Canonical and sequential projectors feeding one serializer</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ADR-004</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Shared/repeated PSI node occurrence semantics</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ADR-005</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Strict PSI versus audit-extended profile</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ADR-006</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Historical stability versus route monotonicity</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ADR-007</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Support attachment versus route-node ownership</w:t>
            </w:r>
          </w:p>
        </w:tc>
      </w:tr>
      <w:tr>
        <w:tc>
          <w:tcPr>
            <w:tcW w:type="dxa" w:w="1656"/>
            <w:tcMar>
              <w:top w:w="80" w:type="dxa"/>
              <w:start w:w="90" w:type="dxa"/>
              <w:bottom w:w="80" w:type="dxa"/>
              <w:end w:w="90" w:type="dxa"/>
            </w:tcMar>
            <w:vAlign w:val="center"/>
          </w:tcPr>
          <w:p>
            <w:pPr>
              <w:spacing w:before="0" w:after="0" w:line="259" w:lineRule="auto"/>
            </w:pPr>
            <w:r>
              <w:rPr>
                <w:rFonts w:ascii="Aptos" w:hAnsi="Aptos"/>
                <w:b/>
                <w:sz w:val="17"/>
              </w:rPr>
              <w:t>ADR-008</w:t>
            </w:r>
          </w:p>
        </w:tc>
        <w:tc>
          <w:tcPr>
            <w:tcW w:type="dxa" w:w="8352"/>
            <w:tcMar>
              <w:top w:w="80" w:type="dxa"/>
              <w:start w:w="90" w:type="dxa"/>
              <w:bottom w:w="80" w:type="dxa"/>
              <w:end w:w="90" w:type="dxa"/>
            </w:tcMar>
            <w:vAlign w:val="center"/>
          </w:tcPr>
          <w:p>
            <w:pPr>
              <w:spacing w:before="0" w:after="0" w:line="259" w:lineRule="auto"/>
            </w:pPr>
            <w:r>
              <w:rPr>
                <w:rFonts w:ascii="Aptos" w:hAnsi="Aptos"/>
                <w:b w:val="0"/>
                <w:sz w:val="17"/>
              </w:rPr>
              <w:t>Non-contiguous lease support</w:t>
            </w:r>
          </w:p>
        </w:tc>
      </w:tr>
    </w:tbl>
    <w:p>
      <w:r>
        <w:br w:type="page"/>
      </w:r>
    </w:p>
    <w:p>
      <w:pPr>
        <w:pStyle w:val="Heading1"/>
      </w:pPr>
      <w:r>
        <w:t>6. Integrated programme backlog and ownership matrix</w:t>
      </w:r>
    </w:p>
    <w:p>
      <w:r>
        <w:t>The orchestrator should maintain one programme register that links architecture phases, evidence decisions and broader assurance dependencies. The following is the recommended initial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749"/>
            <w:shd w:fill="17365D"/>
            <w:vAlign w:val="center"/>
          </w:tcPr>
          <w:p>
            <w:r>
              <w:rPr>
                <w:rFonts w:ascii="Aptos" w:hAnsi="Aptos"/>
                <w:b/>
                <w:color w:val="FFFFFF"/>
                <w:sz w:val="15"/>
              </w:rPr>
              <w:t>ID</w:t>
            </w:r>
          </w:p>
        </w:tc>
        <w:tc>
          <w:tcPr>
            <w:tcW w:type="dxa" w:w="2520"/>
            <w:shd w:fill="17365D"/>
            <w:vAlign w:val="center"/>
          </w:tcPr>
          <w:p>
            <w:r>
              <w:rPr>
                <w:rFonts w:ascii="Aptos" w:hAnsi="Aptos"/>
                <w:b/>
                <w:color w:val="FFFFFF"/>
                <w:sz w:val="15"/>
              </w:rPr>
              <w:t>Task</w:t>
            </w:r>
          </w:p>
        </w:tc>
        <w:tc>
          <w:tcPr>
            <w:tcW w:type="dxa" w:w="1224"/>
            <w:shd w:fill="17365D"/>
            <w:vAlign w:val="center"/>
          </w:tcPr>
          <w:p>
            <w:r>
              <w:rPr>
                <w:rFonts w:ascii="Aptos" w:hAnsi="Aptos"/>
                <w:b/>
                <w:color w:val="FFFFFF"/>
                <w:sz w:val="15"/>
              </w:rPr>
              <w:t>Owner</w:t>
            </w:r>
          </w:p>
        </w:tc>
        <w:tc>
          <w:tcPr>
            <w:tcW w:type="dxa" w:w="2016"/>
            <w:shd w:fill="17365D"/>
            <w:vAlign w:val="center"/>
          </w:tcPr>
          <w:p>
            <w:r>
              <w:rPr>
                <w:rFonts w:ascii="Aptos" w:hAnsi="Aptos"/>
                <w:b/>
                <w:color w:val="FFFFFF"/>
                <w:sz w:val="15"/>
              </w:rPr>
              <w:t>Prerequisite</w:t>
            </w:r>
          </w:p>
        </w:tc>
        <w:tc>
          <w:tcPr>
            <w:tcW w:type="dxa" w:w="2376"/>
            <w:shd w:fill="17365D"/>
            <w:vAlign w:val="center"/>
          </w:tcPr>
          <w:p>
            <w:r>
              <w:rPr>
                <w:rFonts w:ascii="Aptos" w:hAnsi="Aptos"/>
                <w:b/>
                <w:color w:val="FFFFFF"/>
                <w:sz w:val="15"/>
              </w:rPr>
              <w:t>Output</w:t>
            </w:r>
          </w:p>
        </w:tc>
        <w:tc>
          <w:tcPr>
            <w:tcW w:type="dxa" w:w="1080"/>
            <w:shd w:fill="17365D"/>
            <w:vAlign w:val="center"/>
          </w:tcPr>
          <w:p>
            <w:r>
              <w:rPr>
                <w:rFonts w:ascii="Aptos" w:hAnsi="Aptos"/>
                <w:b/>
                <w:color w:val="FFFFFF"/>
                <w:sz w:val="15"/>
              </w:rPr>
              <w:t>Gate</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HN-001</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Characterize current allocation and occurrence behavior</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WS-B</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None</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Golden fixtures and inventory</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0</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HN-002</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Freeze v1 contracts and validation enums</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WS-A</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HN-001</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Schemas and contract tests</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1</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HN-003</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Pure writer occurrence planner</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WS-B</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HN-002</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Occurrence plan and tests</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1</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HN-004</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Strict external node-plan serializer</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WS-B</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HN-003</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No counters/mutation; byte determinism</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2</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HN-005</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Registry schema and snapshot hashing</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WS-C</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HN-002</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Zone manifest and patch contracts</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3</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HN-006</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Deterministic zone allocator</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WS-C</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HN-005, EG-02/04 policy</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Allocator and collision tests</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3</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HN-007</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Exact historical matcher</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WS-D</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HN-002, bootstrap data</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Exact/anchor matching</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4</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HN-008</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Registered evidence matcher</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WS-D</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HN-007, EG-03/07</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Scored assignment and calibration</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5</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HN-009</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Shared topology normalization shadow mode</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WS-E</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HN-002, canonical builder seam</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Normalization audit</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6</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HN-010</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Topology index and trace extension</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WS-F</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HN-002, HN-009</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PsiTopologyIndex.v1</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6/7</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HN-011</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Shared-node PSI/CII proof</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WS-G</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HN-003/004, EG-01</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ADR-004 evidence packet</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7</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HN-012</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Approved registry bootstrap</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WS-C/GS</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HN-005/007</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Approved initial zone history</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7</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HN-013</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Hard parity and selected-output proof</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WS-F/GS</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HN-004, AS-05/06</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Production gate evidence</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7/8</w:t>
            </w:r>
          </w:p>
        </w:tc>
      </w:tr>
      <w:tr>
        <w:trPr>
          <w:cantSplit/>
        </w:trPr>
        <w:tc>
          <w:tcPr>
            <w:tcW w:type="dxa" w:w="749"/>
            <w:tcMar>
              <w:top w:w="50" w:type="dxa"/>
              <w:start w:w="50" w:type="dxa"/>
              <w:bottom w:w="50" w:type="dxa"/>
              <w:end w:w="50" w:type="dxa"/>
            </w:tcMar>
            <w:vAlign w:val="center"/>
          </w:tcPr>
          <w:p>
            <w:pPr>
              <w:spacing w:before="0" w:after="0" w:line="240" w:lineRule="auto"/>
            </w:pPr>
            <w:r>
              <w:rPr>
                <w:rFonts w:ascii="Aptos" w:hAnsi="Aptos"/>
                <w:b/>
                <w:sz w:val="14"/>
              </w:rPr>
              <w:t>HN-014</w:t>
            </w:r>
          </w:p>
        </w:tc>
        <w:tc>
          <w:tcPr>
            <w:tcW w:type="dxa" w:w="2520"/>
            <w:tcMar>
              <w:top w:w="50" w:type="dxa"/>
              <w:start w:w="50" w:type="dxa"/>
              <w:bottom w:w="50" w:type="dxa"/>
              <w:end w:w="50" w:type="dxa"/>
            </w:tcMar>
            <w:vAlign w:val="center"/>
          </w:tcPr>
          <w:p>
            <w:pPr>
              <w:spacing w:before="0" w:after="0" w:line="240" w:lineRule="auto"/>
            </w:pPr>
            <w:r>
              <w:rPr>
                <w:rFonts w:ascii="Aptos" w:hAnsi="Aptos"/>
                <w:b w:val="0"/>
                <w:sz w:val="14"/>
              </w:rPr>
              <w:t>History-enforced mode</w:t>
            </w:r>
          </w:p>
        </w:tc>
        <w:tc>
          <w:tcPr>
            <w:tcW w:type="dxa" w:w="1224"/>
            <w:tcMar>
              <w:top w:w="50" w:type="dxa"/>
              <w:start w:w="50" w:type="dxa"/>
              <w:bottom w:w="50" w:type="dxa"/>
              <w:end w:w="50" w:type="dxa"/>
            </w:tcMar>
            <w:vAlign w:val="center"/>
          </w:tcPr>
          <w:p>
            <w:pPr>
              <w:spacing w:before="0" w:after="0" w:line="240" w:lineRule="auto"/>
            </w:pPr>
            <w:r>
              <w:rPr>
                <w:rFonts w:ascii="Aptos" w:hAnsi="Aptos"/>
                <w:b w:val="0"/>
                <w:sz w:val="14"/>
              </w:rPr>
              <w:t>Release integrator</w:t>
            </w:r>
          </w:p>
        </w:tc>
        <w:tc>
          <w:tcPr>
            <w:tcW w:type="dxa" w:w="2016"/>
            <w:tcMar>
              <w:top w:w="50" w:type="dxa"/>
              <w:start w:w="50" w:type="dxa"/>
              <w:bottom w:w="50" w:type="dxa"/>
              <w:end w:w="50" w:type="dxa"/>
            </w:tcMar>
            <w:vAlign w:val="center"/>
          </w:tcPr>
          <w:p>
            <w:pPr>
              <w:spacing w:before="0" w:after="0" w:line="240" w:lineRule="auto"/>
            </w:pPr>
            <w:r>
              <w:rPr>
                <w:rFonts w:ascii="Aptos" w:hAnsi="Aptos"/>
                <w:b w:val="0"/>
                <w:sz w:val="14"/>
              </w:rPr>
              <w:t>All required gates</w:t>
            </w:r>
          </w:p>
        </w:tc>
        <w:tc>
          <w:tcPr>
            <w:tcW w:type="dxa" w:w="2376"/>
            <w:tcMar>
              <w:top w:w="50" w:type="dxa"/>
              <w:start w:w="50" w:type="dxa"/>
              <w:bottom w:w="50" w:type="dxa"/>
              <w:end w:w="50" w:type="dxa"/>
            </w:tcMar>
            <w:vAlign w:val="center"/>
          </w:tcPr>
          <w:p>
            <w:pPr>
              <w:spacing w:before="0" w:after="0" w:line="240" w:lineRule="auto"/>
            </w:pPr>
            <w:r>
              <w:rPr>
                <w:rFonts w:ascii="Aptos" w:hAnsi="Aptos"/>
                <w:b w:val="0"/>
                <w:sz w:val="14"/>
              </w:rPr>
              <w:t>Enabled production selection</w:t>
            </w:r>
          </w:p>
        </w:tc>
        <w:tc>
          <w:tcPr>
            <w:tcW w:type="dxa" w:w="1080"/>
            <w:tcMar>
              <w:top w:w="50" w:type="dxa"/>
              <w:start w:w="50" w:type="dxa"/>
              <w:bottom w:w="50" w:type="dxa"/>
              <w:end w:w="50" w:type="dxa"/>
            </w:tcMar>
            <w:vAlign w:val="center"/>
          </w:tcPr>
          <w:p>
            <w:pPr>
              <w:spacing w:before="0" w:after="0" w:line="240" w:lineRule="auto"/>
            </w:pPr>
            <w:r>
              <w:rPr>
                <w:rFonts w:ascii="Aptos" w:hAnsi="Aptos"/>
                <w:b w:val="0"/>
                <w:sz w:val="14"/>
              </w:rPr>
              <w:t>Phase 8</w:t>
            </w:r>
          </w:p>
        </w:tc>
      </w:tr>
    </w:tbl>
    <w:p>
      <w:pPr>
        <w:pStyle w:val="Heading1"/>
      </w:pPr>
      <w:r>
        <w:t>7. Decision and release gates</w:t>
      </w:r>
    </w:p>
    <w:p>
      <w:pPr>
        <w:pStyle w:val="Heading2"/>
      </w:pPr>
      <w:r>
        <w:t>7.1 Contract-freeze gate</w:t>
      </w:r>
    </w:p>
    <w:tbl>
      <w:tblPr>
        <w:tblW w:type="auto" w:w="0"/>
        <w:jc w:val="center"/>
        <w:tblLook w:firstColumn="1" w:firstRow="1" w:lastColumn="0" w:lastRow="0" w:noHBand="0" w:noVBand="1" w:val="04A0"/>
      </w:tblPr>
      <w:tblGrid>
        <w:gridCol w:w="10166"/>
      </w:tblGrid>
      <w:tr>
        <w:tc>
          <w:tcPr>
            <w:tcW w:type="dxa" w:w="10166"/>
            <w:shd w:fill="D9EAF7"/>
            <w:tcMar>
              <w:top w:w="100" w:type="dxa"/>
              <w:start w:w="140" w:type="dxa"/>
              <w:bottom w:w="100" w:type="dxa"/>
              <w:end w:w="140" w:type="dxa"/>
            </w:tcMar>
            <w:vAlign w:val="center"/>
          </w:tcPr>
          <w:p>
            <w:pPr>
              <w:spacing w:after="0"/>
            </w:pPr>
            <w:r/>
          </w:p>
          <w:p>
            <w:pPr>
              <w:pStyle w:val="ListBullet"/>
              <w:spacing w:after="40"/>
            </w:pPr>
            <w:r>
              <w:rPr>
                <w:rFonts w:ascii="Aptos" w:hAnsi="Aptos"/>
                <w:sz w:val="18"/>
              </w:rPr>
              <w:t>Current allocation and occurrence behavior has executable characterization tests.</w:t>
            </w:r>
          </w:p>
          <w:p>
            <w:pPr>
              <w:pStyle w:val="ListBullet"/>
              <w:spacing w:after="40"/>
            </w:pPr>
            <w:r>
              <w:rPr>
                <w:rFonts w:ascii="Aptos" w:hAnsi="Aptos"/>
                <w:sz w:val="18"/>
              </w:rPr>
              <w:t>PsiNodePlan.v1 and writer-occurrence fields are frozen.</w:t>
            </w:r>
          </w:p>
          <w:p>
            <w:pPr>
              <w:pStyle w:val="ListBullet"/>
              <w:spacing w:after="40"/>
            </w:pPr>
            <w:r>
              <w:rPr>
                <w:rFonts w:ascii="Aptos" w:hAnsi="Aptos"/>
                <w:sz w:val="18"/>
              </w:rPr>
              <w:t>Canonical topology, source-port and branch-identity authorities are named.</w:t>
            </w:r>
          </w:p>
          <w:p>
            <w:pPr>
              <w:pStyle w:val="ListBullet"/>
              <w:spacing w:after="40"/>
            </w:pPr>
            <w:r>
              <w:rPr>
                <w:rFonts w:ascii="Aptos" w:hAnsi="Aptos"/>
                <w:sz w:val="18"/>
              </w:rPr>
              <w:t>Unresolved decisions are linked to evidence IDs rather than guessed in code.</w:t>
            </w:r>
          </w:p>
        </w:tc>
      </w:tr>
    </w:tbl>
    <w:p>
      <w:pPr>
        <w:pStyle w:val="Heading2"/>
      </w:pPr>
      <w:r>
        <w:t>7.2 Writer-migration gate</w:t>
      </w:r>
    </w:p>
    <w:tbl>
      <w:tblPr>
        <w:tblW w:type="auto" w:w="0"/>
        <w:jc w:val="center"/>
        <w:tblLook w:firstColumn="1" w:firstRow="1" w:lastColumn="0" w:lastRow="0" w:noHBand="0" w:noVBand="1" w:val="04A0"/>
      </w:tblPr>
      <w:tblGrid>
        <w:gridCol w:w="10166"/>
      </w:tblGrid>
      <w:tr>
        <w:tc>
          <w:tcPr>
            <w:tcW w:type="dxa" w:w="10166"/>
            <w:shd w:fill="E2F0D9"/>
            <w:tcMar>
              <w:top w:w="100" w:type="dxa"/>
              <w:start w:w="140" w:type="dxa"/>
              <w:bottom w:w="100" w:type="dxa"/>
              <w:end w:w="140" w:type="dxa"/>
            </w:tcMar>
            <w:vAlign w:val="center"/>
          </w:tcPr>
          <w:p>
            <w:pPr>
              <w:spacing w:after="0"/>
            </w:pPr>
            <w:r/>
          </w:p>
          <w:p>
            <w:pPr>
              <w:pStyle w:val="ListBullet"/>
              <w:spacing w:after="40"/>
            </w:pPr>
            <w:r>
              <w:rPr>
                <w:rFonts w:ascii="Aptos" w:hAnsi="Aptos"/>
                <w:sz w:val="18"/>
              </w:rPr>
              <w:t>Writer-side allocations = 0.</w:t>
            </w:r>
          </w:p>
          <w:p>
            <w:pPr>
              <w:pStyle w:val="ListBullet"/>
              <w:spacing w:after="40"/>
            </w:pPr>
            <w:r>
              <w:rPr>
                <w:rFonts w:ascii="Aptos" w:hAnsi="Aptos"/>
                <w:sz w:val="18"/>
              </w:rPr>
              <w:t>Writer-side source-record mutations = 0.</w:t>
            </w:r>
          </w:p>
          <w:p>
            <w:pPr>
              <w:pStyle w:val="ListBullet"/>
              <w:spacing w:after="40"/>
            </w:pPr>
            <w:r>
              <w:rPr>
                <w:rFonts w:ascii="Aptos" w:hAnsi="Aptos"/>
                <w:sz w:val="18"/>
              </w:rPr>
              <w:t>Node-plan occurrence coverage = 100%.</w:t>
            </w:r>
          </w:p>
          <w:p>
            <w:pPr>
              <w:pStyle w:val="ListBullet"/>
              <w:spacing w:after="40"/>
            </w:pPr>
            <w:r>
              <w:rPr>
                <w:rFonts w:ascii="Aptos" w:hAnsi="Aptos"/>
                <w:sz w:val="18"/>
              </w:rPr>
              <w:t>Byte-identical output for identical inputs and evaluatedAt.</w:t>
            </w:r>
          </w:p>
        </w:tc>
      </w:tr>
    </w:tbl>
    <w:p>
      <w:pPr>
        <w:pStyle w:val="Heading2"/>
      </w:pPr>
      <w:r>
        <w:t>7.3 Registry and matcher gate</w:t>
      </w:r>
    </w:p>
    <w:tbl>
      <w:tblPr>
        <w:tblW w:type="auto" w:w="0"/>
        <w:jc w:val="center"/>
        <w:tblLook w:firstColumn="1" w:firstRow="1" w:lastColumn="0" w:lastRow="0" w:noHBand="0" w:noVBand="1" w:val="04A0"/>
      </w:tblPr>
      <w:tblGrid>
        <w:gridCol w:w="10166"/>
      </w:tblGrid>
      <w:tr>
        <w:tc>
          <w:tcPr>
            <w:tcW w:type="dxa" w:w="10166"/>
            <w:shd w:fill="FFF2CC"/>
            <w:tcMar>
              <w:top w:w="100" w:type="dxa"/>
              <w:start w:w="140" w:type="dxa"/>
              <w:bottom w:w="100" w:type="dxa"/>
              <w:end w:w="140" w:type="dxa"/>
            </w:tcMar>
            <w:vAlign w:val="center"/>
          </w:tcPr>
          <w:p>
            <w:pPr>
              <w:spacing w:after="0"/>
            </w:pPr>
            <w:r/>
          </w:p>
          <w:p>
            <w:pPr>
              <w:pStyle w:val="ListBullet"/>
              <w:spacing w:after="40"/>
            </w:pPr>
            <w:r>
              <w:rPr>
                <w:rFonts w:ascii="Aptos" w:hAnsi="Aptos"/>
                <w:sz w:val="18"/>
              </w:rPr>
              <w:t>Zone uniqueness and deterministic block allocation are proven.</w:t>
            </w:r>
          </w:p>
          <w:p>
            <w:pPr>
              <w:pStyle w:val="ListBullet"/>
              <w:spacing w:after="40"/>
            </w:pPr>
            <w:r>
              <w:rPr>
                <w:rFonts w:ascii="Aptos" w:hAnsi="Aptos"/>
                <w:sz w:val="18"/>
              </w:rPr>
              <w:t>Stale and concurrent registry updates are rejected.</w:t>
            </w:r>
          </w:p>
          <w:p>
            <w:pPr>
              <w:pStyle w:val="ListBullet"/>
              <w:spacing w:after="40"/>
            </w:pPr>
            <w:r>
              <w:rPr>
                <w:rFonts w:ascii="Aptos" w:hAnsi="Aptos"/>
                <w:sz w:val="18"/>
              </w:rPr>
              <w:t>Exact matching is order-independent.</w:t>
            </w:r>
          </w:p>
          <w:p>
            <w:pPr>
              <w:pStyle w:val="ListBullet"/>
              <w:spacing w:after="40"/>
            </w:pPr>
            <w:r>
              <w:rPr>
                <w:rFonts w:ascii="Aptos" w:hAnsi="Aptos"/>
                <w:sz w:val="18"/>
              </w:rPr>
              <w:t>Ambiguous or conflicting candidates cannot auto-reuse history.</w:t>
            </w:r>
          </w:p>
          <w:p>
            <w:pPr>
              <w:pStyle w:val="ListBullet"/>
              <w:spacing w:after="40"/>
            </w:pPr>
            <w:r>
              <w:rPr>
                <w:rFonts w:ascii="Aptos" w:hAnsi="Aptos"/>
                <w:sz w:val="18"/>
              </w:rPr>
              <w:t>Partial runs cannot retire unseen nodes.</w:t>
            </w:r>
          </w:p>
        </w:tc>
      </w:tr>
    </w:tbl>
    <w:p>
      <w:pPr>
        <w:pStyle w:val="Heading2"/>
      </w:pPr>
      <w:r>
        <w:t>7.4 Production-enforcement gate</w:t>
      </w:r>
    </w:p>
    <w:tbl>
      <w:tblPr>
        <w:tblW w:type="auto" w:w="0"/>
        <w:jc w:val="center"/>
        <w:tblLook w:firstColumn="1" w:firstRow="1" w:lastColumn="0" w:lastRow="0" w:noHBand="0" w:noVBand="1" w:val="04A0"/>
      </w:tblPr>
      <w:tblGrid>
        <w:gridCol w:w="10166"/>
      </w:tblGrid>
      <w:tr>
        <w:tc>
          <w:tcPr>
            <w:tcW w:type="dxa" w:w="10166"/>
            <w:shd w:fill="FCE4D6"/>
            <w:tcMar>
              <w:top w:w="100" w:type="dxa"/>
              <w:start w:w="140" w:type="dxa"/>
              <w:bottom w:w="100" w:type="dxa"/>
              <w:end w:w="140" w:type="dxa"/>
            </w:tcMar>
            <w:vAlign w:val="center"/>
          </w:tcPr>
          <w:p>
            <w:pPr>
              <w:spacing w:after="0"/>
            </w:pPr>
            <w:r/>
          </w:p>
          <w:p>
            <w:pPr>
              <w:pStyle w:val="ListBullet"/>
              <w:spacing w:after="40"/>
            </w:pPr>
            <w:r>
              <w:rPr>
                <w:rFonts w:ascii="Aptos" w:hAnsi="Aptos"/>
                <w:sz w:val="18"/>
              </w:rPr>
              <w:t>EG-01 shared-node serialization is approved.</w:t>
            </w:r>
          </w:p>
          <w:p>
            <w:pPr>
              <w:pStyle w:val="ListBullet"/>
              <w:spacing w:after="40"/>
            </w:pPr>
            <w:r>
              <w:rPr>
                <w:rFonts w:ascii="Aptos" w:hAnsi="Aptos"/>
                <w:sz w:val="18"/>
              </w:rPr>
              <w:t>Approved bootstrap registry exists.</w:t>
            </w:r>
          </w:p>
          <w:p>
            <w:pPr>
              <w:pStyle w:val="ListBullet"/>
              <w:spacing w:after="40"/>
            </w:pPr>
            <w:r>
              <w:rPr>
                <w:rFonts w:ascii="Aptos" w:hAnsi="Aptos"/>
                <w:sz w:val="18"/>
              </w:rPr>
              <w:t>Selected PSI output passes independent schema/downstream proof.</w:t>
            </w:r>
          </w:p>
          <w:p>
            <w:pPr>
              <w:pStyle w:val="ListBullet"/>
              <w:spacing w:after="40"/>
            </w:pPr>
            <w:r>
              <w:rPr>
                <w:rFonts w:ascii="Aptos" w:hAnsi="Aptos"/>
                <w:sz w:val="18"/>
              </w:rPr>
              <w:t>Canonical/sequential numbering and engineering content parity are exact.</w:t>
            </w:r>
          </w:p>
          <w:p>
            <w:pPr>
              <w:pStyle w:val="ListBullet"/>
              <w:spacing w:after="40"/>
            </w:pPr>
            <w:r>
              <w:rPr>
                <w:rFonts w:ascii="Aptos" w:hAnsi="Aptos"/>
                <w:sz w:val="18"/>
              </w:rPr>
              <w:t>No required assurance dependency is stale, missing or unresolved.</w:t>
            </w:r>
          </w:p>
          <w:p>
            <w:pPr>
              <w:pStyle w:val="ListBullet"/>
              <w:spacing w:after="40"/>
            </w:pPr>
            <w:r>
              <w:rPr>
                <w:rFonts w:ascii="Aptos" w:hAnsi="Aptos"/>
                <w:sz w:val="18"/>
              </w:rPr>
              <w:t>Rollback to the previous approved registry snapshot is tested.</w:t>
            </w:r>
          </w:p>
        </w:tc>
      </w:tr>
    </w:tbl>
    <w:p>
      <w:pPr>
        <w:pStyle w:val="Heading1"/>
      </w:pPr>
      <w:r>
        <w:t>Appendix A. Coding-agent task packet template</w:t>
      </w:r>
    </w:p>
    <w:p>
      <w:pPr>
        <w:pStyle w:val="CodeBlock"/>
        <w:shd w:fill="F4F5F7"/>
        <w:pBdr>
          <w:left w:val="single" w:sz="14" w:space="5" w:color="2F5597"/>
        </w:pBdr>
      </w:pPr>
      <w:r>
        <w:t>PROGRAMME</w:t>
        <w:br/>
        <w:t>Historical Node Identity and Deterministic PSI Numbering</w:t>
        <w:br/>
        <w:br/>
        <w:t>ARCHITECTURAL AUTHORITY</w:t>
        <w:br/>
        <w:t>Revision 3 concept document, this addendum, and approved ADRs are authoritative.</w:t>
        <w:br/>
        <w:t>Where repository behavior conflicts with an approved contract, stop and report.</w:t>
        <w:br/>
        <w:br/>
        <w:t>TASK</w:t>
        <w:br/>
        <w:t>[One concrete deliverable]</w:t>
        <w:br/>
        <w:br/>
        <w:t>CONTRACTS AND VERSIONS</w:t>
        <w:br/>
        <w:t>[List]</w:t>
        <w:br/>
        <w:br/>
        <w:t>RELEVANT SECTIONS / ADRS / FIXTURES</w:t>
        <w:br/>
        <w:t>[List]</w:t>
        <w:br/>
        <w:br/>
        <w:t>FILES TO INSPECT</w:t>
        <w:br/>
        <w:t>[List]</w:t>
        <w:br/>
        <w:br/>
        <w:t>FILES PERMITTED FOR MODIFICATION</w:t>
        <w:br/>
        <w:t>[List]</w:t>
        <w:br/>
        <w:br/>
        <w:t>NON-GOALS</w:t>
        <w:br/>
        <w:t>[List]</w:t>
        <w:br/>
        <w:br/>
        <w:t>REQUIRED INVARIANTS</w:t>
        <w:br/>
        <w:t>[List]</w:t>
        <w:br/>
        <w:br/>
        <w:t>IMPLEMENTATION REQUIREMENTS</w:t>
        <w:br/>
        <w:t>[List]</w:t>
        <w:br/>
        <w:br/>
        <w:t>MINIMUM TESTS</w:t>
        <w:br/>
        <w:t>- positive contract tests</w:t>
        <w:br/>
        <w:t>- negative/blocker tests</w:t>
        <w:br/>
        <w:t>- determinism/order-independence tests</w:t>
        <w:br/>
        <w:t>- mutation/no-side-effect tests</w:t>
        <w:br/>
        <w:t>- existing regression tests</w:t>
        <w:br/>
        <w:br/>
        <w:t>STOP CONDITIONS</w:t>
        <w:br/>
        <w:t>- contract contradiction or missing authority</w:t>
        <w:br/>
        <w:t>- unresolved PSI shared-node semantics</w:t>
        <w:br/>
        <w:t>- second topology or numbering authority would be introduced</w:t>
        <w:br/>
        <w:t>- writer-side number inference is required</w:t>
        <w:br/>
        <w:t>- unrelated schema/interface change is required</w:t>
        <w:br/>
        <w:br/>
        <w:t>FINAL REPORT</w:t>
        <w:br/>
        <w:t>1. Summary</w:t>
        <w:br/>
        <w:t>2. Files changed</w:t>
        <w:br/>
        <w:t>3. Tests added and run</w:t>
        <w:br/>
        <w:t>4. Results</w:t>
        <w:br/>
        <w:t>5. Contract compliance</w:t>
        <w:br/>
        <w:t>6. Assumptions</w:t>
        <w:br/>
        <w:t>7. Deviations</w:t>
        <w:br/>
        <w:t>8. Remaining risks</w:t>
        <w:br/>
        <w:t>9. Recommended next task</w:t>
      </w:r>
    </w:p>
    <w:p>
      <w:pPr>
        <w:pStyle w:val="Heading1"/>
      </w:pPr>
      <w:r>
        <w:t>Appendix B. Independent review-agent checklist</w:t>
      </w:r>
    </w:p>
    <w:p>
      <w:pPr>
        <w:pStyle w:val="ListBullet"/>
      </w:pPr>
      <w:r>
        <w:t>The implementation remains within the issue and allowed-file scope.</w:t>
      </w:r>
    </w:p>
    <w:p>
      <w:pPr>
        <w:pStyle w:val="ListBullet"/>
      </w:pPr>
      <w:r>
        <w:t>No hidden node counter, +10 inference or fallback allocation remains.</w:t>
      </w:r>
    </w:p>
    <w:p>
      <w:pPr>
        <w:pStyle w:val="ListBullet"/>
      </w:pPr>
      <w:r>
        <w:t>No source record is mutated to carry writer state.</w:t>
      </w:r>
    </w:p>
    <w:p>
      <w:pPr>
        <w:pStyle w:val="ListBullet"/>
      </w:pPr>
      <w:r>
        <w:t>No second canonical topology, branch-root or endpoint authority is introduced.</w:t>
      </w:r>
    </w:p>
    <w:p>
      <w:pPr>
        <w:pStyle w:val="ListBullet"/>
      </w:pPr>
      <w:r>
        <w:t>Hard conflicts are evaluated before matching scores.</w:t>
      </w:r>
    </w:p>
    <w:p>
      <w:pPr>
        <w:pStyle w:val="ListBullet"/>
      </w:pPr>
      <w:r>
        <w:t>One-to-one assignment and candidate ordering are deterministic.</w:t>
      </w:r>
    </w:p>
    <w:p>
      <w:pPr>
        <w:pStyle w:val="ListBullet"/>
      </w:pPr>
      <w:r>
        <w:t>Partial source coverage cannot retire unseen history.</w:t>
      </w:r>
    </w:p>
    <w:p>
      <w:pPr>
        <w:pStyle w:val="ListBullet"/>
      </w:pPr>
      <w:r>
        <w:t>Zone uniqueness, reserved ranges and lease ownership are enforced.</w:t>
      </w:r>
    </w:p>
    <w:p>
      <w:pPr>
        <w:pStyle w:val="ListBullet"/>
      </w:pPr>
      <w:r>
        <w:t>Requested/effective writer mode and selected-output hash are reconciled.</w:t>
      </w:r>
    </w:p>
    <w:p>
      <w:pPr>
        <w:pStyle w:val="ListBullet"/>
      </w:pPr>
      <w:r>
        <w:t>Blockers have not been weakened into warnings.</w:t>
      </w:r>
    </w:p>
    <w:p>
      <w:pPr>
        <w:pStyle w:val="ListBullet"/>
      </w:pPr>
      <w:r>
        <w:t>Negative and mutation tests exist, not only happy-path tests.</w:t>
      </w:r>
    </w:p>
    <w:p>
      <w:pPr>
        <w:pStyle w:val="ListBullet"/>
      </w:pPr>
      <w:r>
        <w:t>The final report identifies assumptions and unresolved decisions.</w:t>
      </w:r>
    </w:p>
    <w:p>
      <w:pPr>
        <w:pStyle w:val="Heading2"/>
      </w:pPr>
      <w:r>
        <w:t>Finding classification</w:t>
      </w:r>
    </w:p>
    <w:tbl>
      <w:tblPr>
        <w:tblStyle w:val="TableGrid"/>
        <w:tblW w:type="auto" w:w="0"/>
        <w:jc w:val="center"/>
        <w:tblLook w:firstColumn="1" w:firstRow="1" w:lastColumn="0" w:lastRow="0" w:noHBand="0" w:noVBand="1" w:val="04A0"/>
      </w:tblPr>
      <w:tblGrid>
        <w:gridCol w:w="5083"/>
        <w:gridCol w:w="5083"/>
      </w:tblGrid>
      <w:tr>
        <w:tc>
          <w:tcPr>
            <w:tcW w:type="dxa" w:w="2232"/>
            <w:shd w:fill="17365D"/>
            <w:vAlign w:val="center"/>
          </w:tcPr>
          <w:p>
            <w:r>
              <w:rPr>
                <w:rFonts w:ascii="Aptos" w:hAnsi="Aptos"/>
                <w:b/>
                <w:color w:val="FFFFFF"/>
                <w:sz w:val="18"/>
              </w:rPr>
              <w:t>Classification</w:t>
            </w:r>
          </w:p>
        </w:tc>
        <w:tc>
          <w:tcPr>
            <w:tcW w:type="dxa" w:w="7776"/>
            <w:shd w:fill="17365D"/>
            <w:vAlign w:val="center"/>
          </w:tcPr>
          <w:p>
            <w:r>
              <w:rPr>
                <w:rFonts w:ascii="Aptos" w:hAnsi="Aptos"/>
                <w:b/>
                <w:color w:val="FFFFFF"/>
                <w:sz w:val="18"/>
              </w:rPr>
              <w:t>Use</w:t>
            </w:r>
          </w:p>
        </w:tc>
      </w:tr>
      <w:tr>
        <w:tc>
          <w:tcPr>
            <w:tcW w:type="dxa" w:w="2232"/>
            <w:tcMar>
              <w:top w:w="80" w:type="dxa"/>
              <w:start w:w="90" w:type="dxa"/>
              <w:bottom w:w="80" w:type="dxa"/>
              <w:end w:w="90" w:type="dxa"/>
            </w:tcMar>
            <w:vAlign w:val="center"/>
          </w:tcPr>
          <w:p>
            <w:pPr>
              <w:spacing w:before="0" w:after="0" w:line="259" w:lineRule="auto"/>
            </w:pPr>
            <w:r>
              <w:rPr>
                <w:rFonts w:ascii="Aptos" w:hAnsi="Aptos"/>
                <w:b/>
                <w:sz w:val="17"/>
              </w:rPr>
              <w:t>BLOCKER</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Violates architecture, authority, data integrity or a mandatory phase gate.</w:t>
            </w:r>
          </w:p>
        </w:tc>
      </w:tr>
      <w:tr>
        <w:tc>
          <w:tcPr>
            <w:tcW w:type="dxa" w:w="2232"/>
            <w:tcMar>
              <w:top w:w="80" w:type="dxa"/>
              <w:start w:w="90" w:type="dxa"/>
              <w:bottom w:w="80" w:type="dxa"/>
              <w:end w:w="90" w:type="dxa"/>
            </w:tcMar>
            <w:vAlign w:val="center"/>
          </w:tcPr>
          <w:p>
            <w:pPr>
              <w:spacing w:before="0" w:after="0" w:line="259" w:lineRule="auto"/>
            </w:pPr>
            <w:r>
              <w:rPr>
                <w:rFonts w:ascii="Aptos" w:hAnsi="Aptos"/>
                <w:b/>
                <w:sz w:val="17"/>
              </w:rPr>
              <w:t>REVIEW_REQUIRED</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Requires orchestrator or engineering decision before automatic selection.</w:t>
            </w:r>
          </w:p>
        </w:tc>
      </w:tr>
      <w:tr>
        <w:tc>
          <w:tcPr>
            <w:tcW w:type="dxa" w:w="2232"/>
            <w:tcMar>
              <w:top w:w="80" w:type="dxa"/>
              <w:start w:w="90" w:type="dxa"/>
              <w:bottom w:w="80" w:type="dxa"/>
              <w:end w:w="90" w:type="dxa"/>
            </w:tcMar>
            <w:vAlign w:val="center"/>
          </w:tcPr>
          <w:p>
            <w:pPr>
              <w:spacing w:before="0" w:after="0" w:line="259" w:lineRule="auto"/>
            </w:pPr>
            <w:r>
              <w:rPr>
                <w:rFonts w:ascii="Aptos" w:hAnsi="Aptos"/>
                <w:b/>
                <w:sz w:val="17"/>
              </w:rPr>
              <w:t>NON_BLOCKING</w:t>
            </w:r>
          </w:p>
        </w:tc>
        <w:tc>
          <w:tcPr>
            <w:tcW w:type="dxa" w:w="7776"/>
            <w:tcMar>
              <w:top w:w="80" w:type="dxa"/>
              <w:start w:w="90" w:type="dxa"/>
              <w:bottom w:w="80" w:type="dxa"/>
              <w:end w:w="90" w:type="dxa"/>
            </w:tcMar>
            <w:vAlign w:val="center"/>
          </w:tcPr>
          <w:p>
            <w:pPr>
              <w:spacing w:before="0" w:after="0" w:line="259" w:lineRule="auto"/>
            </w:pPr>
            <w:r>
              <w:rPr>
                <w:rFonts w:ascii="Aptos" w:hAnsi="Aptos"/>
                <w:b w:val="0"/>
                <w:sz w:val="17"/>
              </w:rPr>
              <w:t>Improvement that does not compromise the approved contract or gate.</w:t>
            </w:r>
          </w:p>
        </w:tc>
      </w:tr>
    </w:tbl>
    <w:p>
      <w:pPr>
        <w:pStyle w:val="Heading1"/>
      </w:pPr>
      <w:r>
        <w:t>Appendix C. Recommended repository and document layout</w:t>
      </w:r>
    </w:p>
    <w:p>
      <w:pPr>
        <w:pStyle w:val="CodeBlock"/>
        <w:spacing w:line="228" w:lineRule="auto"/>
        <w:shd w:fill="F4F5F7"/>
        <w:pBdr>
          <w:left w:val="single" w:sz="14" w:space="5" w:color="2F5597"/>
        </w:pBdr>
      </w:pPr>
      <w:r>
        <w:rPr>
          <w:rFonts w:ascii="Aptos Mono" w:hAnsi="Aptos Mono"/>
          <w:sz w:val="16"/>
        </w:rPr>
        <w:t>docs/</w:t>
        <w:br/>
        <w:t xml:space="preserve">  architecture/</w:t>
        <w:br/>
        <w:t xml:space="preserve">    historical-node-preprocessor-concept-r3.docx</w:t>
        <w:br/>
        <w:t xml:space="preserve">    historical-node-programme-addendum.docx</w:t>
        <w:br/>
        <w:t xml:space="preserve">  delivery/</w:t>
        <w:br/>
        <w:t xml:space="preserve">    historical-node-programme-plan.md</w:t>
        <w:br/>
        <w:t xml:space="preserve">    coding-agent-task-template.md</w:t>
        <w:br/>
        <w:t xml:space="preserve">    review-agent-checklist.md</w:t>
        <w:br/>
        <w:t xml:space="preserve">    decision-register.md</w:t>
        <w:br/>
        <w:t xml:space="preserve">  adr/</w:t>
        <w:br/>
        <w:t xml:space="preserve">    ADR-001-zone-number-uniqueness.md</w:t>
        <w:br/>
        <w:t xml:space="preserve">    ADR-002-canonical-node-authority.md</w:t>
        <w:br/>
        <w:t xml:space="preserve">    ADR-003-shared-psi-serializer.md</w:t>
        <w:br/>
        <w:t xml:space="preserve">    ADR-004-shared-node-serialization.md</w:t>
        <w:br/>
        <w:t xml:space="preserve">    ADR-005-strict-vs-extended-psi.md</w:t>
        <w:br/>
        <w:t xml:space="preserve">    ADR-006-history-vs-monotonicity.md</w:t>
        <w:br/>
        <w:t xml:space="preserve">    ADR-007-support-attachment-ownership.md</w:t>
        <w:br/>
        <w:t xml:space="preserve">    ADR-008-non-contiguous-leases.md</w:t>
        <w:br/>
        <w:br/>
        <w:t>contracts/</w:t>
        <w:br/>
        <w:t xml:space="preserve">  psi-node-topology-normalization.schema.json</w:t>
        <w:br/>
        <w:t xml:space="preserve">  psi-node-history-match-result.schema.json</w:t>
        <w:br/>
        <w:t xml:space="preserve">  psi-node-allocation-result.schema.json</w:t>
        <w:br/>
        <w:t xml:space="preserve">  psi-node-plan.schema.json</w:t>
        <w:br/>
        <w:t xml:space="preserve">  psi-topology-index.schema.json</w:t>
        <w:br/>
        <w:t xml:space="preserve">  psi-node-registry-patch.schema.json</w:t>
        <w:br/>
        <w:t xml:space="preserve">  psi-node-preprocess-audit.schema.json</w:t>
        <w:br/>
        <w:br/>
        <w:t>node-history/</w:t>
        <w:br/>
        <w:t xml:space="preserve">  projects/&lt;projectId&gt;/zones/&lt;zoneId&gt;/</w:t>
        <w:br/>
        <w:t xml:space="preserve">    manifest.json</w:t>
        <w:br/>
        <w:t xml:space="preserve">    pool.json</w:t>
        <w:br/>
        <w:t xml:space="preserve">    lines/*.json</w:t>
        <w:br/>
        <w:t xml:space="preserve">    runs/*.json</w:t>
      </w:r>
    </w:p>
    <w:p>
      <w:r>
        <w:rPr>
          <w:rFonts w:ascii="Aptos" w:hAnsi="Aptos"/>
          <w:b/>
          <w:color w:val="17365D"/>
        </w:rPr>
        <w:t xml:space="preserve">Final programme principle: </w:t>
      </w:r>
      <w:r>
        <w:t>the orchestrator owns decisions and integration; coding agents own bounded implementations; independent evidence—not implementation confidence—closes production gates.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B6573"/>
        <w:sz w:val="17"/>
      </w:rPr>
      <w:t>Historical Node Numbering Programme  |  Governance and Assurance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44"/>
    </w:pPr>
    <w:rPr>
      <w:rFonts w:ascii="Aptos Mono" w:hAnsi="Aptos Mono"/>
      <w:color w:val="1F2937"/>
      <w:sz w:val="17"/>
    </w:rPr>
  </w:style>
  <w:style w:type="paragraph" w:customStyle="1" w:styleId="SmallNote">
    <w:name w:val="Small Note"/>
    <w:pPr>
      <w:spacing w:after="8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Remaining Decisions, Assurance Boundaries and Delivery Governance</dc:title>
  <dc:subject>Addendum to Historical Node Numbering and Micro-Geometry Preprocessor Revision 3</dc:subject>
  <dc:creator>Engineering Architecture Review</dc:creator>
  <cp:keywords>node history, PSI-116, CII, topology, orchestration, coding agents, assurance</cp:keywords>
  <dc:description>Standalone programme addendum.</dc:description>
  <cp:lastModifiedBy/>
  <cp:revision>1</cp:revision>
  <dcterms:created xsi:type="dcterms:W3CDTF">2013-12-23T23:15:00Z</dcterms:created>
  <dcterms:modified xsi:type="dcterms:W3CDTF">2013-12-23T23:15:00Z</dcterms:modified>
  <cp:category/>
</cp:coreProperties>
</file>