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XML Compatibility Adapter and Resolver Gate</w:t>
      </w:r>
    </w:p>
    <w:p>
      <w:pPr>
        <w:pStyle w:val="Subtitle"/>
      </w:pPr>
      <w:r>
        <w:t>Concept document for upstream sources converging on PSI-116 PipeStressExport XML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4E78"/>
                <w:sz w:val="18"/>
              </w:rPr>
              <w:t>Status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8"/>
              </w:rPr>
              <w:t>Draft for architecture and implementation review</w:t>
            </w:r>
          </w:p>
        </w:tc>
      </w:tr>
      <w:tr>
        <w:tc>
          <w:tcPr>
            <w:tcW w:type="dxa" w:w="2448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4E78"/>
                <w:sz w:val="18"/>
              </w:rPr>
              <w:t>Prepared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8"/>
              </w:rPr>
              <w:t>19 July 2026</w:t>
            </w:r>
          </w:p>
        </w:tc>
      </w:tr>
      <w:tr>
        <w:tc>
          <w:tcPr>
            <w:tcW w:type="dxa" w:w="2448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4E78"/>
                <w:sz w:val="18"/>
              </w:rPr>
              <w:t>Scope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8"/>
              </w:rPr>
              <w:t>Upstream source adapters, compatibility validation, normalization, evidence-backed enrichment, and canonical output gating</w:t>
            </w:r>
          </w:p>
        </w:tc>
      </w:tr>
      <w:tr>
        <w:tc>
          <w:tcPr>
            <w:tcW w:type="dxa" w:w="2448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4E78"/>
                <w:sz w:val="18"/>
              </w:rPr>
              <w:t>Repository baseline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8"/>
              </w:rPr>
              <w:t>3D_Converters de694e4a7; XML_Compare_Utilities 8c22337f6; 3DV cfd604cb6</w:t>
            </w:r>
          </w:p>
        </w:tc>
      </w:tr>
    </w:tbl>
    <w:p/>
    <w:p>
      <w:r>
        <w:rPr>
          <w:rFonts w:ascii="Aptos" w:hAnsi="Aptos"/>
          <w:b/>
          <w:color w:val="1F4E78"/>
          <w:sz w:val="22"/>
        </w:rPr>
        <w:t>Decision requested</w:t>
      </w:r>
    </w:p>
    <w:p>
      <w:r>
        <w:t>Approve the compatibility-gate architecture, canonical target contract, checkbox behaviour, evidence model, and phased implementation sequence before assigning coding agents.</w:t>
      </w:r>
    </w:p>
    <w:p>
      <w:pPr>
        <w:pStyle w:val="SmallNote"/>
      </w:pPr>
      <w:r>
        <w:t>This document is a concept and control specification. It does not authorize silent inference, data deletion, topology rewriting, or production selection without the stated gates.</w:t>
      </w:r>
    </w:p>
    <w:p>
      <w:r>
        <w:br w:type="page"/>
      </w:r>
    </w:p>
    <w:p>
      <w:pPr>
        <w:pStyle w:val="Heading1"/>
      </w:pPr>
      <w:r>
        <w:t>Document map</w:t>
      </w:r>
    </w:p>
    <w:p>
      <w:pPr>
        <w:ind w:left="216"/>
      </w:pPr>
      <w:r>
        <w:rPr>
          <w:rFonts w:ascii="Aptos" w:hAnsi="Aptos"/>
          <w:b/>
          <w:color w:val="1F4E78"/>
          <w:sz w:val="19"/>
        </w:rPr>
        <w:t>1. Executive decision and design principles</w:t>
      </w:r>
    </w:p>
    <w:p>
      <w:pPr>
        <w:ind w:left="216"/>
      </w:pPr>
      <w:r>
        <w:rPr>
          <w:rFonts w:ascii="Aptos" w:hAnsi="Aptos"/>
          <w:b/>
          <w:color w:val="1F4E78"/>
          <w:sz w:val="19"/>
        </w:rPr>
        <w:t>2. Current producer landscape and audit findings</w:t>
      </w:r>
    </w:p>
    <w:p>
      <w:pPr>
        <w:ind w:left="216"/>
      </w:pPr>
      <w:r>
        <w:rPr>
          <w:rFonts w:ascii="Aptos" w:hAnsi="Aptos"/>
          <w:b/>
          <w:color w:val="1F4E78"/>
          <w:sz w:val="19"/>
        </w:rPr>
        <w:t>3. Compatibility-mode user experience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4. Target architecture and processing stages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5. Source profiles, adapters and resolvers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6. Canonical intermediate contracts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7. PSI writer, validation and downstream proof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8. Enrichment and evidence policy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9. Failure taxonomy and production gates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10. Integration plan by converter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11. Implementation phases and minimum tests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12. Repository evidence baseline</w:t>
      </w:r>
    </w:p>
    <w:p>
      <w:pPr>
        <w:ind w:left="216"/>
      </w:pPr>
      <w:r>
        <w:rPr>
          <w:rFonts w:ascii="Aptos" w:hAnsi="Aptos"/>
          <w:b w:val="0"/>
          <w:color w:val="203040"/>
          <w:sz w:val="19"/>
        </w:rPr>
        <w:t>13. Open decisions and approval checklist</w:t>
      </w:r>
    </w:p>
    <w:p>
      <w:r>
        <w:br w:type="page"/>
      </w:r>
    </w:p>
    <w:p>
      <w:pPr>
        <w:pStyle w:val="Heading1"/>
      </w:pPr>
      <w:r>
        <w:t>1. Executive decision and design principles</w:t>
      </w:r>
    </w:p>
    <w:p>
      <w:r>
        <w:rPr>
          <w:b/>
        </w:rPr>
        <w:t xml:space="preserve">Decision. </w:t>
      </w:r>
      <w:r>
        <w:t xml:space="preserve">Introduce one shared XML compatibility adapter, invoked only when the converter option </w:t>
      </w:r>
      <w:r>
        <w:rPr>
          <w:b/>
        </w:rPr>
        <w:t>Compatibility mode</w:t>
      </w:r>
      <w:r>
        <w:t xml:space="preserve"> is selected. The adapter acts as a deterministic gate between heterogeneous upstream data and the canonical PSI-116 PipeStressExport serializer.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203040"/>
                <w:sz w:val="18"/>
              </w:rPr>
              <w:t xml:space="preserve">Core outcome: </w:t>
            </w:r>
            <w:r>
              <w:rPr>
                <w:rFonts w:ascii="Aptos" w:hAnsi="Aptos"/>
                <w:b w:val="0"/>
                <w:color w:val="203040"/>
                <w:sz w:val="18"/>
              </w:rPr>
              <w:t>Every enabled XML-producing converter either emits one validated, traceable PSI-116 artifact or returns REVIEW_REQUIRED/BLOCKED with evidence. Compatibility mode is not permission to fabricate missing engineering data.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Aptos" w:hAnsi="Aptos"/>
          <w:b/>
          <w:color w:val="203040"/>
          <w:sz w:val="18"/>
        </w:rPr>
        <w:t xml:space="preserve">One canonical target. </w:t>
      </w:r>
      <w:r>
        <w:t>All compatible paths converge on the PSI-116 PipeStressExport contract, not converter-specific XML dialects.</w:t>
      </w:r>
    </w:p>
    <w:p>
      <w:pPr>
        <w:pStyle w:val="ListBullet"/>
        <w:spacing w:after="50"/>
      </w:pPr>
      <w:r>
        <w:rPr>
          <w:rFonts w:ascii="Aptos" w:hAnsi="Aptos"/>
          <w:b/>
          <w:color w:val="203040"/>
          <w:sz w:val="18"/>
        </w:rPr>
        <w:t xml:space="preserve">One topology authority. </w:t>
      </w:r>
      <w:r>
        <w:t>The gate consumes the approved canonical topology and node plan; it does not infer a parallel graph in the serializer.</w:t>
      </w:r>
    </w:p>
    <w:p>
      <w:pPr>
        <w:pStyle w:val="ListBullet"/>
        <w:spacing w:after="50"/>
      </w:pPr>
      <w:r>
        <w:rPr>
          <w:rFonts w:ascii="Aptos" w:hAnsi="Aptos"/>
          <w:b/>
          <w:color w:val="203040"/>
          <w:sz w:val="18"/>
        </w:rPr>
        <w:t xml:space="preserve">One writer. </w:t>
      </w:r>
      <w:r>
        <w:t>Canonical and sequential projectors feed a shared serializer. Writer-side numbering, mutable counters and implicit +10 allocation are prohibited.</w:t>
      </w:r>
    </w:p>
    <w:p>
      <w:pPr>
        <w:pStyle w:val="ListBullet"/>
        <w:spacing w:after="50"/>
      </w:pPr>
      <w:r>
        <w:rPr>
          <w:rFonts w:ascii="Aptos" w:hAnsi="Aptos"/>
          <w:b/>
          <w:color w:val="203040"/>
          <w:sz w:val="18"/>
        </w:rPr>
        <w:t xml:space="preserve">Evidence before convenience. </w:t>
      </w:r>
      <w:r>
        <w:t>Every normalization or enrichment action records source, rule, confidence, before/after values and disposition.</w:t>
      </w:r>
    </w:p>
    <w:p>
      <w:pPr>
        <w:pStyle w:val="ListBullet"/>
        <w:spacing w:after="50"/>
      </w:pPr>
      <w:r>
        <w:rPr>
          <w:rFonts w:ascii="Aptos" w:hAnsi="Aptos"/>
          <w:b/>
          <w:color w:val="203040"/>
          <w:sz w:val="18"/>
        </w:rPr>
        <w:t xml:space="preserve">No silent degradation. </w:t>
      </w:r>
      <w:r>
        <w:t>Unsupported geometry, ambiguous branch identity, missing required engineering values or unresolved shared-node semantics block production selection.</w:t>
      </w:r>
    </w:p>
    <w:p>
      <w:pPr>
        <w:pStyle w:val="ListBullet"/>
        <w:spacing w:after="50"/>
      </w:pPr>
      <w:r>
        <w:rPr>
          <w:rFonts w:ascii="Aptos" w:hAnsi="Aptos"/>
          <w:b/>
          <w:color w:val="203040"/>
          <w:sz w:val="18"/>
        </w:rPr>
        <w:t xml:space="preserve">Deterministic output. </w:t>
      </w:r>
      <w:r>
        <w:t>Time, ordering, IDs and formatting are supplied or canonicalized; identical inputs and policies produce byte-identical XML and audit artifacts.</w:t>
      </w:r>
    </w:p>
    <w:p>
      <w:pPr>
        <w:pStyle w:val="Heading1"/>
      </w:pPr>
      <w:r>
        <w:t>2. Current producer landscape and audit findings</w:t>
      </w:r>
    </w:p>
    <w:p>
      <w:r>
        <w:t>The repositories currently expose multiple upstream source shapes and multiple direct paths to PSI-style XML. The compatibility gate must rationalize these paths without deleting the existing converters during migration.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Upstream format</w:t>
            </w:r>
          </w:p>
        </w:tc>
        <w:tc>
          <w:tcPr>
            <w:tcW w:type="dxa" w:w="22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Current producer / converter</w:t>
            </w:r>
          </w:p>
        </w:tc>
        <w:tc>
          <w:tcPr>
            <w:tcW w:type="dxa" w:w="237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Current path to XML</w:t>
            </w:r>
          </w:p>
        </w:tc>
        <w:tc>
          <w:tcPr>
            <w:tcW w:type="dxa" w:w="352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Compatibility concern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ATT/RMSS managed hierarchy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rvmattr_to_xml; stagedjson_to_xml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Managed hierarchy -&gt; PSI writer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Bare array/envelope variants, defaults, branch parsing and writer-owned numbering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inputxml-managed-stage/v1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InputXML managed-stage builders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Staged hierarchy -&gt; PSI writer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Topology-rich and basic profiles share an envelope but not evidence depth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rvm-stagedjson-export/v2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3DV browser scene export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Requires source-profile adapter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Scene-derived coordinates/units differ from ATT managed hierarchy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json-viewer-selection/v1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3DV Sel-E / Sel-N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Selection extraction then bridge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Selection scope, inherited attributes and non-route primitives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rvm-converter-stage/v1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3DV Conv JSON / SelJson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Custom InputXML bridge -&gt; PSI XML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Custom Root/Branch/Node intermediate and support side-load semantics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REV text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rev_to_xml / rvmattr fallback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REV parser -&gt; PSI writer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Coordinate scaling, topology merge tolerance and implicit defaults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Custom Root/Branch/Node XML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seljson_to_inputxml; inputxml_to_xml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Custom model -&gt; PSI XML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Often mislabeled InputXML; endpoint and support vocabulary variants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CAESAR InputXML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inputxml_to_xml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InputXML bridge -&gt; PSI XML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Dialect aliases, inherited fields and topology translation</w:t>
            </w:r>
          </w:p>
        </w:tc>
      </w:tr>
    </w:tbl>
    <w:p>
      <w:pPr>
        <w:spacing w:after="20"/>
      </w:pPr>
    </w:p>
    <w:p>
      <w:pPr>
        <w:pStyle w:val="Heading2"/>
      </w:pPr>
      <w:r>
        <w:t>2.1 Confirmed implementation risks</w:t>
      </w:r>
    </w:p>
    <w:p>
      <w:pPr>
        <w:pStyle w:val="ListBullet"/>
        <w:spacing w:after="50"/>
      </w:pPr>
      <w:r>
        <w:t>The current enriched StagedJSON writer obtains the system time, formats it using locale rules, allocates node numbers internally and mutates source records with xmlNodeNum.</w:t>
      </w:r>
    </w:p>
    <w:p>
      <w:pPr>
        <w:pStyle w:val="ListBullet"/>
        <w:spacing w:after="50"/>
      </w:pPr>
      <w:r>
        <w:t>The current StagedJSON and SelJson converters implement separate route logic; SelJson already passes through a Custom InputXML bridge while StagedJSON uses a direct PSI path.</w:t>
      </w:r>
    </w:p>
    <w:p>
      <w:pPr>
        <w:pStyle w:val="ListBullet"/>
        <w:spacing w:after="50"/>
      </w:pPr>
      <w:r>
        <w:t>The repository contains a PSI116 XSD benchmark and a useful psi116_contract_check.py gate, but the XSD is not yet organized as a canonical versioned XML contract suite.</w:t>
      </w:r>
    </w:p>
    <w:p>
      <w:pPr>
        <w:pStyle w:val="ListBullet"/>
        <w:spacing w:after="50"/>
      </w:pPr>
      <w:r>
        <w:t>Current PSI contract checking proves namespace/shape and downstream-detectable bends, SIF/tees, reducers and restraints. It does not by itself prove source-to-output topology parity or historical node-number continuity.</w:t>
      </w:r>
    </w:p>
    <w:p>
      <w:pPr>
        <w:pStyle w:val="ListBullet"/>
        <w:spacing w:after="50"/>
      </w:pPr>
      <w:r>
        <w:t>Several converter options permit compatibility defaults or short-node dropping. Those options must become explicit resolver policies with audit evidence, not hidden writer behaviour.</w:t>
      </w:r>
    </w:p>
    <w:p>
      <w:pPr>
        <w:pStyle w:val="Heading1"/>
      </w:pPr>
      <w:r>
        <w:t>3. Compatibility-mode user experience</w:t>
      </w:r>
    </w:p>
    <w:p>
      <w:pPr>
        <w:pStyle w:val="CodeBlock"/>
        <w:keepNext w:val="0"/>
        <w:keepLines w:val="0"/>
        <w:shd w:fill="F3F6F9"/>
        <w:pBdr>
          <w:top w:val="single" w:sz="4" w:color="CCD6E0"/>
          <w:left w:val="single" w:sz="4" w:color="CCD6E0"/>
          <w:bottom w:val="single" w:sz="4" w:color="CCD6E0"/>
          <w:right w:val="single" w:sz="4" w:color="CCD6E0"/>
        </w:pBdr>
      </w:pPr>
      <w:r>
        <w:rPr>
          <w:rFonts w:ascii="Cascadia Mono" w:hAnsi="Cascadia Mono"/>
          <w:b w:val="0"/>
          <w:color w:val="203040"/>
          <w:sz w:val="16"/>
        </w:rPr>
        <w:t>Converter options</w:t>
        <w:br/>
        <w:t>[ ] Compatibility mode</w:t>
        <w:br/>
        <w:br/>
        <w:t>When clear:</w:t>
        <w:br/>
        <w:t xml:space="preserve">  execute the current converter path unchanged during migration</w:t>
        <w:br/>
        <w:t xml:space="preserve">  label the output LEGACY_PATH in the run manifest</w:t>
        <w:br/>
        <w:br/>
        <w:t>When selected:</w:t>
        <w:br/>
        <w:t xml:space="preserve">  source -&gt; XmlCompatibilityGate.v1 -&gt; canonical PSI XML</w:t>
        <w:br/>
        <w:t xml:space="preserve">  production selection allowed only when gate status = PASS</w:t>
      </w:r>
    </w:p>
    <w:p>
      <w:pPr>
        <w:pStyle w:val="Heading2"/>
      </w:pPr>
      <w:r>
        <w:t>3.1 Checkbox contract</w:t>
      </w:r>
    </w:p>
    <w:p>
      <w:pPr>
        <w:pStyle w:val="ListBullet"/>
        <w:spacing w:after="50"/>
      </w:pPr>
      <w:r>
        <w:t>Registry key: compatibilityMode, type checkbox, default false during characterization and shadow phases.</w:t>
      </w:r>
    </w:p>
    <w:p>
      <w:pPr>
        <w:pStyle w:val="ListBullet"/>
        <w:spacing w:after="50"/>
      </w:pPr>
      <w:r>
        <w:t>The checkbox must appear in every converter whose primary output is PipeStressExport XML: rvmattr_to_xml, rev_to_xml, stagedjson_to_xml, seljson_to_xml, inputxml_to_xml and any re-enabled json_to_xml path.</w:t>
      </w:r>
    </w:p>
    <w:p>
      <w:pPr>
        <w:pStyle w:val="ListBullet"/>
        <w:spacing w:after="50"/>
      </w:pPr>
      <w:r>
        <w:t>The selected state is recorded in the run manifest as requestedCompatibilityMode and effectiveCompatibilityMode.</w:t>
      </w:r>
    </w:p>
    <w:p>
      <w:pPr>
        <w:pStyle w:val="ListBullet"/>
        <w:spacing w:after="50"/>
      </w:pPr>
      <w:r>
        <w:t>The UI displays detected source profile, gate status, normalization count, enrichment count, unresolved blocker count and canonical output hash.</w:t>
      </w:r>
    </w:p>
    <w:p>
      <w:pPr>
        <w:pStyle w:val="ListBullet"/>
        <w:spacing w:after="50"/>
      </w:pPr>
      <w:r>
        <w:t>A blocked compatibility run may still export the audit package, but it may not expose the XML as production-selected output.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5040"/>
            <w:shd w:fill="1F4E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Control point</w:t>
            </w:r>
          </w:p>
        </w:tc>
        <w:tc>
          <w:tcPr>
            <w:tcW w:type="dxa" w:w="1584"/>
            <w:shd w:fill="1F4E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68"/>
            <w:shd w:fill="1F4E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 disposition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6"/>
              </w:rPr>
              <w:t>Source profile recognized; all required contracts valid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r>
              <w:rPr>
                <w:rFonts w:ascii="Aptos" w:hAnsi="Aptos"/>
                <w:b/>
                <w:color w:val="203040"/>
                <w:sz w:val="16"/>
              </w:rPr>
              <w:t>PASS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6"/>
              </w:rPr>
              <w:t>Enable canonical XML download and downstream conversion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6"/>
              </w:rPr>
              <w:t>Non-critical evidence missing or an approved review item remains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r>
              <w:rPr>
                <w:rFonts w:ascii="Aptos" w:hAnsi="Aptos"/>
                <w:b/>
                <w:color w:val="203040"/>
                <w:sz w:val="16"/>
              </w:rPr>
              <w:t>REVIEW_REQUIRED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6"/>
              </w:rPr>
              <w:t>Export audit/preview only; require recorded approval before production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6"/>
              </w:rPr>
              <w:t>Topology conflict, unsupported critical data, schema failure or output parity failure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shd w:fill="F4CCCC"/>
          </w:tcPr>
          <w:p>
            <w:r>
              <w:rPr>
                <w:rFonts w:ascii="Aptos" w:hAnsi="Aptos"/>
                <w:b/>
                <w:color w:val="203040"/>
                <w:sz w:val="16"/>
              </w:rPr>
              <w:t>BLOCKED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203040"/>
                <w:sz w:val="16"/>
              </w:rPr>
              <w:t>Do not select XML; export blocker evidence</w:t>
            </w:r>
          </w:p>
        </w:tc>
      </w:tr>
    </w:tbl>
    <w:p/>
    <w:p>
      <w:pPr>
        <w:pStyle w:val="Heading1"/>
      </w:pPr>
      <w:r>
        <w:t>4. Target architecture and processing stages</w:t>
      </w:r>
    </w:p>
    <w:p>
      <w:pPr>
        <w:pStyle w:val="CodeBlock"/>
        <w:keepNext w:val="0"/>
        <w:keepLines w:val="0"/>
        <w:shd w:fill="F3F6F9"/>
        <w:pBdr>
          <w:top w:val="single" w:sz="4" w:color="CCD6E0"/>
          <w:left w:val="single" w:sz="4" w:color="CCD6E0"/>
          <w:bottom w:val="single" w:sz="4" w:color="CCD6E0"/>
          <w:right w:val="single" w:sz="4" w:color="CCD6E0"/>
        </w:pBdr>
      </w:pPr>
      <w:r>
        <w:rPr>
          <w:rFonts w:ascii="Cascadia Mono" w:hAnsi="Cascadia Mono"/>
          <w:b w:val="0"/>
          <w:color w:val="203040"/>
          <w:sz w:val="16"/>
        </w:rPr>
        <w:t>Upstream source</w:t>
        <w:br/>
        <w:t xml:space="preserve">  -&gt; source fingerprint and profile detection</w:t>
        <w:br/>
        <w:t xml:space="preserve">  -&gt; source-profile adapter</w:t>
        <w:br/>
        <w:t xml:space="preserve">  -&gt; PsiSourceModel.v1</w:t>
        <w:br/>
        <w:t xml:space="preserve">  -&gt; structural validation</w:t>
        <w:br/>
        <w:t xml:space="preserve">  -&gt; normalization plan</w:t>
        <w:br/>
        <w:t xml:space="preserve">  -&gt; approved topology + sequence + history/node plan</w:t>
        <w:br/>
        <w:t xml:space="preserve">  -&gt; optional evidence-backed enrichment</w:t>
        <w:br/>
        <w:t xml:space="preserve">  -&gt; PsiWriterOccurrencePlan.v1</w:t>
        <w:br/>
        <w:t xml:space="preserve">  -&gt; shared PipeStressExport serializer</w:t>
        <w:br/>
        <w:t xml:space="preserve">  -&gt; PSI116 XSD validation</w:t>
        <w:br/>
        <w:t xml:space="preserve">  -&gt; PSI semantic/downstream contract checks</w:t>
        <w:br/>
        <w:t xml:space="preserve">  -&gt; source-to-XML parity and selected-output manifest</w:t>
        <w:br/>
        <w:t xml:space="preserve">  -&gt; PASS / REVIEW_REQUIRED / BLOCKED</w:t>
      </w:r>
    </w:p>
    <w:p>
      <w:pPr>
        <w:pStyle w:val="ListNumber"/>
        <w:spacing w:after="50"/>
      </w:pPr>
      <w:r>
        <w:t>Fingerprint the original bytes and record repository/tool provenance.</w:t>
      </w:r>
    </w:p>
    <w:p>
      <w:pPr>
        <w:pStyle w:val="ListNumber"/>
        <w:spacing w:after="50"/>
      </w:pPr>
      <w:r>
        <w:t>Detect exactly one source profile. Multiple matching profiles are a blocker, not a priority-order fallback.</w:t>
      </w:r>
    </w:p>
    <w:p>
      <w:pPr>
        <w:pStyle w:val="ListNumber"/>
        <w:spacing w:after="50"/>
      </w:pPr>
      <w:r>
        <w:t>Parse into PsiSourceModel.v1 while preserving raw source fields and stable source aliases.</w:t>
      </w:r>
    </w:p>
    <w:p>
      <w:pPr>
        <w:pStyle w:val="ListNumber"/>
        <w:spacing w:after="50"/>
      </w:pPr>
      <w:r>
        <w:t>Validate source structure and required profile invariants before normalization.</w:t>
      </w:r>
    </w:p>
    <w:p>
      <w:pPr>
        <w:pStyle w:val="ListNumber"/>
        <w:spacing w:after="50"/>
      </w:pPr>
      <w:r>
        <w:t>Create an immutable normalization plan; do not mutate the parsed source in place.</w:t>
      </w:r>
    </w:p>
    <w:p>
      <w:pPr>
        <w:pStyle w:val="ListNumber"/>
        <w:spacing w:after="50"/>
      </w:pPr>
      <w:r>
        <w:t>Resolve branch identity, source ports, canonical nodes, component roles and attachments using existing topology authorities.</w:t>
      </w:r>
    </w:p>
    <w:p>
      <w:pPr>
        <w:pStyle w:val="ListNumber"/>
        <w:spacing w:after="50"/>
      </w:pPr>
      <w:r>
        <w:t>Apply optional enrichment only through explicit masters or configured policies with evidence.</w:t>
      </w:r>
    </w:p>
    <w:p>
      <w:pPr>
        <w:pStyle w:val="ListNumber"/>
        <w:spacing w:after="50"/>
      </w:pPr>
      <w:r>
        <w:t>Bind canonical nodes and component occurrences to the external engineering node plan.</w:t>
      </w:r>
    </w:p>
    <w:p>
      <w:pPr>
        <w:pStyle w:val="ListNumber"/>
        <w:spacing w:after="50"/>
      </w:pPr>
      <w:r>
        <w:t>Serialize the exact occurrence plan through one shared PSI writer.</w:t>
      </w:r>
    </w:p>
    <w:p>
      <w:pPr>
        <w:pStyle w:val="ListNumber"/>
        <w:spacing w:after="50"/>
      </w:pPr>
      <w:r>
        <w:t>Validate XSD shape, semantic ordering, downstream detectability and topology parity.</w:t>
      </w:r>
    </w:p>
    <w:p>
      <w:pPr>
        <w:pStyle w:val="ListNumber"/>
        <w:spacing w:after="50"/>
      </w:pPr>
      <w:r>
        <w:t>Publish XML, audit, unresolved CSV and manifest as one hash-linked bundle.</w:t>
      </w:r>
    </w:p>
    <w:p>
      <w:pPr>
        <w:pStyle w:val="Heading1"/>
      </w:pPr>
      <w:r>
        <w:t>5. Source profiles, adapters and resolvers</w:t>
      </w:r>
    </w:p>
    <w:p>
      <w:pPr>
        <w:pStyle w:val="Heading2"/>
      </w:pPr>
      <w:r>
        <w:t>5.1 Source-profile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Profile ID</w:t>
            </w:r>
          </w:p>
        </w:tc>
        <w:tc>
          <w:tcPr>
            <w:tcW w:type="dxa" w:w="309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Recognition signals</w:t>
            </w:r>
          </w:p>
        </w:tc>
        <w:tc>
          <w:tcPr>
            <w:tcW w:type="dxa" w:w="22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Primary adapter</w:t>
            </w:r>
          </w:p>
        </w:tc>
        <w:tc>
          <w:tcPr>
            <w:tcW w:type="dxa" w:w="288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Canonicalization objective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att-managed-hierarchy/v1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Bare array or hierarchy/objects envelope; branch -&gt; children -&gt; attributes; APOS/LPOS/POS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AttManagedHierarchyAdapter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Preserve source ports, branch ownership and raw attributes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inputxml-managed-stage/v1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schema=inputxml-managed-stage/v1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InputXmlManagedStageAdapter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Use explicit source node and delta evidence where available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rvm-browser-staged/v2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schema=rvm-stagedjson-export/v2-no-hidden-support-replace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RvmBrowserStageAdapter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Convert metre/world coordinates under declared coordinate frame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json-viewer-selection/v1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schema=json-viewer-selection/v1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ViewerSelectionAdapter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Expand Sel-E/Sel-N selection scope without fabricating unselected context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rvm-converter-stage/v1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schema=rvm-converter-stage/v1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SelJsonAdapter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Preserve support candidates and selection trace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rev-text/v1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NEW/END blocks and REV attributes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RevSourceAdapter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Extract hierarchy, ports and source identity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root-branch-node-xml/v1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&lt;Root&gt;&lt;Branch&gt;&lt;Node&gt;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RootBranchNodeXmlAdapter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Map Node/Endpoint/Position and restraint vocabularies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caesar-inputxml-canonical-or-dialect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CAESARII XML_TYPE=Input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InputXmlCompatibilityAdapter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Consume the canonical InputXML bundle produced by the sibling gate</w:t>
            </w:r>
          </w:p>
        </w:tc>
      </w:tr>
    </w:tbl>
    <w:p>
      <w:pPr>
        <w:spacing w:after="20"/>
      </w:pPr>
    </w:p>
    <w:p>
      <w:pPr>
        <w:pStyle w:val="Heading2"/>
      </w:pPr>
      <w:r>
        <w:t>5.2 Resolver catalogue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08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Resolver</w:t>
            </w:r>
          </w:p>
        </w:tc>
        <w:tc>
          <w:tcPr>
            <w:tcW w:type="dxa" w:w="259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Inputs</w:t>
            </w:r>
          </w:p>
        </w:tc>
        <w:tc>
          <w:tcPr>
            <w:tcW w:type="dxa" w:w="252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Output</w:t>
            </w:r>
          </w:p>
        </w:tc>
        <w:tc>
          <w:tcPr>
            <w:tcW w:type="dxa" w:w="32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Blocking conditions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SourceEnvelopeResolver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Parsed source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Normalized branch/entity collection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Ambiguous root shape; mixed incompatible envelopes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UnitResolver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Source units and field units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Canonical mm, Pa, degC, kg basis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Unknown scale; conflicting unit declarations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CoordinateFrameResolver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Source basis, transform and datum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Registered position evidence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Unknown handedness/axis; non-rigid unresolved transform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BranchIdentityResolver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OWNER, branch path, source refs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Canonical mainLineKey and branch suffix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OWNER/path disagreement without approved alias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ComponentTypeResolver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TYPE, DTXR, native kind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Controlled PSI component class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Unknown critical component; conflicting semantics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PortEndpointResolver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APOS/LPOS/BPOS/HPOS/TPOS/POS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Role-labelled source ports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Missing required component endpoints; conflicting duplicate ports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SupportRestraintResolver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Support attributes and side-load rows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Attachment/restraint plan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Unknown support disposition; host ambiguity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EngineeringDataResolver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Enriched attributes, masters, source values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Dimensions, material, pressure/temperature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Conflicting authoritative values; unapproved inferred OD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NodePlanResolver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Canonical graph + history/allocation plan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Engineering node number bindings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Missing occurrence allocation; duplicate active number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WriterOccurrenceResolver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Component projection + node plan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Exact PSI Node occurrences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Shared-node semantics unresolved; reserved occurrence mismatch</w:t>
            </w:r>
          </w:p>
        </w:tc>
      </w:tr>
    </w:tbl>
    <w:p>
      <w:pPr>
        <w:spacing w:after="20"/>
      </w:pPr>
    </w:p>
    <w:p>
      <w:pPr>
        <w:pStyle w:val="Heading1"/>
      </w:pPr>
      <w:r>
        <w:t>6. Canonical intermediate contracts</w:t>
      </w:r>
    </w:p>
    <w:p>
      <w:pPr>
        <w:pStyle w:val="Heading2"/>
      </w:pPr>
      <w:r>
        <w:t>6.1 XmlCompatibilityRequest.v1</w:t>
      </w:r>
    </w:p>
    <w:p>
      <w:pPr>
        <w:pStyle w:val="CodeBlock"/>
        <w:keepNext w:val="0"/>
        <w:keepLines w:val="0"/>
        <w:shd w:fill="F3F6F9"/>
        <w:pBdr>
          <w:top w:val="single" w:sz="4" w:color="CCD6E0"/>
          <w:left w:val="single" w:sz="4" w:color="CCD6E0"/>
          <w:bottom w:val="single" w:sz="4" w:color="CCD6E0"/>
          <w:right w:val="single" w:sz="4" w:color="CCD6E0"/>
        </w:pBdr>
      </w:pPr>
      <w:r>
        <w:rPr>
          <w:rFonts w:ascii="Cascadia Mono" w:hAnsi="Cascadia Mono"/>
          <w:b w:val="0"/>
          <w:color w:val="203040"/>
          <w:sz w:val="16"/>
        </w:rPr>
        <w:t>{</w:t>
        <w:br/>
        <w:t xml:space="preserve">  "schema": "XmlCompatibilityRequest.v1",</w:t>
        <w:br/>
        <w:t xml:space="preserve">  "converterId": "stagedjson_to_xml",</w:t>
        <w:br/>
        <w:t xml:space="preserve">  "compatibilityMode": true,</w:t>
        <w:br/>
        <w:t xml:space="preserve">  "sourceName": "model.json",</w:t>
        <w:br/>
        <w:t xml:space="preserve">  "sourceBytesHash": "sha256:...",</w:t>
        <w:br/>
        <w:t xml:space="preserve">  "evaluatedAt": "2026-07-19T14:00:00+04:00",</w:t>
        <w:br/>
        <w:t xml:space="preserve">  "policies": {</w:t>
        <w:br/>
        <w:t xml:space="preserve">    "sourceProfileRegistry": "PsiSourceProfiles.v1",</w:t>
        <w:br/>
        <w:t xml:space="preserve">    "normalizationPolicy": "PsiCompatibilityNormalization.v1",</w:t>
        <w:br/>
        <w:t xml:space="preserve">    "enrichmentPolicy": "PsiCompatibilityEnrichment.v1",</w:t>
        <w:br/>
        <w:t xml:space="preserve">    "topologyPolicy": "LogicalPsiGraph.v1",</w:t>
        <w:br/>
        <w:t xml:space="preserve">    "nodePlanPolicy": "PsiNodePlan.v1"</w:t>
        <w:br/>
        <w:t xml:space="preserve">  }</w:t>
        <w:br/>
        <w:t>}</w:t>
      </w:r>
    </w:p>
    <w:p>
      <w:pPr>
        <w:pStyle w:val="Heading2"/>
      </w:pPr>
      <w:r>
        <w:t>6.2 PsiSourceModel.v1</w:t>
      </w:r>
    </w:p>
    <w:p>
      <w:pPr>
        <w:pStyle w:val="CodeBlock"/>
        <w:keepNext w:val="0"/>
        <w:keepLines w:val="0"/>
        <w:shd w:fill="F3F6F9"/>
        <w:pBdr>
          <w:top w:val="single" w:sz="4" w:color="CCD6E0"/>
          <w:left w:val="single" w:sz="4" w:color="CCD6E0"/>
          <w:bottom w:val="single" w:sz="4" w:color="CCD6E0"/>
          <w:right w:val="single" w:sz="4" w:color="CCD6E0"/>
        </w:pBdr>
      </w:pPr>
      <w:r>
        <w:rPr>
          <w:rFonts w:ascii="Cascadia Mono" w:hAnsi="Cascadia Mono"/>
          <w:b w:val="0"/>
          <w:color w:val="203040"/>
          <w:sz w:val="16"/>
        </w:rPr>
        <w:t>{</w:t>
        <w:br/>
        <w:t xml:space="preserve">  "schema": "PsiSourceModel.v1",</w:t>
        <w:br/>
        <w:t xml:space="preserve">  "sourceProfileId": "att-managed-hierarchy/v1",</w:t>
        <w:br/>
        <w:t xml:space="preserve">  "sourceHash": "sha256:...",</w:t>
        <w:br/>
        <w:t xml:space="preserve">  "branches": [],</w:t>
        <w:br/>
        <w:t xml:space="preserve">  "entities": [],</w:t>
        <w:br/>
        <w:t xml:space="preserve">  "sourcePorts": [],</w:t>
        <w:br/>
        <w:t xml:space="preserve">  "attachments": [],</w:t>
        <w:br/>
        <w:t xml:space="preserve">  "rawEvidence": [],</w:t>
        <w:br/>
        <w:t xml:space="preserve">  "diagnostics": []</w:t>
        <w:br/>
        <w:t>}</w:t>
      </w:r>
    </w:p>
    <w:p>
      <w:pPr>
        <w:pStyle w:val="Heading2"/>
      </w:pPr>
      <w:r>
        <w:t>6.3 XmlNormalizationPlan.v1</w:t>
      </w:r>
    </w:p>
    <w:p>
      <w:pPr>
        <w:pStyle w:val="CodeBlock"/>
        <w:keepNext w:val="0"/>
        <w:keepLines w:val="0"/>
        <w:shd w:fill="F3F6F9"/>
        <w:pBdr>
          <w:top w:val="single" w:sz="4" w:color="CCD6E0"/>
          <w:left w:val="single" w:sz="4" w:color="CCD6E0"/>
          <w:bottom w:val="single" w:sz="4" w:color="CCD6E0"/>
          <w:right w:val="single" w:sz="4" w:color="CCD6E0"/>
        </w:pBdr>
      </w:pPr>
      <w:r>
        <w:rPr>
          <w:rFonts w:ascii="Cascadia Mono" w:hAnsi="Cascadia Mono"/>
          <w:b w:val="0"/>
          <w:color w:val="203040"/>
          <w:sz w:val="16"/>
        </w:rPr>
        <w:t>{</w:t>
        <w:br/>
        <w:t xml:space="preserve">  "schema": "XmlNormalizationPlan.v1",</w:t>
        <w:br/>
        <w:t xml:space="preserve">  "sourceHash": "sha256:...",</w:t>
        <w:br/>
        <w:t xml:space="preserve">  "actions": [</w:t>
        <w:br/>
        <w:t xml:space="preserve">    {</w:t>
        <w:br/>
        <w:t xml:space="preserve">      "actionId": "NORM-0001",</w:t>
        <w:br/>
        <w:t xml:space="preserve">      "target": "sourcePort:PORT-17",</w:t>
        <w:br/>
        <w:t xml:space="preserve">      "ruleId": "UNIT_METRE_TO_MM",</w:t>
        <w:br/>
        <w:t xml:space="preserve">      "before": {"x": 1.5, "unit": "m"},</w:t>
        <w:br/>
        <w:t xml:space="preserve">      "after": {"x": 1500, "unit": "mm"},</w:t>
        <w:br/>
        <w:t xml:space="preserve">      "authority": "DECLARED_SOURCE_UNITS",</w:t>
        <w:br/>
        <w:t xml:space="preserve">      "confidence": 1.0,</w:t>
        <w:br/>
        <w:t xml:space="preserve">      "disposition": "ACCEPTED"</w:t>
        <w:br/>
        <w:t xml:space="preserve">    }</w:t>
        <w:br/>
        <w:t xml:space="preserve">  ],</w:t>
        <w:br/>
        <w:t xml:space="preserve">  "status": "PASS"</w:t>
        <w:br/>
        <w:t>}</w:t>
      </w:r>
    </w:p>
    <w:p>
      <w:pPr>
        <w:pStyle w:val="Heading2"/>
      </w:pPr>
      <w:r>
        <w:t>6.4 CanonicalXmlBundle.v1</w:t>
      </w:r>
    </w:p>
    <w:p>
      <w:pPr>
        <w:pStyle w:val="CodeBlock"/>
        <w:keepNext w:val="0"/>
        <w:keepLines w:val="0"/>
        <w:shd w:fill="F3F6F9"/>
        <w:pBdr>
          <w:top w:val="single" w:sz="4" w:color="CCD6E0"/>
          <w:left w:val="single" w:sz="4" w:color="CCD6E0"/>
          <w:bottom w:val="single" w:sz="4" w:color="CCD6E0"/>
          <w:right w:val="single" w:sz="4" w:color="CCD6E0"/>
        </w:pBdr>
      </w:pPr>
      <w:r>
        <w:rPr>
          <w:rFonts w:ascii="Cascadia Mono" w:hAnsi="Cascadia Mono"/>
          <w:b w:val="0"/>
          <w:color w:val="203040"/>
          <w:sz w:val="16"/>
        </w:rPr>
        <w:t>{</w:t>
        <w:br/>
        <w:t xml:space="preserve">  "schema": "CanonicalXmlBundle.v1",</w:t>
        <w:br/>
        <w:t xml:space="preserve">  "sourceModelHash": "sha256:...",</w:t>
        <w:br/>
        <w:t xml:space="preserve">  "topologyHash": "sha256:...",</w:t>
        <w:br/>
        <w:t xml:space="preserve">  "sequencePlanHash": "sha256:...",</w:t>
        <w:br/>
        <w:t xml:space="preserve">  "nodePlanHash": "sha256:...",</w:t>
        <w:br/>
        <w:t xml:space="preserve">  "writerOccurrencePlanHash": "sha256:...",</w:t>
        <w:br/>
        <w:t xml:space="preserve">  "xmlHash": "sha256:...",</w:t>
        <w:br/>
        <w:t xml:space="preserve">  "xsdReport": {},</w:t>
        <w:br/>
        <w:t xml:space="preserve">  "semanticReport": {},</w:t>
        <w:br/>
        <w:t xml:space="preserve">  "topologyParityReport": {},</w:t>
        <w:br/>
        <w:t xml:space="preserve">  "downstreamDryRunReport": {},</w:t>
        <w:br/>
        <w:t xml:space="preserve">  "audit": {},</w:t>
        <w:br/>
        <w:t xml:space="preserve">  "status": "PASS"</w:t>
        <w:br/>
        <w:t>}</w:t>
      </w:r>
    </w:p>
    <w:p>
      <w:pPr>
        <w:pStyle w:val="Heading1"/>
      </w:pPr>
      <w:r>
        <w:t>7. PSI writer, validation and downstream proof</w:t>
      </w:r>
    </w:p>
    <w:p>
      <w:pPr>
        <w:pStyle w:val="Heading2"/>
      </w:pPr>
      <w:r>
        <w:t>7.1 Canonical schema authority</w:t>
      </w:r>
    </w:p>
    <w:p>
      <w:r>
        <w:t>The existing PSI116.xsd benchmark should be copied into a versioned contract location, for example contracts/xml/psi116/v1/psi116.xsd, together with a source-provenance manifest. The benchmark file remains the upstream evidence source until an approved schema owner is established.</w:t>
      </w:r>
    </w:p>
    <w:p>
      <w:pPr>
        <w:pStyle w:val="ListBullet"/>
        <w:spacing w:after="50"/>
      </w:pPr>
      <w:r>
        <w:t>Preferred namespace spelling is recorded by policy; accepted legacy casing may be intake-compatible but canonical output uses one spelling.</w:t>
      </w:r>
    </w:p>
    <w:p>
      <w:pPr>
        <w:pStyle w:val="ListBullet"/>
        <w:spacing w:after="50"/>
      </w:pPr>
      <w:r>
        <w:t>Node child ordering follows the XSD and downstream parser contract.</w:t>
      </w:r>
    </w:p>
    <w:p>
      <w:pPr>
        <w:pStyle w:val="ListBullet"/>
        <w:spacing w:after="50"/>
      </w:pPr>
      <w:r>
        <w:t>Position is exactly three finite numbers in canonical distance units.</w:t>
      </w:r>
    </w:p>
    <w:p>
      <w:pPr>
        <w:pStyle w:val="ListBullet"/>
        <w:spacing w:after="50"/>
      </w:pPr>
      <w:r>
        <w:t>ComponentType, Endpoint, BendRadius, BendType, SIF and Restraint structures are checked structurally and semantically.</w:t>
      </w:r>
    </w:p>
    <w:p>
      <w:pPr>
        <w:pStyle w:val="ListBullet"/>
        <w:spacing w:after="50"/>
      </w:pPr>
      <w:r>
        <w:t>The serializer emits no unknown fields unless a separately approved extension profile exists.</w:t>
      </w:r>
    </w:p>
    <w:p>
      <w:pPr>
        <w:pStyle w:val="Heading2"/>
      </w:pPr>
      <w:r>
        <w:t>7.2 Validation layers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08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547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Proof</w:t>
            </w:r>
          </w:p>
        </w:tc>
        <w:tc>
          <w:tcPr>
            <w:tcW w:type="dxa" w:w="259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Failure disposition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XML parse / namespace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Well-formed XML; exact root and namespace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PSI116 XSD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Element ordering, types, cardinality and required structure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PSI semantic rules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Node positivity, branch identity, occurrence coverage, dimensions and role constraints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BLOCKED or REVIEW_REQUIRED by rule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Downstream contract check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Bends, SIF/tees, reducers and restraints are detectable by XML-to-CII predicates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BLOCKED when source inventory requires them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Topology parity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Source/canonical graph and emitted XML agree on nodes, edges, junctions, attachments and boundaries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CII dry run and reparse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Selected XML converts and reparses with required engineering and topology counts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Determinism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Second run is byte-identical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BLOCKED</w:t>
            </w:r>
          </w:p>
        </w:tc>
      </w:tr>
    </w:tbl>
    <w:p>
      <w:pPr>
        <w:spacing w:after="20"/>
      </w:pPr>
    </w:p>
    <w:p>
      <w:pPr>
        <w:pStyle w:val="Heading1"/>
      </w:pPr>
      <w:r>
        <w:t>8. Enrichment and evidence policy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203040"/>
                <w:sz w:val="18"/>
              </w:rPr>
              <w:t xml:space="preserve">Rule: </w:t>
            </w:r>
            <w:r>
              <w:rPr>
                <w:rFonts w:ascii="Aptos" w:hAnsi="Aptos"/>
                <w:b w:val="0"/>
                <w:color w:val="203040"/>
                <w:sz w:val="18"/>
              </w:rPr>
              <w:t>Compatibility mode may enrich only when the target field is absent or explicitly unresolved and the configured enrichment source is authoritative for that field. It must never overwrite a conflicting authoritative source value silently.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94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Data class</w:t>
            </w:r>
          </w:p>
        </w:tc>
        <w:tc>
          <w:tcPr>
            <w:tcW w:type="dxa" w:w="316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Allowed source order</w:t>
            </w:r>
          </w:p>
        </w:tc>
        <w:tc>
          <w:tcPr>
            <w:tcW w:type="dxa" w:w="30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Automatic action</w:t>
            </w:r>
          </w:p>
        </w:tc>
        <w:tc>
          <w:tcPr>
            <w:tcW w:type="dxa" w:w="24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Conflict action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Identity / branch ownership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Durable source ref -&gt; approved alias -&gt; topology evidence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Normalize spelling/path only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BLOCKED or REVIEW_REQUIRED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Coordinates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Explicit source port -&gt; approved rigid transform -&gt; historical retained position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Unit/frame normalization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Outside diameter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Explicit OD -&gt; piping-class master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No nominal-bore guess by default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REVIEW_REQUIRED/BLOCKED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Wall / corrosion / insulation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Explicit source -&gt; approved class master -&gt; configured compatibility default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Default only when policy explicitly allows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Audit and REVIEW_REQUIRED when engineering-critical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Pressure / temperature / density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Explicit source -&gt; line list -&gt; approved override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Carry forward only under declared branch semantics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BLOCKED for contradictory authoritative values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Support type and restraint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Explicit support function -&gt; support master -&gt; approved mapping rule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Map controlled kinds only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BLOCKED when host or function is ambiguous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Component weight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Explicit source -&gt; component weight master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No geometry-derived estimate unless approved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REVIEW_REQUIRED</w:t>
            </w:r>
          </w:p>
        </w:tc>
      </w:tr>
    </w:tbl>
    <w:p>
      <w:pPr>
        <w:spacing w:after="20"/>
      </w:pPr>
    </w:p>
    <w:p>
      <w:pPr>
        <w:pStyle w:val="Heading1"/>
      </w:pPr>
      <w:r>
        <w:t>9. Failure taxonomy and production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38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Code</w:t>
            </w:r>
          </w:p>
        </w:tc>
        <w:tc>
          <w:tcPr>
            <w:tcW w:type="dxa" w:w="453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Disposition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XML_SOURCE_PROFILE_AMBIGUOUS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More than one source profile matches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XML_SOURCE_PROFILE_UNSUPPORTED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 approved adapter exists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XML_UNIT_FRAME_UNRESOLVED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Units/axis/handedness cannot be proved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XML_BRANCH_IDENTITY_CONFLICT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OWNER and source-root authority disagree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REVIEW_REQUIRED or BLOCKED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XML_REQUIRED_PORT_MISSING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Component cannot be projected without required endpoint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XML_UNAPPROVED_ENGINEERING_INFERENCE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A critical value would require an unapproved guess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XML_NODE_PLAN_MISSING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Writer occurrence has no external number allocation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XML_SHARED_NODE_SERIALIZATION_UNRESOLVED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Repeated/owning PSI node semantics are not proven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XML_XSD_VALIDATION_FAILED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Canonical output fails PSI116 XSD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XML_DOWNSTREAM_DETECTABILITY_FAILED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Source special component is not visible to XML-to-CII logic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XML_TOPOLOGY_PARITY_FAILED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Canonical graph and emitted XML differ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XML_NONDETERMINISTIC_OUTPUT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Same request produces different bytes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BLOCKED</w:t>
            </w:r>
          </w:p>
        </w:tc>
      </w:tr>
    </w:tbl>
    <w:p>
      <w:pPr>
        <w:spacing w:after="20"/>
      </w:pPr>
    </w:p>
    <w:p>
      <w:pPr>
        <w:pStyle w:val="Heading1"/>
      </w:pPr>
      <w:r>
        <w:t>10. Integration plan by converter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94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Converter</w:t>
            </w:r>
          </w:p>
        </w:tc>
        <w:tc>
          <w:tcPr>
            <w:tcW w:type="dxa" w:w="453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Compatibility adapter</w:t>
            </w:r>
          </w:p>
        </w:tc>
        <w:tc>
          <w:tcPr>
            <w:tcW w:type="dxa" w:w="18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Existing path retained?</w:t>
            </w:r>
          </w:p>
        </w:tc>
        <w:tc>
          <w:tcPr>
            <w:tcW w:type="dxa" w:w="208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Canonical output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rvmattr_to_xml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ATT/RVM source detector -&gt; managed hierarchy adapter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Yes during shadow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PSI116 XML + audit bundle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rev_to_xml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REV profile adapter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Yes during shadow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PSI116 XML + source trace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stagedjson_to_xml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Managed-stage profile registry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Yes during shadow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Shared serializer output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seljson_to_xml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rvm-converter-stage/v1 adapter; reuse Custom Input model only as an adapter implementation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Yes, but no direct bypass when enforced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Shared serializer output + intermediate evidence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inputxml_to_xml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Consumes CanonicalInputXmlBundle.v1 from InputXML gate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Yes during shadow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PSI116 XML with InputXML trace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json_to_xml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Only re-enable after an explicit source profile and golden fixtures exist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Disabled until approved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PSI116 XML</w:t>
            </w:r>
          </w:p>
        </w:tc>
      </w:tr>
    </w:tbl>
    <w:p>
      <w:pPr>
        <w:spacing w:after="20"/>
      </w:pPr>
    </w:p>
    <w:p>
      <w:pPr>
        <w:pStyle w:val="Heading2"/>
      </w:pPr>
      <w:r>
        <w:t>10.1 Registry field</w:t>
      </w:r>
    </w:p>
    <w:p>
      <w:pPr>
        <w:pStyle w:val="CodeBlock"/>
        <w:keepNext w:val="0"/>
        <w:keepLines w:val="0"/>
        <w:shd w:fill="F3F6F9"/>
        <w:pBdr>
          <w:top w:val="single" w:sz="4" w:color="CCD6E0"/>
          <w:left w:val="single" w:sz="4" w:color="CCD6E0"/>
          <w:bottom w:val="single" w:sz="4" w:color="CCD6E0"/>
          <w:right w:val="single" w:sz="4" w:color="CCD6E0"/>
        </w:pBdr>
      </w:pPr>
      <w:r>
        <w:rPr>
          <w:rFonts w:ascii="Cascadia Mono" w:hAnsi="Cascadia Mono"/>
          <w:b w:val="0"/>
          <w:color w:val="203040"/>
          <w:sz w:val="16"/>
        </w:rPr>
        <w:t>defaults: {</w:t>
        <w:br/>
        <w:t xml:space="preserve">  compatibilityMode: false,</w:t>
        <w:br/>
        <w:t xml:space="preserve">  compatibilityPolicyId: "XmlCompatibilityPolicy.v1"</w:t>
        <w:br/>
        <w:t>},</w:t>
        <w:br/>
        <w:t>fields: [</w:t>
        <w:br/>
        <w:t xml:space="preserve">  { key: "compatibilityMode", label: "Compatibility mode", type: "checkbox" },</w:t>
        <w:br/>
        <w:t xml:space="preserve">  ...existingFields</w:t>
        <w:br/>
        <w:t>]</w:t>
      </w:r>
    </w:p>
    <w:p>
      <w:pPr>
        <w:pStyle w:val="Heading1"/>
      </w:pPr>
      <w:r>
        <w:t>11. Implementation phases and minimum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8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309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Scope</w:t>
            </w:r>
          </w:p>
        </w:tc>
        <w:tc>
          <w:tcPr>
            <w:tcW w:type="dxa" w:w="381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Minimum tests</w:t>
            </w:r>
          </w:p>
        </w:tc>
        <w:tc>
          <w:tcPr>
            <w:tcW w:type="dxa" w:w="18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Exit gate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Phase 0 - Characterize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Capture current outputs, writer occurrences, source profiles and downstream counts.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Golden files for every active XML producer; record non-determinism and current fallbacks.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 production change.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Phase 1 - Contract suite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Create contracts/xml/psi116/v1, profile registry and request/audit schemas.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XSD fixture pass/fail; profile detection ambiguity tests; schema provenance hash test.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Contracts frozen as v1.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Phase 2 - Source adapters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Implement adapters to PsiSourceModel.v1.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One positive and two negative fixtures per profile; raw evidence preservation; no mutation.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All active upstream formats parse deterministically.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Phase 3 - Normalization/resolvers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Implement unit, branch, type, port and engineering resolvers.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Unit conversions, conflicting frames, owner disagreement, unknown type, OD conflict, support-host ambiguity.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 unapproved inference or silent loss.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Phase 4 - Shared occurrence plan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Generate exact writer occurrences using approved topology and node plan.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PIPE, ELBO, TEE, OLET, REDU, ATTA, boundary, shared node and reserved occurrence fixtures.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100% occurrence coverage.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Phase 5 - Shared serializer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Replace compatibility path with a pure deterministic serializer.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No clock, locale, random IDs, mutation or number allocation; byte-identical rerun.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Serializer side effects = 0.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Phase 6 - Validation bundle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XSD, semantic rules, downstream detectability, topology parity and CII dry run.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Required special-component negative tests and source-to-output parity.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All blockers enforced.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Phase 7 - Shadow and enforce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Run compatibility output beside legacy output, calibrate, then enable production selection.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Benchmark parity; selected-output manifest; no silent fallback.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Approved release gate and rollback path.</w:t>
            </w:r>
          </w:p>
        </w:tc>
      </w:tr>
    </w:tbl>
    <w:p>
      <w:pPr>
        <w:spacing w:after="20"/>
      </w:pPr>
    </w:p>
    <w:p>
      <w:pPr>
        <w:pStyle w:val="Heading1"/>
      </w:pPr>
      <w:r>
        <w:t>Repository evidence baseline</w:t>
      </w:r>
    </w:p>
    <w:p>
      <w:r>
        <w:t>The concept was framed against the following current default-branch baselines. File paths are evidence references, not ownership assignments.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59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Repository / commit</w:t>
            </w:r>
          </w:p>
        </w:tc>
        <w:tc>
          <w:tcPr>
            <w:tcW w:type="dxa" w:w="388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Evidence path</w:t>
            </w:r>
          </w:p>
        </w:tc>
        <w:tc>
          <w:tcPr>
            <w:tcW w:type="dxa" w:w="388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Confirmed behaviour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3D_Converters de694e4a7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tabs/stagedjson-to-enrichxml/sj-xml-writer.js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Current direct PSI writer, node allocation, timestamp and record mutation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3D_Converters de694e4a7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tabs/model-converters/converters/stagedjson-to-xml.js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Direct managed-hierarchy to PSI-style XML converter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3D_Converters de694e4a7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tabs/model-converters/converters/seljson-to-xml.js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SelJson -&gt; Custom InputXML -&gt; PSI XML bridge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3D_Converters de694e4a7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Benchmarks/XML to CII 2019/PSI116.xsd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Existing PSI-116 structural schema benchmark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3D_Converters de694e4a7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converters/scripts/psi116_contract_check.py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Namespace/order/downstream-detectability gate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3D_Converters de694e4a7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tabs/model-converters/converter-registry.js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Current converter options and source-specific defaults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3DV cfd604cb6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stage/export/JsonViewerSelectionExport.js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json-viewer-selection/v1 Sel-E/Sel-N contract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3DV cfd604cb6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stage/export/RvmConverterJsonExport.js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rvm-converter-stage/v1 SelJson producer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3DV cfd604cb6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tabs/RvmStagedJsonExportBridge.js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5"/>
              </w:rPr>
              <w:t>Browser scene-derived StagedJSON dialect</w:t>
            </w:r>
          </w:p>
        </w:tc>
      </w:tr>
    </w:tbl>
    <w:p>
      <w:pPr>
        <w:spacing w:after="20"/>
      </w:pPr>
    </w:p>
    <w:p>
      <w:pPr>
        <w:pStyle w:val="Heading1"/>
      </w:pPr>
      <w:r>
        <w:t>13. Open decisions and approval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16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446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Recommended position</w:t>
            </w:r>
          </w:p>
        </w:tc>
        <w:tc>
          <w:tcPr>
            <w:tcW w:type="dxa" w:w="22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Approval evidence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PSI schema location and ownership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Copy benchmark PSI116.xsd into contracts/xml/psi116/v1 with provenance; do not edit silently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Hash and owner approval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Namespace casing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Canonical writer uses one preferred spelling; intake may recognize known legacy spelling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Benchmark and downstream parser proof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Shared/repeated node occurrences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Remain BLOCKED until production XML-to-CII semantics are proven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Golden PSI/CII benchmark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Enrichment defaults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Off by default for critical engineering values; explicit policy IDs only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Engineering approval and negative tests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Legacy path retirement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Retire only after shadow parity and rollback rehearsal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040"/>
                <w:sz w:val="14"/>
              </w:rPr>
              <w:t>Release report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t>Approve the source-profile registry and canonical PSI target.</w:t>
      </w:r>
    </w:p>
    <w:p>
      <w:pPr>
        <w:pStyle w:val="ListBullet"/>
        <w:spacing w:after="50"/>
      </w:pPr>
      <w:r>
        <w:t>Approve Compatibility mode as a gated path with no production selection on REVIEW_REQUIRED/BLOCKED.</w:t>
      </w:r>
    </w:p>
    <w:p>
      <w:pPr>
        <w:pStyle w:val="ListBullet"/>
        <w:spacing w:after="50"/>
      </w:pPr>
      <w:r>
        <w:t>Approve use of the existing topology, branch identity and node-plan authorities.</w:t>
      </w:r>
    </w:p>
    <w:p>
      <w:pPr>
        <w:pStyle w:val="ListBullet"/>
        <w:spacing w:after="50"/>
      </w:pPr>
      <w:r>
        <w:t>Approve the versioned PSI contract-suite location and provenance policy.</w:t>
      </w:r>
    </w:p>
    <w:p>
      <w:pPr>
        <w:pStyle w:val="ListBullet"/>
        <w:spacing w:after="50"/>
      </w:pPr>
      <w:r>
        <w:t>Approve the phased implementation and minimum test gates.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666666"/>
        <w:sz w:val="16"/>
      </w:rPr>
    </w:r>
    <w:r>
      <w:rPr>
        <w:rFonts w:ascii="Aptos" w:hAnsi="Aptos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F4E78"/>
      </w:pBdr>
    </w:pPr>
    <w:r/>
    <w:r>
      <w:rPr>
        <w:rFonts w:ascii="Aptos" w:hAnsi="Aptos"/>
        <w:b/>
        <w:color w:val="1F4E78"/>
        <w:sz w:val="16"/>
      </w:rPr>
      <w:t>XML Compatibility Adapter and Resolver Gate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3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 Display" w:hAnsi="Aptos Display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15"/>
    </w:pPr>
    <w:rPr>
      <w:rFonts w:ascii="Cascadia Mono" w:hAnsi="Cascadia Mono"/>
      <w:sz w:val="16"/>
    </w:rPr>
  </w:style>
  <w:style w:type="paragraph" w:customStyle="1" w:styleId="SmallNote">
    <w:name w:val="Small Note"/>
    <w:pPr>
      <w:spacing w:after="60"/>
    </w:pPr>
    <w:rPr>
      <w:rFonts w:ascii="Aptos" w:hAnsi="Aptos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