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widowControl/>
      </w:pPr>
      <w:r>
        <w:rPr>
          <w:b/>
          <w:color w:val="2F75B5"/>
          <w:sz w:val="22"/>
        </w:rPr>
        <w:t>CONCEPT DOCUMENT</w:t>
      </w:r>
    </w:p>
    <w:p>
      <w:pPr>
        <w:pStyle w:val="Title"/>
        <w:jc w:val="left"/>
        <w:widowControl/>
      </w:pPr>
      <w:r>
        <w:t>Historical Node Numbering and</w:t>
        <w:br/>
        <w:t>Micro-Geometry Preprocessor</w:t>
      </w:r>
    </w:p>
    <w:p>
      <w:pPr>
        <w:pStyle w:val="SubtitleStrong"/>
        <w:widowControl/>
      </w:pPr>
      <w:r>
        <w:t>For the StagedJSON → PSI-116 XML → CII workflow</w:t>
      </w:r>
    </w:p>
    <w:p>
      <w:pPr>
        <w:spacing w:before="200" w:after="400"/>
        <w:widowControl/>
      </w:pPr>
      <w:r>
        <w:rPr>
          <w:color w:val="2F75B5"/>
        </w:rPr>
        <w:t>━━━━━━━━━━━━━━━━━━━━━━━━━━━━━━━━━━━━━━━━━━━━━━━━━━━━━━━━━━━━━━</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DCE6F1"/>
            <w:tcMar>
              <w:top w:w="100" w:type="dxa"/>
              <w:start w:w="140" w:type="dxa"/>
              <w:bottom w:w="100" w:type="dxa"/>
              <w:end w:w="140" w:type="dxa"/>
            </w:tcMar>
          </w:tcPr>
          <w:p>
            <w:r>
              <w:rPr>
                <w:b/>
                <w:color w:val="1F3A5F"/>
                <w:sz w:val="21"/>
              </w:rPr>
              <w:t>Purpose</w:t>
            </w:r>
            <w:r>
              <w:br/>
              <w:t>Define a minimal, deterministic preprocessing and node-history architecture that becomes the sole engineering node-number authority before canonical or sequential PSI-116 XML is generated.</w:t>
            </w:r>
          </w:p>
        </w:tc>
      </w:tr>
    </w:tbl>
    <w:p>
      <w:pPr>
        <w:spacing w:after="0"/>
        <w:widowControl/>
      </w:pPr>
    </w:p>
    <w:tbl>
      <w:tblPr>
        <w:tblStyle w:val="TableGrid"/>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31"/>
        <w:gridCol w:w="4831"/>
      </w:tblGrid>
      <w:tr>
        <w:trPr>
          <w:cantSplit/>
        </w:trPr>
        <w:tc>
          <w:tcPr>
            <w:tcW w:type="dxa" w:w="4831"/>
            <w:shd w:fill="EEF4F9"/>
            <w:tcMar>
              <w:top w:w="80" w:type="dxa"/>
              <w:start w:w="100" w:type="dxa"/>
              <w:bottom w:w="80" w:type="dxa"/>
              <w:end w:w="100" w:type="dxa"/>
            </w:tcMar>
          </w:tcPr>
          <w:p>
            <w:r>
              <w:rPr>
                <w:b/>
              </w:rPr>
              <w:t>Document status</w:t>
            </w:r>
          </w:p>
        </w:tc>
        <w:tc>
          <w:tcPr>
            <w:tcW w:type="dxa" w:w="4831"/>
            <w:tcMar>
              <w:top w:w="80" w:type="dxa"/>
              <w:start w:w="100" w:type="dxa"/>
              <w:bottom w:w="80" w:type="dxa"/>
              <w:end w:w="100" w:type="dxa"/>
            </w:tcMar>
          </w:tcPr>
          <w:p>
            <w:r>
              <w:t>Revision 3 - finalized three-level context and topology-index contract</w:t>
            </w:r>
          </w:p>
        </w:tc>
      </w:tr>
      <w:tr>
        <w:trPr>
          <w:cantSplit/>
        </w:trPr>
        <w:tc>
          <w:tcPr>
            <w:tcW w:type="dxa" w:w="4831"/>
            <w:shd w:fill="EEF4F9"/>
            <w:tcMar>
              <w:top w:w="80" w:type="dxa"/>
              <w:start w:w="100" w:type="dxa"/>
              <w:bottom w:w="80" w:type="dxa"/>
              <w:end w:w="100" w:type="dxa"/>
            </w:tcMar>
          </w:tcPr>
          <w:p>
            <w:r>
              <w:rPr>
                <w:b/>
              </w:rPr>
              <w:t>Recommendation</w:t>
            </w:r>
          </w:p>
        </w:tc>
        <w:tc>
          <w:tcPr>
            <w:tcW w:type="dxa" w:w="4831"/>
            <w:tcMar>
              <w:top w:w="80" w:type="dxa"/>
              <w:start w:w="100" w:type="dxa"/>
              <w:bottom w:w="80" w:type="dxa"/>
              <w:end w:w="100" w:type="dxa"/>
            </w:tcMar>
          </w:tcPr>
          <w:p>
            <w:r>
              <w:t>Approve the target architecture; implement in staged shadow mode before enforcement</w:t>
            </w:r>
          </w:p>
        </w:tc>
      </w:tr>
      <w:tr>
        <w:trPr>
          <w:cantSplit/>
        </w:trPr>
        <w:tc>
          <w:tcPr>
            <w:tcW w:type="dxa" w:w="4831"/>
            <w:shd w:fill="EEF4F9"/>
            <w:tcMar>
              <w:top w:w="80" w:type="dxa"/>
              <w:start w:w="100" w:type="dxa"/>
              <w:bottom w:w="80" w:type="dxa"/>
              <w:end w:w="100" w:type="dxa"/>
            </w:tcMar>
          </w:tcPr>
          <w:p>
            <w:r>
              <w:rPr>
                <w:b/>
              </w:rPr>
              <w:t>Primary decision</w:t>
            </w:r>
          </w:p>
        </w:tc>
        <w:tc>
          <w:tcPr>
            <w:tcW w:type="dxa" w:w="4831"/>
            <w:tcMar>
              <w:top w:w="80" w:type="dxa"/>
              <w:start w:w="100" w:type="dxa"/>
              <w:bottom w:w="80" w:type="dxa"/>
              <w:end w:w="100" w:type="dxa"/>
            </w:tcMar>
          </w:tcPr>
          <w:p>
            <w:r>
              <w:t>Make PsiNodePlan.v1 the sole emitted node-number authority and bind it to Pipe, Branch, Node and topology-index contexts</w:t>
            </w:r>
          </w:p>
        </w:tc>
      </w:tr>
      <w:tr>
        <w:trPr>
          <w:cantSplit/>
        </w:trPr>
        <w:tc>
          <w:tcPr>
            <w:tcW w:type="dxa" w:w="4831"/>
            <w:shd w:fill="EEF4F9"/>
            <w:tcMar>
              <w:top w:w="80" w:type="dxa"/>
              <w:start w:w="100" w:type="dxa"/>
              <w:bottom w:w="80" w:type="dxa"/>
              <w:end w:w="100" w:type="dxa"/>
            </w:tcMar>
          </w:tcPr>
          <w:p>
            <w:r>
              <w:rPr>
                <w:b/>
              </w:rPr>
              <w:t>Registry model</w:t>
            </w:r>
          </w:p>
        </w:tc>
        <w:tc>
          <w:tcPr>
            <w:tcW w:type="dxa" w:w="4831"/>
            <w:tcMar>
              <w:top w:w="80" w:type="dxa"/>
              <w:start w:w="100" w:type="dxa"/>
              <w:bottom w:w="80" w:type="dxa"/>
              <w:end w:w="100" w:type="dxa"/>
            </w:tcMar>
          </w:tcPr>
          <w:p>
            <w:r>
              <w:t>Zone-global numbering with main-line-owned leases; GitHub merge is the transaction boundary</w:t>
            </w:r>
          </w:p>
        </w:tc>
      </w:tr>
      <w:tr>
        <w:trPr>
          <w:cantSplit/>
        </w:trPr>
        <w:tc>
          <w:tcPr>
            <w:tcW w:type="dxa" w:w="4831"/>
            <w:shd w:fill="EEF4F9"/>
            <w:tcMar>
              <w:top w:w="80" w:type="dxa"/>
              <w:start w:w="100" w:type="dxa"/>
              <w:bottom w:w="80" w:type="dxa"/>
              <w:end w:w="100" w:type="dxa"/>
            </w:tcMar>
          </w:tcPr>
          <w:p>
            <w:r>
              <w:rPr>
                <w:b/>
              </w:rPr>
              <w:t>Prepared date</w:t>
            </w:r>
          </w:p>
        </w:tc>
        <w:tc>
          <w:tcPr>
            <w:tcW w:type="dxa" w:w="4831"/>
            <w:tcMar>
              <w:top w:w="80" w:type="dxa"/>
              <w:start w:w="100" w:type="dxa"/>
              <w:bottom w:w="80" w:type="dxa"/>
              <w:end w:w="100" w:type="dxa"/>
            </w:tcMar>
          </w:tcPr>
          <w:p>
            <w:r>
              <w:t>19 July 2026</w:t>
            </w:r>
          </w:p>
        </w:tc>
      </w:tr>
      <w:tr>
        <w:trPr>
          <w:cantSplit/>
        </w:trPr>
        <w:tc>
          <w:tcPr>
            <w:tcW w:type="dxa" w:w="4831"/>
            <w:shd w:fill="EEF4F9"/>
            <w:tcMar>
              <w:top w:w="80" w:type="dxa"/>
              <w:start w:w="100" w:type="dxa"/>
              <w:bottom w:w="80" w:type="dxa"/>
              <w:end w:w="100" w:type="dxa"/>
            </w:tcMar>
          </w:tcPr>
          <w:p>
            <w:r>
              <w:rPr>
                <w:b/>
              </w:rPr>
              <w:t>Repository context</w:t>
            </w:r>
          </w:p>
        </w:tc>
        <w:tc>
          <w:tcPr>
            <w:tcW w:type="dxa" w:w="4831"/>
            <w:tcMar>
              <w:top w:w="80" w:type="dxa"/>
              <w:start w:w="100" w:type="dxa"/>
              <w:bottom w:w="80" w:type="dxa"/>
              <w:end w:w="100" w:type="dxa"/>
            </w:tcMar>
          </w:tcPr>
          <w:p>
            <w:r>
              <w:t>XML_Compare_Utilities and the StagedJSON → PSI writer workflow</w:t>
            </w:r>
          </w:p>
        </w:tc>
      </w:tr>
      <w:tr>
        <w:trPr>
          <w:cantSplit/>
        </w:trPr>
        <w:tc>
          <w:tcPr>
            <w:tcW w:type="dxa" w:w="4831"/>
            <w:vAlign w:val="center"/>
          </w:tcPr>
          <w:p>
            <w:r/>
            <w:r>
              <w:rPr>
                <w:b/>
              </w:rPr>
              <w:t>Revision date</w:t>
            </w:r>
          </w:p>
        </w:tc>
        <w:tc>
          <w:tcPr>
            <w:tcW w:type="dxa" w:w="4831"/>
            <w:vAlign w:val="center"/>
          </w:tcPr>
          <w:p>
            <w:r/>
            <w:r>
              <w:rPr>
                <w:b w:val="0"/>
              </w:rPr>
              <w:t>19 July 2026</w:t>
            </w:r>
          </w:p>
        </w:tc>
      </w:tr>
    </w:tbl>
    <w:p>
      <w:pPr>
        <w:spacing w:before="400"/>
        <w:jc w:val="left"/>
        <w:widowControl/>
      </w:pPr>
      <w:r>
        <w:rPr>
          <w:b/>
          <w:color w:val="1F3A5F"/>
          <w:sz w:val="24"/>
        </w:rPr>
        <w:t>Review outcome requested</w:t>
      </w:r>
      <w:r>
        <w:br/>
        <w:t>Confirm the authority model, the safe minimum scope, the shadow-to-enforced rollout, and the unresolved engineering policy decisions listed in Section 18.</w:t>
      </w:r>
    </w:p>
    <w:p>
      <w:pPr>
        <w:widowControl/>
      </w:pPr>
      <w:r>
        <w:br w:type="page"/>
      </w:r>
    </w:p>
    <w:p>
      <w:pPr>
        <w:pStyle w:val="Heading1"/>
        <w:widowControl/>
      </w:pPr>
      <w:r>
        <w:t>Document control</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2160"/>
            <w:shd w:fill="1F3A5F"/>
            <w:tcMar>
              <w:top w:w="80" w:type="dxa"/>
              <w:start w:w="80" w:type="dxa"/>
              <w:bottom w:w="80" w:type="dxa"/>
              <w:end w:w="80" w:type="dxa"/>
            </w:tcMar>
            <w:vAlign w:val="center"/>
          </w:tcPr>
          <w:p>
            <w:pPr>
              <w:jc w:val="center"/>
            </w:pPr>
            <w:r>
              <w:rPr>
                <w:b/>
                <w:color w:val="FFFFFF"/>
                <w:sz w:val="18"/>
              </w:rPr>
              <w:t>Item</w:t>
            </w:r>
          </w:p>
        </w:tc>
        <w:tc>
          <w:tcPr>
            <w:tcW w:type="dxa" w:w="7200"/>
            <w:shd w:fill="1F3A5F"/>
            <w:tcMar>
              <w:top w:w="80" w:type="dxa"/>
              <w:start w:w="80" w:type="dxa"/>
              <w:bottom w:w="80" w:type="dxa"/>
              <w:end w:w="80" w:type="dxa"/>
            </w:tcMar>
            <w:vAlign w:val="center"/>
          </w:tcPr>
          <w:p>
            <w:pPr>
              <w:jc w:val="center"/>
            </w:pPr>
            <w:r>
              <w:rPr>
                <w:b/>
                <w:color w:val="FFFFFF"/>
                <w:sz w:val="18"/>
              </w:rPr>
              <w:t>Definition</w:t>
            </w:r>
          </w:p>
        </w:tc>
      </w:tr>
      <w:tr>
        <w:trPr>
          <w:cantSplit/>
        </w:trPr>
        <w:tc>
          <w:tcPr>
            <w:tcW w:type="dxa" w:w="2160"/>
            <w:tcMar>
              <w:top w:w="80" w:type="dxa"/>
              <w:start w:w="80" w:type="dxa"/>
              <w:bottom w:w="80" w:type="dxa"/>
              <w:end w:w="80" w:type="dxa"/>
            </w:tcMar>
            <w:vAlign w:val="top"/>
          </w:tcPr>
          <w:p>
            <w:pPr>
              <w:spacing w:after="0" w:line="240" w:lineRule="auto"/>
            </w:pPr>
            <w:r>
              <w:rPr>
                <w:sz w:val="18"/>
              </w:rPr>
              <w:t>Audience</w:t>
            </w:r>
          </w:p>
        </w:tc>
        <w:tc>
          <w:tcPr>
            <w:tcW w:type="dxa" w:w="7200"/>
            <w:tcMar>
              <w:top w:w="80" w:type="dxa"/>
              <w:start w:w="80" w:type="dxa"/>
              <w:bottom w:w="80" w:type="dxa"/>
              <w:end w:w="80" w:type="dxa"/>
            </w:tcMar>
            <w:vAlign w:val="top"/>
          </w:tcPr>
          <w:p>
            <w:pPr>
              <w:spacing w:after="0" w:line="240" w:lineRule="auto"/>
            </w:pPr>
            <w:r>
              <w:rPr>
                <w:sz w:val="18"/>
              </w:rPr>
              <w:t>PSI/CII conversion developers, topology reviewers, piping engineers, and repository maintainers</w:t>
            </w:r>
          </w:p>
        </w:tc>
      </w:tr>
      <w:tr>
        <w:trPr>
          <w:cantSplit/>
        </w:trPr>
        <w:tc>
          <w:tcPr>
            <w:tcW w:type="dxa" w:w="2160"/>
            <w:shd w:fill="F8FAFC"/>
            <w:tcMar>
              <w:top w:w="80" w:type="dxa"/>
              <w:start w:w="80" w:type="dxa"/>
              <w:bottom w:w="80" w:type="dxa"/>
              <w:end w:w="80" w:type="dxa"/>
            </w:tcMar>
            <w:vAlign w:val="top"/>
          </w:tcPr>
          <w:p>
            <w:pPr>
              <w:spacing w:after="0" w:line="240" w:lineRule="auto"/>
            </w:pPr>
            <w:r>
              <w:rPr>
                <w:sz w:val="18"/>
              </w:rPr>
              <w:t>Problem statement</w:t>
            </w:r>
          </w:p>
        </w:tc>
        <w:tc>
          <w:tcPr>
            <w:tcW w:type="dxa" w:w="7200"/>
            <w:shd w:fill="F8FAFC"/>
            <w:tcMar>
              <w:top w:w="80" w:type="dxa"/>
              <w:start w:w="80" w:type="dxa"/>
              <w:bottom w:w="80" w:type="dxa"/>
              <w:end w:w="80" w:type="dxa"/>
            </w:tcMar>
            <w:vAlign w:val="top"/>
          </w:tcPr>
          <w:p>
            <w:pPr>
              <w:spacing w:after="0" w:line="240" w:lineRule="auto"/>
            </w:pPr>
            <w:r>
              <w:rPr>
                <w:sz w:val="18"/>
              </w:rPr>
              <w:t>Current node numbering is writer-driven and revision-unstable; nearby short geometry and historical reuse are not governed by a single auditable authority.</w:t>
            </w:r>
          </w:p>
        </w:tc>
      </w:tr>
      <w:tr>
        <w:trPr>
          <w:cantSplit/>
        </w:trPr>
        <w:tc>
          <w:tcPr>
            <w:tcW w:type="dxa" w:w="2160"/>
            <w:tcMar>
              <w:top w:w="80" w:type="dxa"/>
              <w:start w:w="80" w:type="dxa"/>
              <w:bottom w:w="80" w:type="dxa"/>
              <w:end w:w="80" w:type="dxa"/>
            </w:tcMar>
            <w:vAlign w:val="top"/>
          </w:tcPr>
          <w:p>
            <w:pPr>
              <w:spacing w:after="0" w:line="240" w:lineRule="auto"/>
            </w:pPr>
            <w:r>
              <w:rPr>
                <w:sz w:val="18"/>
              </w:rPr>
              <w:t>Concept boundary</w:t>
            </w:r>
          </w:p>
        </w:tc>
        <w:tc>
          <w:tcPr>
            <w:tcW w:type="dxa" w:w="7200"/>
            <w:tcMar>
              <w:top w:w="80" w:type="dxa"/>
              <w:start w:w="80" w:type="dxa"/>
              <w:bottom w:w="80" w:type="dxa"/>
              <w:end w:w="80" w:type="dxa"/>
            </w:tcMar>
            <w:vAlign w:val="top"/>
          </w:tcPr>
          <w:p>
            <w:r>
              <w:t>Preprocessing, node identity, historical matching, number allocation, writer integration, registry governance, three-level Pipe/Branch/Node context, topology-index linkage, and review gates.</w:t>
            </w:r>
          </w:p>
        </w:tc>
      </w:tr>
      <w:tr>
        <w:trPr>
          <w:cantSplit/>
        </w:trPr>
        <w:tc>
          <w:tcPr>
            <w:tcW w:type="dxa" w:w="2160"/>
            <w:shd w:fill="F8FAFC"/>
            <w:tcMar>
              <w:top w:w="80" w:type="dxa"/>
              <w:start w:w="80" w:type="dxa"/>
              <w:bottom w:w="80" w:type="dxa"/>
              <w:end w:w="80" w:type="dxa"/>
            </w:tcMar>
            <w:vAlign w:val="top"/>
          </w:tcPr>
          <w:p>
            <w:pPr>
              <w:spacing w:after="0" w:line="240" w:lineRule="auto"/>
            </w:pPr>
            <w:r>
              <w:rPr>
                <w:sz w:val="18"/>
              </w:rPr>
              <w:t>Excluded from this concept</w:t>
            </w:r>
          </w:p>
        </w:tc>
        <w:tc>
          <w:tcPr>
            <w:tcW w:type="dxa" w:w="7200"/>
            <w:shd w:fill="F8FAFC"/>
            <w:tcMar>
              <w:top w:w="80" w:type="dxa"/>
              <w:start w:w="80" w:type="dxa"/>
              <w:bottom w:w="80" w:type="dxa"/>
              <w:end w:w="80" w:type="dxa"/>
            </w:tcMar>
            <w:vAlign w:val="top"/>
          </w:tcPr>
          <w:p>
            <w:pPr>
              <w:spacing w:after="0" w:line="240" w:lineRule="auto"/>
            </w:pPr>
            <w:r>
              <w:rPr>
                <w:sz w:val="18"/>
              </w:rPr>
              <w:t>Detailed UI mock-ups, final scoring calibration, automatic resolution of structural merges/splits, and the complete PSI-116 XSD/CII assurance program.</w:t>
            </w:r>
          </w:p>
        </w:tc>
      </w:tr>
      <w:tr>
        <w:trPr>
          <w:cantSplit/>
        </w:trPr>
        <w:tc>
          <w:tcPr>
            <w:tcW w:type="dxa" w:w="2160"/>
            <w:tcMar>
              <w:top w:w="80" w:type="dxa"/>
              <w:start w:w="80" w:type="dxa"/>
              <w:bottom w:w="80" w:type="dxa"/>
              <w:end w:w="80" w:type="dxa"/>
            </w:tcMar>
            <w:vAlign w:val="top"/>
          </w:tcPr>
          <w:p>
            <w:pPr>
              <w:spacing w:after="0" w:line="240" w:lineRule="auto"/>
            </w:pPr>
            <w:r>
              <w:rPr>
                <w:sz w:val="18"/>
              </w:rPr>
              <w:t>Normative intent</w:t>
            </w:r>
          </w:p>
        </w:tc>
        <w:tc>
          <w:tcPr>
            <w:tcW w:type="dxa" w:w="7200"/>
            <w:tcMar>
              <w:top w:w="80" w:type="dxa"/>
              <w:start w:w="80" w:type="dxa"/>
              <w:bottom w:w="80" w:type="dxa"/>
              <w:end w:w="80" w:type="dxa"/>
            </w:tcMar>
            <w:vAlign w:val="top"/>
          </w:tcPr>
          <w:p>
            <w:pPr>
              <w:spacing w:after="0" w:line="240" w:lineRule="auto"/>
            </w:pPr>
            <w:r>
              <w:rPr>
                <w:sz w:val="18"/>
              </w:rPr>
              <w:t>Architecture and contracts are proposed. Numeric thresholds remain policy defaults until benchmark calibration.</w:t>
            </w:r>
          </w:p>
        </w:tc>
      </w:tr>
    </w:tbl>
    <w:p>
      <w:pPr>
        <w:spacing w:after="0"/>
        <w:widowControl/>
      </w:pPr>
    </w:p>
    <w:p>
      <w:pPr>
        <w:pStyle w:val="Heading1"/>
        <w:widowControl/>
      </w:pPr>
      <w:r>
        <w:t>Contents</w:t>
      </w:r>
    </w:p>
    <w:p>
      <w:pPr>
        <w:spacing w:after="30"/>
        <w:ind w:left="216"/>
        <w:pageBreakBefore w:val="0"/>
        <w:widowControl/>
      </w:pPr>
      <w:r>
        <w:t>1. Executive summary</w:t>
      </w:r>
    </w:p>
    <w:p>
      <w:pPr>
        <w:spacing w:after="30"/>
        <w:ind w:left="216"/>
        <w:widowControl/>
      </w:pPr>
      <w:r>
        <w:t>2. Decision request</w:t>
      </w:r>
    </w:p>
    <w:p>
      <w:pPr>
        <w:spacing w:after="30"/>
        <w:ind w:left="216"/>
        <w:widowControl/>
      </w:pPr>
      <w:r>
        <w:t>3. Background and problem</w:t>
      </w:r>
    </w:p>
    <w:p>
      <w:pPr>
        <w:spacing w:after="30"/>
        <w:ind w:left="216"/>
        <w:widowControl/>
      </w:pPr>
      <w:r>
        <w:t>4. Goals, non-goals and design principles</w:t>
      </w:r>
    </w:p>
    <w:p>
      <w:pPr>
        <w:spacing w:after="30"/>
        <w:ind w:left="216"/>
        <w:widowControl/>
      </w:pPr>
      <w:r>
        <w:t>5. Proposed target architecture</w:t>
      </w:r>
    </w:p>
    <w:p>
      <w:pPr>
        <w:spacing w:after="30"/>
        <w:ind w:left="216"/>
        <w:widowControl/>
      </w:pPr>
      <w:r>
        <w:t>6. Authority and contract model</w:t>
      </w:r>
    </w:p>
    <w:p>
      <w:pPr>
        <w:spacing w:after="30"/>
        <w:ind w:left="216"/>
        <w:widowControl/>
      </w:pPr>
      <w:r>
        <w:t>7. Micro-geometry normalization</w:t>
      </w:r>
    </w:p>
    <w:p>
      <w:pPr>
        <w:spacing w:after="30"/>
        <w:ind w:left="216"/>
        <w:widowControl/>
      </w:pPr>
      <w:r>
        <w:t>8. Project zone and main-line identity</w:t>
      </w:r>
    </w:p>
    <w:p>
      <w:pPr>
        <w:spacing w:after="30"/>
        <w:ind w:left="216"/>
        <w:widowControl/>
      </w:pPr>
      <w:r>
        <w:t>9. Historical node matching</w:t>
      </w:r>
    </w:p>
    <w:p>
      <w:pPr>
        <w:spacing w:after="30"/>
        <w:ind w:left="216"/>
        <w:widowControl/>
      </w:pPr>
      <w:r>
        <w:t>10. Node-range allocation</w:t>
      </w:r>
    </w:p>
    <w:p>
      <w:pPr>
        <w:spacing w:after="30"/>
        <w:ind w:left="216"/>
        <w:widowControl/>
      </w:pPr>
      <w:r>
        <w:t>11. GitHub registry and transaction model</w:t>
      </w:r>
    </w:p>
    <w:p>
      <w:pPr>
        <w:spacing w:after="30"/>
        <w:ind w:left="216"/>
        <w:widowControl/>
      </w:pPr>
      <w:r>
        <w:t>12. Writer integration and parity</w:t>
      </w:r>
    </w:p>
    <w:p>
      <w:pPr>
        <w:spacing w:after="30"/>
        <w:ind w:left="216"/>
        <w:widowControl/>
      </w:pPr>
      <w:r>
        <w:t>13. Status and production gate model</w:t>
      </w:r>
    </w:p>
    <w:p>
      <w:pPr>
        <w:spacing w:after="30"/>
        <w:ind w:left="216"/>
        <w:widowControl/>
      </w:pPr>
      <w:r>
        <w:t>14. Rollout modes and migration</w:t>
      </w:r>
    </w:p>
    <w:p>
      <w:pPr>
        <w:spacing w:after="30"/>
        <w:ind w:left="216"/>
        <w:widowControl/>
      </w:pPr>
      <w:r>
        <w:t>15. Implementation sequence</w:t>
      </w:r>
    </w:p>
    <w:p>
      <w:pPr>
        <w:spacing w:after="30"/>
        <w:ind w:left="216"/>
        <w:widowControl/>
      </w:pPr>
      <w:r>
        <w:t>16. Testing and acceptance criteria</w:t>
      </w:r>
    </w:p>
    <w:p>
      <w:pPr>
        <w:spacing w:after="30"/>
        <w:ind w:left="216"/>
        <w:widowControl/>
      </w:pPr>
      <w:r>
        <w:t>17. Risks and mitigations</w:t>
      </w:r>
    </w:p>
    <w:p>
      <w:pPr>
        <w:spacing w:after="30"/>
        <w:ind w:left="216"/>
        <w:widowControl/>
      </w:pPr>
      <w:r>
        <w:t>18. Open decisions for review</w:t>
      </w:r>
    </w:p>
    <w:p>
      <w:pPr>
        <w:spacing w:after="30"/>
        <w:ind w:left="216"/>
        <w:pageBreakBefore w:val="0"/>
        <w:widowControl/>
      </w:pPr>
      <w:r>
        <w:t>Appendix A. Contract skeletons</w:t>
      </w:r>
    </w:p>
    <w:p>
      <w:pPr>
        <w:spacing w:after="30"/>
        <w:ind w:left="216"/>
        <w:widowControl/>
      </w:pPr>
      <w:r>
        <w:t>Appendix B. Audit event catalogue</w:t>
      </w:r>
    </w:p>
    <w:p>
      <w:pPr>
        <w:pageBreakBefore w:val="0"/>
      </w:pPr>
      <w:r>
        <w:t>Appendix C. Phase-wise implementation and minimum test addendum</w:t>
      </w:r>
    </w:p>
    <w:p>
      <w:pPr>
        <w:pageBreakBefore w:val="0"/>
      </w:pPr>
      <w:r>
        <w:t>Appendix D. Three-level PSI context and topology-index contract</w:t>
      </w:r>
    </w:p>
    <w:p>
      <w:pPr>
        <w:pStyle w:val="Heading1"/>
        <w:pageBreakBefore/>
        <w:widowControl/>
      </w:pPr>
      <w:r>
        <w:t>1. Executive summary</w:t>
      </w:r>
    </w:p>
    <w:p>
      <w:pPr>
        <w:widowControl/>
      </w:pPr>
      <w:r>
        <w:t>The proposed capability introduces a deterministic node preprocessing layer before PSI-116 XML generation. It normalizes specifically permitted sub-6 mm geometry, reconciles current logical nodes with an approved zone-level historical registry, allocates new engineering node numbers, and produces an immutable node plan consumed by both canonical and sequential writers.</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E2F0D9"/>
            <w:tcMar>
              <w:top w:w="100" w:type="dxa"/>
              <w:start w:w="140" w:type="dxa"/>
              <w:bottom w:w="100" w:type="dxa"/>
              <w:end w:w="140" w:type="dxa"/>
            </w:tcMar>
          </w:tcPr>
          <w:p>
            <w:r>
              <w:rPr>
                <w:b/>
                <w:color w:val="1F3A5F"/>
                <w:sz w:val="21"/>
              </w:rPr>
              <w:t>Core architectural rule</w:t>
            </w:r>
            <w:r>
              <w:br/>
              <w:t>Historical matching must not be added beside the existing writer allocation logic. PsiNodePlan.v1 must replace writer-side counters, +10 inference, component-level start-number derivation, and record mutation as the sole emitted engineering node-number authority.</w:t>
            </w:r>
          </w:p>
        </w:tc>
      </w:tr>
    </w:tbl>
    <w:p>
      <w:pPr>
        <w:spacing w:after="0"/>
        <w:widowControl/>
      </w:pPr>
    </w:p>
    <w:p>
      <w:pPr>
        <w:widowControl/>
      </w:pPr>
      <w:r>
        <w:t>The minimal safe architecture separates three identities:</w:t>
      </w:r>
    </w:p>
    <w:p>
      <w:pPr>
        <w:pStyle w:val="ListBullet"/>
        <w:spacing w:after="40"/>
        <w:widowControl/>
      </w:pPr>
      <w:r>
        <w:rPr>
          <w:b/>
        </w:rPr>
        <w:t>Raw source ports</w:t>
      </w:r>
      <w:r>
        <w:t xml:space="preserve"> — exact StagedJSON branch/component endpoint evidence.</w:t>
      </w:r>
    </w:p>
    <w:p>
      <w:pPr>
        <w:pStyle w:val="ListBullet"/>
        <w:spacing w:after="40"/>
        <w:widowControl/>
      </w:pPr>
      <w:r>
        <w:rPr>
          <w:b/>
        </w:rPr>
        <w:t>Logical engineering nodes</w:t>
      </w:r>
      <w:r>
        <w:t xml:space="preserve"> — normalized topology after permitted micro-component consumption and gap snapping.</w:t>
      </w:r>
    </w:p>
    <w:p>
      <w:pPr>
        <w:pStyle w:val="ListBullet"/>
        <w:spacing w:after="40"/>
        <w:widowControl/>
      </w:pPr>
      <w:r>
        <w:rPr>
          <w:b/>
        </w:rPr>
        <w:t>Emitted writer nodes</w:t>
      </w:r>
      <w:r>
        <w:t xml:space="preserve"> — exact PSI nodes, roles and numbers serialized by the writers.</w:t>
      </w:r>
    </w:p>
    <w:p>
      <w:pPr>
        <w:widowControl/>
      </w:pPr>
      <w:r>
        <w:t>Historical reuse is conservative. Exact identity and topology evidence take precedence; registered 3D proximity is supporting evidence only. Candidate matching is one-to-one and globally assigned within a zone/main-line scope. Ambiguity, structural split/merge, line rename and zone transfer are explicit review events rather than automatic guesses.</w:t>
      </w:r>
    </w:p>
    <w:p>
      <w:pPr>
        <w:widowControl/>
      </w:pPr>
      <w:r>
        <w:t>The authoritative registry is stored as reviewable JSON by project and zone. The browser or conversion app proposes a patch, but the registry becomes authoritative only after current-branch validation and merge. The Git commit is the transaction boundary.</w:t>
      </w:r>
    </w:p>
    <w:p>
      <w:pPr/>
      <w:r>
        <w:t>Revision 3 finalizes the three-level metadata contract: PipeContext carries document-wide authority, BranchContext carries zone/main-line/history scope, NodeContext binds canonical, historical and writer-occurrence identities, and PsiTopologyIndex.v1 remains the non-duplicated edge, neighbour, junction, boundary and attachment authority. See Appendix D.</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2232"/>
            <w:shd w:fill="1F3A5F"/>
            <w:tcMar>
              <w:top w:w="80" w:type="dxa"/>
              <w:start w:w="80" w:type="dxa"/>
              <w:bottom w:w="80" w:type="dxa"/>
              <w:end w:w="80" w:type="dxa"/>
            </w:tcMar>
            <w:vAlign w:val="center"/>
          </w:tcPr>
          <w:p>
            <w:pPr>
              <w:jc w:val="center"/>
            </w:pPr>
            <w:r>
              <w:rPr>
                <w:b/>
                <w:color w:val="FFFFFF"/>
                <w:sz w:val="18"/>
              </w:rPr>
              <w:t>Area</w:t>
            </w:r>
          </w:p>
        </w:tc>
        <w:tc>
          <w:tcPr>
            <w:tcW w:type="dxa" w:w="7128"/>
            <w:shd w:fill="1F3A5F"/>
            <w:tcMar>
              <w:top w:w="80" w:type="dxa"/>
              <w:start w:w="80" w:type="dxa"/>
              <w:bottom w:w="80" w:type="dxa"/>
              <w:end w:w="80" w:type="dxa"/>
            </w:tcMar>
            <w:vAlign w:val="center"/>
          </w:tcPr>
          <w:p>
            <w:pPr>
              <w:jc w:val="center"/>
            </w:pPr>
            <w:r>
              <w:rPr>
                <w:b/>
                <w:color w:val="FFFFFF"/>
                <w:sz w:val="18"/>
              </w:rPr>
              <w:t>Concept position</w:t>
            </w:r>
          </w:p>
        </w:tc>
      </w:tr>
      <w:tr>
        <w:trPr>
          <w:cantSplit/>
        </w:trPr>
        <w:tc>
          <w:tcPr>
            <w:tcW w:type="dxa" w:w="2232"/>
            <w:tcMar>
              <w:top w:w="80" w:type="dxa"/>
              <w:start w:w="80" w:type="dxa"/>
              <w:bottom w:w="80" w:type="dxa"/>
              <w:end w:w="80" w:type="dxa"/>
            </w:tcMar>
            <w:vAlign w:val="top"/>
          </w:tcPr>
          <w:p>
            <w:pPr>
              <w:spacing w:after="0" w:line="240" w:lineRule="auto"/>
            </w:pPr>
            <w:r>
              <w:rPr>
                <w:sz w:val="18"/>
              </w:rPr>
              <w:t>Architecture</w:t>
            </w:r>
          </w:p>
        </w:tc>
        <w:tc>
          <w:tcPr>
            <w:tcW w:type="dxa" w:w="7128"/>
            <w:tcMar>
              <w:top w:w="80" w:type="dxa"/>
              <w:start w:w="80" w:type="dxa"/>
              <w:bottom w:w="80" w:type="dxa"/>
              <w:end w:w="80" w:type="dxa"/>
            </w:tcMar>
            <w:vAlign w:val="top"/>
          </w:tcPr>
          <w:p>
            <w:pPr>
              <w:spacing w:after="0" w:line="240" w:lineRule="auto"/>
            </w:pPr>
            <w:r>
              <w:rPr>
                <w:sz w:val="18"/>
              </w:rPr>
              <w:t>Approved direction: preprocess before writer; immutable node plan shared by all outputs.</w:t>
            </w:r>
          </w:p>
        </w:tc>
      </w:tr>
      <w:tr>
        <w:trPr>
          <w:cantSplit/>
        </w:trPr>
        <w:tc>
          <w:tcPr>
            <w:tcW w:type="dxa" w:w="2232"/>
            <w:shd w:fill="F8FAFC"/>
            <w:tcMar>
              <w:top w:w="80" w:type="dxa"/>
              <w:start w:w="80" w:type="dxa"/>
              <w:bottom w:w="80" w:type="dxa"/>
              <w:end w:w="80" w:type="dxa"/>
            </w:tcMar>
            <w:vAlign w:val="top"/>
          </w:tcPr>
          <w:p>
            <w:pPr>
              <w:spacing w:after="0" w:line="240" w:lineRule="auto"/>
            </w:pPr>
            <w:r>
              <w:rPr>
                <w:sz w:val="18"/>
              </w:rPr>
              <w:t>Micro-geometry</w:t>
            </w:r>
          </w:p>
        </w:tc>
        <w:tc>
          <w:tcPr>
            <w:tcW w:type="dxa" w:w="7128"/>
            <w:shd w:fill="F8FAFC"/>
            <w:tcMar>
              <w:top w:w="80" w:type="dxa"/>
              <w:start w:w="80" w:type="dxa"/>
              <w:bottom w:w="80" w:type="dxa"/>
              <w:end w:w="80" w:type="dxa"/>
            </w:tcMar>
            <w:vAlign w:val="top"/>
          </w:tcPr>
          <w:p>
            <w:pPr>
              <w:spacing w:after="0" w:line="240" w:lineRule="auto"/>
            </w:pPr>
            <w:r>
              <w:rPr>
                <w:sz w:val="18"/>
              </w:rPr>
              <w:t>Allowlist and topology-gated only; complete-link cluster diameter &lt;= tolerance.</w:t>
            </w:r>
          </w:p>
        </w:tc>
      </w:tr>
      <w:tr>
        <w:trPr>
          <w:cantSplit/>
        </w:trPr>
        <w:tc>
          <w:tcPr>
            <w:tcW w:type="dxa" w:w="2232"/>
            <w:tcMar>
              <w:top w:w="80" w:type="dxa"/>
              <w:start w:w="80" w:type="dxa"/>
              <w:bottom w:w="80" w:type="dxa"/>
              <w:end w:w="80" w:type="dxa"/>
            </w:tcMar>
            <w:vAlign w:val="top"/>
          </w:tcPr>
          <w:p>
            <w:pPr>
              <w:spacing w:after="0" w:line="240" w:lineRule="auto"/>
            </w:pPr>
            <w:r>
              <w:rPr>
                <w:sz w:val="18"/>
              </w:rPr>
              <w:t>Number uniqueness</w:t>
            </w:r>
          </w:p>
        </w:tc>
        <w:tc>
          <w:tcPr>
            <w:tcW w:type="dxa" w:w="7128"/>
            <w:tcMar>
              <w:top w:w="80" w:type="dxa"/>
              <w:start w:w="80" w:type="dxa"/>
              <w:bottom w:w="80" w:type="dxa"/>
              <w:end w:w="80" w:type="dxa"/>
            </w:tcMar>
            <w:vAlign w:val="top"/>
          </w:tcPr>
          <w:p>
            <w:pPr>
              <w:spacing w:after="0" w:line="240" w:lineRule="auto"/>
            </w:pPr>
            <w:r>
              <w:rPr>
                <w:sz w:val="18"/>
              </w:rPr>
              <w:t>Zone-global; main lines own non-overlapping number-range leases.</w:t>
            </w:r>
          </w:p>
        </w:tc>
      </w:tr>
      <w:tr>
        <w:trPr>
          <w:cantSplit/>
        </w:trPr>
        <w:tc>
          <w:tcPr>
            <w:tcW w:type="dxa" w:w="2232"/>
            <w:shd w:fill="F8FAFC"/>
            <w:tcMar>
              <w:top w:w="80" w:type="dxa"/>
              <w:start w:w="80" w:type="dxa"/>
              <w:bottom w:w="80" w:type="dxa"/>
              <w:end w:w="80" w:type="dxa"/>
            </w:tcMar>
            <w:vAlign w:val="top"/>
          </w:tcPr>
          <w:p>
            <w:pPr>
              <w:spacing w:after="0" w:line="240" w:lineRule="auto"/>
            </w:pPr>
            <w:r>
              <w:rPr>
                <w:sz w:val="18"/>
              </w:rPr>
              <w:t>Historical reuse</w:t>
            </w:r>
          </w:p>
        </w:tc>
        <w:tc>
          <w:tcPr>
            <w:tcW w:type="dxa" w:w="7128"/>
            <w:shd w:fill="F8FAFC"/>
            <w:tcMar>
              <w:top w:w="80" w:type="dxa"/>
              <w:start w:w="80" w:type="dxa"/>
              <w:bottom w:w="80" w:type="dxa"/>
              <w:end w:w="80" w:type="dxa"/>
            </w:tcMar>
            <w:vAlign w:val="top"/>
          </w:tcPr>
          <w:p>
            <w:pPr>
              <w:spacing w:after="0" w:line="240" w:lineRule="auto"/>
            </w:pPr>
            <w:r>
              <w:rPr>
                <w:sz w:val="18"/>
              </w:rPr>
              <w:t>Identity/topology first, registered proximity last; global assignment and ambiguity gate.</w:t>
            </w:r>
          </w:p>
        </w:tc>
      </w:tr>
      <w:tr>
        <w:trPr>
          <w:cantSplit/>
        </w:trPr>
        <w:tc>
          <w:tcPr>
            <w:tcW w:type="dxa" w:w="2232"/>
            <w:tcMar>
              <w:top w:w="80" w:type="dxa"/>
              <w:start w:w="80" w:type="dxa"/>
              <w:bottom w:w="80" w:type="dxa"/>
              <w:end w:w="80" w:type="dxa"/>
            </w:tcMar>
            <w:vAlign w:val="top"/>
          </w:tcPr>
          <w:p>
            <w:pPr>
              <w:spacing w:after="0" w:line="240" w:lineRule="auto"/>
            </w:pPr>
            <w:r>
              <w:rPr>
                <w:sz w:val="18"/>
              </w:rPr>
              <w:t>Writer behaviour</w:t>
            </w:r>
          </w:p>
        </w:tc>
        <w:tc>
          <w:tcPr>
            <w:tcW w:type="dxa" w:w="7128"/>
            <w:tcMar>
              <w:top w:w="80" w:type="dxa"/>
              <w:start w:w="80" w:type="dxa"/>
              <w:bottom w:w="80" w:type="dxa"/>
              <w:end w:w="80" w:type="dxa"/>
            </w:tcMar>
            <w:vAlign w:val="top"/>
          </w:tcPr>
          <w:p>
            <w:pPr>
              <w:spacing w:after="0" w:line="240" w:lineRule="auto"/>
            </w:pPr>
            <w:r>
              <w:rPr>
                <w:sz w:val="18"/>
              </w:rPr>
              <w:t>Pure serialization; missing allocation is a hard failure.</w:t>
            </w:r>
          </w:p>
        </w:tc>
      </w:tr>
      <w:tr>
        <w:trPr>
          <w:cantSplit/>
        </w:trPr>
        <w:tc>
          <w:tcPr>
            <w:tcW w:type="dxa" w:w="2232"/>
            <w:shd w:fill="F8FAFC"/>
            <w:tcMar>
              <w:top w:w="80" w:type="dxa"/>
              <w:start w:w="80" w:type="dxa"/>
              <w:bottom w:w="80" w:type="dxa"/>
              <w:end w:w="80" w:type="dxa"/>
            </w:tcMar>
            <w:vAlign w:val="top"/>
          </w:tcPr>
          <w:p>
            <w:pPr>
              <w:spacing w:after="0" w:line="240" w:lineRule="auto"/>
            </w:pPr>
            <w:r>
              <w:rPr>
                <w:sz w:val="18"/>
              </w:rPr>
              <w:t>Registry</w:t>
            </w:r>
          </w:p>
        </w:tc>
        <w:tc>
          <w:tcPr>
            <w:tcW w:type="dxa" w:w="7128"/>
            <w:shd w:fill="F8FAFC"/>
            <w:tcMar>
              <w:top w:w="80" w:type="dxa"/>
              <w:start w:w="80" w:type="dxa"/>
              <w:bottom w:w="80" w:type="dxa"/>
              <w:end w:w="80" w:type="dxa"/>
            </w:tcMar>
            <w:vAlign w:val="top"/>
          </w:tcPr>
          <w:p>
            <w:pPr>
              <w:spacing w:after="0" w:line="240" w:lineRule="auto"/>
            </w:pPr>
            <w:r>
              <w:rPr>
                <w:sz w:val="18"/>
              </w:rPr>
              <w:t>GitHub JSON with zone snapshot hash and merge-time optimistic locking.</w:t>
            </w:r>
          </w:p>
        </w:tc>
      </w:tr>
      <w:tr>
        <w:trPr>
          <w:cantSplit/>
        </w:trPr>
        <w:tc>
          <w:tcPr>
            <w:tcW w:type="dxa" w:w="2232"/>
            <w:tcMar>
              <w:top w:w="80" w:type="dxa"/>
              <w:start w:w="80" w:type="dxa"/>
              <w:bottom w:w="80" w:type="dxa"/>
              <w:end w:w="80" w:type="dxa"/>
            </w:tcMar>
            <w:vAlign w:val="top"/>
          </w:tcPr>
          <w:p>
            <w:pPr>
              <w:spacing w:after="0" w:line="240" w:lineRule="auto"/>
            </w:pPr>
            <w:r>
              <w:rPr>
                <w:sz w:val="18"/>
              </w:rPr>
              <w:t>Rollout</w:t>
            </w:r>
          </w:p>
        </w:tc>
        <w:tc>
          <w:tcPr>
            <w:tcW w:type="dxa" w:w="7128"/>
            <w:tcMar>
              <w:top w:w="80" w:type="dxa"/>
              <w:start w:w="80" w:type="dxa"/>
              <w:bottom w:w="80" w:type="dxa"/>
              <w:end w:w="80" w:type="dxa"/>
            </w:tcMar>
            <w:vAlign w:val="top"/>
          </w:tcPr>
          <w:p>
            <w:pPr>
              <w:spacing w:after="0" w:line="240" w:lineRule="auto"/>
            </w:pPr>
            <w:r>
              <w:rPr>
                <w:sz w:val="18"/>
              </w:rPr>
              <w:t>Bootstrap review → shadow → enforced.</w:t>
            </w:r>
          </w:p>
        </w:tc>
      </w:tr>
    </w:tbl>
    <w:p>
      <w:pPr>
        <w:spacing w:after="0"/>
        <w:widowControl/>
      </w:pPr>
    </w:p>
    <w:p>
      <w:pPr>
        <w:pStyle w:val="Heading1"/>
        <w:widowControl/>
      </w:pPr>
      <w:r>
        <w:t>2. Decision request</w:t>
      </w:r>
    </w:p>
    <w:p>
      <w:pPr>
        <w:widowControl/>
      </w:pPr>
      <w:r>
        <w:t>Reviewers are asked to approve the following architecture decisions:</w:t>
      </w:r>
    </w:p>
    <w:p>
      <w:pPr>
        <w:spacing w:after="40"/>
        <w:ind w:left="374" w:hanging="288"/>
        <w:widowControl/>
      </w:pPr>
      <w:r>
        <w:rPr>
          <w:b/>
        </w:rPr>
        <w:t xml:space="preserve">1. </w:t>
      </w:r>
      <w:r>
        <w:t>PsiNodePlan.v1 becomes the sole authority for all emitted PSI/CII engineering node numbers in this workflow.</w:t>
      </w:r>
    </w:p>
    <w:p>
      <w:pPr>
        <w:spacing w:after="40"/>
        <w:ind w:left="374" w:hanging="288"/>
        <w:widowControl/>
      </w:pPr>
      <w:r>
        <w:rPr>
          <w:b/>
        </w:rPr>
        <w:t xml:space="preserve">2. </w:t>
      </w:r>
      <w:r>
        <w:t>Source sequence intent is retained before normalization, while the writer sequence plan is rebuilt over the normalized logical graph.</w:t>
      </w:r>
    </w:p>
    <w:p>
      <w:pPr>
        <w:spacing w:after="40"/>
        <w:ind w:left="374" w:hanging="288"/>
        <w:widowControl/>
      </w:pPr>
      <w:r>
        <w:rPr>
          <w:b/>
        </w:rPr>
        <w:t xml:space="preserve">3. </w:t>
      </w:r>
      <w:r>
        <w:t>Node-number uniqueness is project-zone global; main-line identity owns leases but is not part of the emitted-number uniqueness key.</w:t>
      </w:r>
    </w:p>
    <w:p>
      <w:pPr>
        <w:spacing w:after="40"/>
        <w:ind w:left="374" w:hanging="288"/>
        <w:widowControl/>
      </w:pPr>
      <w:r>
        <w:rPr>
          <w:b/>
        </w:rPr>
        <w:t xml:space="preserve">4. </w:t>
      </w:r>
      <w:r>
        <w:t>Micro-components are never consumed by length alone. Eligibility is controlled by component type, topology, engineering compatibility and historical identity.</w:t>
      </w:r>
    </w:p>
    <w:p>
      <w:pPr>
        <w:spacing w:after="40"/>
        <w:ind w:left="374" w:hanging="288"/>
        <w:widowControl/>
      </w:pPr>
      <w:r>
        <w:rPr>
          <w:b/>
        </w:rPr>
        <w:t xml:space="preserve">5. </w:t>
      </w:r>
      <w:r>
        <w:t>Historical reuse uses hard compatibility filters, a versioned score model, maximum-weight one-to-one assignment and an ambiguity/review gate.</w:t>
      </w:r>
    </w:p>
    <w:p>
      <w:pPr>
        <w:spacing w:after="40"/>
        <w:ind w:left="374" w:hanging="288"/>
        <w:widowControl/>
      </w:pPr>
      <w:r>
        <w:rPr>
          <w:b/>
        </w:rPr>
        <w:t xml:space="preserve">6. </w:t>
      </w:r>
      <w:r>
        <w:t>GitHub stores reviewed registry state; merge-time validation against the current zone snapshot is the transaction boundary.</w:t>
      </w:r>
    </w:p>
    <w:p>
      <w:pPr>
        <w:spacing w:after="40"/>
        <w:ind w:left="374" w:hanging="288"/>
        <w:widowControl/>
      </w:pPr>
      <w:r>
        <w:rPr>
          <w:b/>
        </w:rPr>
        <w:t xml:space="preserve">7. </w:t>
      </w:r>
      <w:r>
        <w:t>Production rollout begins with an approved-registry bootstrap and shadow comparison before writer enforcement.</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FFF2CC"/>
            <w:tcMar>
              <w:top w:w="100" w:type="dxa"/>
              <w:start w:w="140" w:type="dxa"/>
              <w:bottom w:w="100" w:type="dxa"/>
              <w:end w:w="140" w:type="dxa"/>
            </w:tcMar>
          </w:tcPr>
          <w:p>
            <w:r>
              <w:rPr>
                <w:b/>
                <w:color w:val="1F3A5F"/>
                <w:sz w:val="21"/>
              </w:rPr>
              <w:t>Recommended approval</w:t>
            </w:r>
            <w:r>
              <w:br/>
              <w:t>Approve the target architecture and the phased implementation sequence. Do not approve direct enforcement of historical numbering until writer counters are removed and an approved historical registry has been bootstrapped.</w:t>
            </w:r>
          </w:p>
        </w:tc>
      </w:tr>
    </w:tbl>
    <w:p>
      <w:pPr>
        <w:spacing w:after="0"/>
        <w:widowControl/>
      </w:pPr>
    </w:p>
    <w:p>
      <w:pPr/>
      <w:r>
        <w:t>8. Canonical and sequential branch projections must feed one shared PSI serializer that consumes exact writer occurrences from PsiNodePlan.v1.</w:t>
      </w:r>
    </w:p>
    <w:p>
      <w:pPr/>
      <w:r>
        <w:t>9. Retirement is permitted only for declared FULL_LINE or FULL_ZONE source coverage; partial runs cannot retire unseen history.</w:t>
      </w:r>
    </w:p>
    <w:p>
      <w:pPr>
        <w:pStyle w:val="Heading1"/>
        <w:widowControl/>
      </w:pPr>
      <w:r>
        <w:t>3. Background and problem</w:t>
      </w:r>
    </w:p>
    <w:p>
      <w:pPr>
        <w:pStyle w:val="Heading2"/>
        <w:widowControl/>
      </w:pPr>
      <w:r>
        <w:t>3.1 Current operational need</w:t>
      </w:r>
    </w:p>
    <w:p>
      <w:pPr>
        <w:widowControl/>
      </w:pPr>
      <w:r>
        <w:t>Revisions of the same piping model should retain established engineering node numbers where the physical and topological identity remains sufficiently similar. At the same time, very short representation artefacts—such as a 3 mm gasket candidate requiring explicit review—or sub-6 mm endpoint gaps may need to resolve into a single logical node before XML generation.</w:t>
      </w:r>
    </w:p>
    <w:p>
      <w:pPr>
        <w:widowControl/>
      </w:pPr>
      <w:r>
        <w:t>The requested behaviour is:</w:t>
      </w:r>
    </w:p>
    <w:p>
      <w:pPr>
        <w:pStyle w:val="ListBullet"/>
        <w:spacing w:after="40"/>
        <w:widowControl/>
      </w:pPr>
      <w:r>
        <w:t>Project zones may reuse the same numeric series independently.</w:t>
      </w:r>
    </w:p>
    <w:p>
      <w:pPr>
        <w:pStyle w:val="ListBullet"/>
        <w:spacing w:after="40"/>
        <w:widowControl/>
      </w:pPr>
      <w:r>
        <w:t>Within one project zone, active node numbers are unique.</w:t>
      </w:r>
    </w:p>
    <w:p>
      <w:pPr>
        <w:pStyle w:val="ListBullet"/>
        <w:spacing w:after="40"/>
        <w:widowControl/>
      </w:pPr>
      <w:r>
        <w:t>Branches such as /P101550/B1 and /P101550/B2 share one main-line history and range lease owned by /P101550.</w:t>
      </w:r>
    </w:p>
    <w:p>
      <w:pPr>
        <w:pStyle w:val="ListBullet"/>
        <w:spacing w:after="40"/>
        <w:widowControl/>
      </w:pPr>
      <w:r>
        <w:t>A current logical node may reuse a historic number when identity, topology and nearby-candidate evidence meet a strict policy threshold.</w:t>
      </w:r>
    </w:p>
    <w:p>
      <w:pPr>
        <w:pStyle w:val="ListBullet"/>
        <w:spacing w:after="40"/>
        <w:widowControl/>
      </w:pPr>
      <w:r>
        <w:t>Every collapse, reuse, allocation, retirement and review decision is auditable and reviewable.</w:t>
      </w:r>
    </w:p>
    <w:p>
      <w:pPr>
        <w:pStyle w:val="Heading2"/>
        <w:widowControl/>
      </w:pPr>
      <w:r>
        <w:t>3.2 Existing constraints</w:t>
      </w:r>
    </w:p>
    <w:p>
      <w:pPr>
        <w:widowControl/>
      </w:pPr>
      <w:r>
        <w:t>The current conversion estate contains multiple places that can derive or mutate node numbers. A historical preprocessor introduced without removing these authorities would be advisory only and could disagree with the actual writer output.</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096"/>
            <w:shd w:fill="1F3A5F"/>
            <w:tcMar>
              <w:top w:w="80" w:type="dxa"/>
              <w:start w:w="80" w:type="dxa"/>
              <w:bottom w:w="80" w:type="dxa"/>
              <w:end w:w="80" w:type="dxa"/>
            </w:tcMar>
            <w:vAlign w:val="center"/>
          </w:tcPr>
          <w:p>
            <w:pPr>
              <w:jc w:val="center"/>
            </w:pPr>
            <w:r>
              <w:rPr>
                <w:b/>
                <w:color w:val="FFFFFF"/>
                <w:sz w:val="18"/>
              </w:rPr>
              <w:t>Constraint</w:t>
            </w:r>
          </w:p>
        </w:tc>
        <w:tc>
          <w:tcPr>
            <w:tcW w:type="dxa" w:w="6264"/>
            <w:shd w:fill="1F3A5F"/>
            <w:tcMar>
              <w:top w:w="80" w:type="dxa"/>
              <w:start w:w="80" w:type="dxa"/>
              <w:bottom w:w="80" w:type="dxa"/>
              <w:end w:w="80" w:type="dxa"/>
            </w:tcMar>
            <w:vAlign w:val="center"/>
          </w:tcPr>
          <w:p>
            <w:pPr>
              <w:jc w:val="center"/>
            </w:pPr>
            <w:r>
              <w:rPr>
                <w:b/>
                <w:color w:val="FFFFFF"/>
                <w:sz w:val="18"/>
              </w:rPr>
              <w:t>Consequence</w:t>
            </w:r>
          </w:p>
        </w:tc>
      </w:tr>
      <w:tr>
        <w:trPr>
          <w:cantSplit/>
        </w:trPr>
        <w:tc>
          <w:tcPr>
            <w:tcW w:type="dxa" w:w="3096"/>
            <w:tcMar>
              <w:top w:w="80" w:type="dxa"/>
              <w:start w:w="80" w:type="dxa"/>
              <w:bottom w:w="80" w:type="dxa"/>
              <w:end w:w="80" w:type="dxa"/>
            </w:tcMar>
            <w:vAlign w:val="top"/>
          </w:tcPr>
          <w:p>
            <w:pPr>
              <w:spacing w:after="0" w:line="240" w:lineRule="auto"/>
            </w:pPr>
            <w:r>
              <w:rPr>
                <w:sz w:val="18"/>
              </w:rPr>
              <w:t>Writer-side counters and +10 derivation</w:t>
            </w:r>
          </w:p>
        </w:tc>
        <w:tc>
          <w:tcPr>
            <w:tcW w:type="dxa" w:w="6264"/>
            <w:tcMar>
              <w:top w:w="80" w:type="dxa"/>
              <w:start w:w="80" w:type="dxa"/>
              <w:bottom w:w="80" w:type="dxa"/>
              <w:end w:w="80" w:type="dxa"/>
            </w:tcMar>
            <w:vAlign w:val="top"/>
          </w:tcPr>
          <w:p>
            <w:pPr>
              <w:spacing w:after="0" w:line="240" w:lineRule="auto"/>
            </w:pPr>
            <w:r>
              <w:rPr>
                <w:sz w:val="18"/>
              </w:rPr>
              <w:t>The writer remains the effective authority even when a preprocessor proposes numbers.</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Component projection has variable cardinality</w:t>
            </w:r>
          </w:p>
        </w:tc>
        <w:tc>
          <w:tcPr>
            <w:tcW w:type="dxa" w:w="6264"/>
            <w:shd w:fill="F8FAFC"/>
            <w:tcMar>
              <w:top w:w="80" w:type="dxa"/>
              <w:start w:w="80" w:type="dxa"/>
              <w:bottom w:w="80" w:type="dxa"/>
              <w:end w:w="80" w:type="dxa"/>
            </w:tcMar>
            <w:vAlign w:val="top"/>
          </w:tcPr>
          <w:p>
            <w:pPr>
              <w:spacing w:after="0" w:line="240" w:lineRule="auto"/>
            </w:pPr>
            <w:r>
              <w:rPr>
                <w:sz w:val="18"/>
              </w:rPr>
              <w:t>A component-level start number is insufficient; exact emitted nodes and roles must be planned.</w:t>
            </w:r>
          </w:p>
        </w:tc>
      </w:tr>
      <w:tr>
        <w:trPr>
          <w:cantSplit/>
        </w:trPr>
        <w:tc>
          <w:tcPr>
            <w:tcW w:type="dxa" w:w="3096"/>
            <w:tcMar>
              <w:top w:w="80" w:type="dxa"/>
              <w:start w:w="80" w:type="dxa"/>
              <w:bottom w:w="80" w:type="dxa"/>
              <w:end w:w="80" w:type="dxa"/>
            </w:tcMar>
            <w:vAlign w:val="top"/>
          </w:tcPr>
          <w:p>
            <w:pPr>
              <w:spacing w:after="0" w:line="240" w:lineRule="auto"/>
            </w:pPr>
            <w:r>
              <w:rPr>
                <w:sz w:val="18"/>
              </w:rPr>
              <w:t>Canonical/sequential ordering differs</w:t>
            </w:r>
          </w:p>
        </w:tc>
        <w:tc>
          <w:tcPr>
            <w:tcW w:type="dxa" w:w="6264"/>
            <w:tcMar>
              <w:top w:w="80" w:type="dxa"/>
              <w:start w:w="80" w:type="dxa"/>
              <w:bottom w:w="80" w:type="dxa"/>
              <w:end w:w="80" w:type="dxa"/>
            </w:tcMar>
            <w:vAlign w:val="top"/>
          </w:tcPr>
          <w:p>
            <w:pPr>
              <w:spacing w:after="0" w:line="240" w:lineRule="auto"/>
            </w:pPr>
            <w:r>
              <w:rPr>
                <w:sz w:val="18"/>
              </w:rPr>
              <w:t>Writer parity can pass content while numbering changes by branch order.</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Proximity is not identity</w:t>
            </w:r>
          </w:p>
        </w:tc>
        <w:tc>
          <w:tcPr>
            <w:tcW w:type="dxa" w:w="6264"/>
            <w:shd w:fill="F8FAFC"/>
            <w:tcMar>
              <w:top w:w="80" w:type="dxa"/>
              <w:start w:w="80" w:type="dxa"/>
              <w:bottom w:w="80" w:type="dxa"/>
              <w:end w:w="80" w:type="dxa"/>
            </w:tcMar>
            <w:vAlign w:val="top"/>
          </w:tcPr>
          <w:p>
            <w:pPr>
              <w:spacing w:after="0" w:line="240" w:lineRule="auto"/>
            </w:pPr>
            <w:r>
              <w:rPr>
                <w:sz w:val="18"/>
              </w:rPr>
              <w:t>Parallel lines, supports and repeated fittings can be geometrically close but unrelated.</w:t>
            </w:r>
          </w:p>
        </w:tc>
      </w:tr>
      <w:tr>
        <w:trPr>
          <w:cantSplit/>
        </w:trPr>
        <w:tc>
          <w:tcPr>
            <w:tcW w:type="dxa" w:w="3096"/>
            <w:tcMar>
              <w:top w:w="80" w:type="dxa"/>
              <w:start w:w="80" w:type="dxa"/>
              <w:bottom w:w="80" w:type="dxa"/>
              <w:end w:w="80" w:type="dxa"/>
            </w:tcMar>
            <w:vAlign w:val="top"/>
          </w:tcPr>
          <w:p>
            <w:pPr>
              <w:spacing w:after="0" w:line="240" w:lineRule="auto"/>
            </w:pPr>
            <w:r>
              <w:rPr>
                <w:sz w:val="18"/>
              </w:rPr>
              <w:t>GitHub is not a live database</w:t>
            </w:r>
          </w:p>
        </w:tc>
        <w:tc>
          <w:tcPr>
            <w:tcW w:type="dxa" w:w="6264"/>
            <w:tcMar>
              <w:top w:w="80" w:type="dxa"/>
              <w:start w:w="80" w:type="dxa"/>
              <w:bottom w:w="80" w:type="dxa"/>
              <w:end w:w="80" w:type="dxa"/>
            </w:tcMar>
            <w:vAlign w:val="top"/>
          </w:tcPr>
          <w:p>
            <w:pPr>
              <w:spacing w:after="0" w:line="240" w:lineRule="auto"/>
            </w:pPr>
            <w:r>
              <w:rPr>
                <w:sz w:val="18"/>
              </w:rPr>
              <w:t>Concurrent allocations require merge-time validation and zone serialization.</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Historical topology evolves</w:t>
            </w:r>
          </w:p>
        </w:tc>
        <w:tc>
          <w:tcPr>
            <w:tcW w:type="dxa" w:w="6264"/>
            <w:shd w:fill="F8FAFC"/>
            <w:tcMar>
              <w:top w:w="80" w:type="dxa"/>
              <w:start w:w="80" w:type="dxa"/>
              <w:bottom w:w="80" w:type="dxa"/>
              <w:end w:w="80" w:type="dxa"/>
            </w:tcMar>
            <w:vAlign w:val="top"/>
          </w:tcPr>
          <w:p>
            <w:pPr>
              <w:spacing w:after="0" w:line="240" w:lineRule="auto"/>
            </w:pPr>
            <w:r>
              <w:rPr>
                <w:sz w:val="18"/>
              </w:rPr>
              <w:t>Split, merge, rename and reactivation require lifecycle dispositions.</w:t>
            </w:r>
          </w:p>
        </w:tc>
      </w:tr>
    </w:tbl>
    <w:p>
      <w:pPr>
        <w:spacing w:after="0"/>
        <w:widowControl/>
      </w:pPr>
    </w:p>
    <w:p>
      <w:pPr>
        <w:pStyle w:val="Heading1"/>
        <w:widowControl/>
      </w:pPr>
      <w:r>
        <w:t>4. Goals, non-goals and design principles</w:t>
      </w:r>
    </w:p>
    <w:p>
      <w:pPr>
        <w:pStyle w:val="Heading2"/>
        <w:widowControl/>
      </w:pPr>
      <w:r>
        <w:t>4.1 Goals</w:t>
      </w:r>
    </w:p>
    <w:p>
      <w:pPr>
        <w:pStyle w:val="ListBullet"/>
        <w:spacing w:after="40"/>
        <w:widowControl/>
      </w:pPr>
      <w:r>
        <w:t>Produce one immutable, hashed node plan before XML generation.</w:t>
      </w:r>
    </w:p>
    <w:p>
      <w:pPr>
        <w:pStyle w:val="ListBullet"/>
        <w:spacing w:after="40"/>
        <w:widowControl/>
      </w:pPr>
      <w:r>
        <w:t>Retain historical engineering numbers where continuity is evidenced and unambiguous.</w:t>
      </w:r>
    </w:p>
    <w:p>
      <w:pPr>
        <w:pStyle w:val="ListBullet"/>
        <w:spacing w:after="40"/>
        <w:widowControl/>
      </w:pPr>
      <w:r>
        <w:t>Allocate new numbers without collisions within the project zone.</w:t>
      </w:r>
    </w:p>
    <w:p>
      <w:pPr>
        <w:pStyle w:val="ListBullet"/>
        <w:spacing w:after="40"/>
        <w:widowControl/>
      </w:pPr>
      <w:r>
        <w:t>Normalize only explicitly permitted micro-geometry without losing source ancestry or engineering semantics.</w:t>
      </w:r>
    </w:p>
    <w:p>
      <w:pPr>
        <w:pStyle w:val="ListBullet"/>
        <w:spacing w:after="40"/>
        <w:widowControl/>
      </w:pPr>
      <w:r>
        <w:t>Ensure canonical and sequential PSI writers emit identical node-number identity from the same plan.</w:t>
      </w:r>
    </w:p>
    <w:p>
      <w:pPr>
        <w:pStyle w:val="ListBullet"/>
        <w:spacing w:after="40"/>
        <w:widowControl/>
      </w:pPr>
      <w:r>
        <w:t>Generate reviewable evidence and a deterministic registry patch.</w:t>
      </w:r>
    </w:p>
    <w:p>
      <w:pPr>
        <w:pStyle w:val="ListBullet"/>
        <w:spacing w:after="40"/>
        <w:widowControl/>
      </w:pPr>
      <w:r>
        <w:t>Support bootstrap, shadow and enforced operating modes.</w:t>
      </w:r>
    </w:p>
    <w:p>
      <w:pPr>
        <w:pStyle w:val="Heading2"/>
        <w:widowControl/>
      </w:pPr>
      <w:r>
        <w:t>4.2 Non-goals for Version 1</w:t>
      </w:r>
    </w:p>
    <w:p>
      <w:pPr>
        <w:pStyle w:val="ListBullet"/>
        <w:spacing w:after="40"/>
        <w:widowControl/>
      </w:pPr>
      <w:r>
        <w:t>Automatically resolve historical topology merges or splits without engineering review.</w:t>
      </w:r>
    </w:p>
    <w:p>
      <w:pPr>
        <w:pStyle w:val="ListBullet"/>
        <w:spacing w:after="40"/>
        <w:widowControl/>
      </w:pPr>
      <w:r>
        <w:t>Automatically move history across project zones.</w:t>
      </w:r>
    </w:p>
    <w:p>
      <w:pPr>
        <w:pStyle w:val="ListBullet"/>
        <w:spacing w:after="40"/>
        <w:widowControl/>
      </w:pPr>
      <w:r>
        <w:t>Treat unregistered spatial proximity as sufficient identity evidence.</w:t>
      </w:r>
    </w:p>
    <w:p>
      <w:pPr>
        <w:pStyle w:val="ListBullet"/>
        <w:spacing w:after="40"/>
        <w:widowControl/>
      </w:pPr>
      <w:r>
        <w:t>Consume every component shorter than 6 mm.</w:t>
      </w:r>
    </w:p>
    <w:p>
      <w:pPr>
        <w:pStyle w:val="ListBullet"/>
        <w:spacing w:after="40"/>
        <w:widowControl/>
      </w:pPr>
      <w:r>
        <w:t>Guarantee both permanent historical stability and strict physical-order monotonic numbering after arbitrary insertions.</w:t>
      </w:r>
    </w:p>
    <w:p>
      <w:pPr>
        <w:pStyle w:val="ListBullet"/>
        <w:spacing w:after="40"/>
        <w:widowControl/>
      </w:pPr>
      <w:r>
        <w:t>Use the browser to write directly to the authoritative GitHub branch.</w:t>
      </w:r>
    </w:p>
    <w:p>
      <w:pPr>
        <w:pStyle w:val="Heading2"/>
        <w:widowControl/>
      </w:pPr>
      <w:r>
        <w:t>4.3 Design principles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2304"/>
            <w:shd w:fill="1F3A5F"/>
            <w:tcMar>
              <w:top w:w="80" w:type="dxa"/>
              <w:start w:w="80" w:type="dxa"/>
              <w:bottom w:w="80" w:type="dxa"/>
              <w:end w:w="80" w:type="dxa"/>
            </w:tcMar>
            <w:vAlign w:val="center"/>
          </w:tcPr>
          <w:p>
            <w:pPr>
              <w:jc w:val="center"/>
            </w:pPr>
            <w:r>
              <w:rPr>
                <w:b/>
                <w:color w:val="FFFFFF"/>
                <w:sz w:val="18"/>
              </w:rPr>
              <w:t>Principle</w:t>
            </w:r>
          </w:p>
        </w:tc>
        <w:tc>
          <w:tcPr>
            <w:tcW w:type="dxa" w:w="7056"/>
            <w:shd w:fill="1F3A5F"/>
            <w:tcMar>
              <w:top w:w="80" w:type="dxa"/>
              <w:start w:w="80" w:type="dxa"/>
              <w:bottom w:w="80" w:type="dxa"/>
              <w:end w:w="80" w:type="dxa"/>
            </w:tcMar>
            <w:vAlign w:val="center"/>
          </w:tcPr>
          <w:p>
            <w:pPr>
              <w:jc w:val="center"/>
            </w:pPr>
            <w:r>
              <w:rPr>
                <w:b/>
                <w:color w:val="FFFFFF"/>
                <w:sz w:val="18"/>
              </w:rPr>
              <w:t>Interpretation</w:t>
            </w:r>
          </w:p>
        </w:tc>
      </w:tr>
      <w:tr>
        <w:trPr>
          <w:cantSplit/>
        </w:trPr>
        <w:tc>
          <w:tcPr>
            <w:tcW w:type="dxa" w:w="2304"/>
            <w:tcMar>
              <w:top w:w="80" w:type="dxa"/>
              <w:start w:w="80" w:type="dxa"/>
              <w:bottom w:w="80" w:type="dxa"/>
              <w:end w:w="80" w:type="dxa"/>
            </w:tcMar>
            <w:vAlign w:val="top"/>
          </w:tcPr>
          <w:p>
            <w:pPr>
              <w:spacing w:after="0" w:line="240" w:lineRule="auto"/>
            </w:pPr>
            <w:r>
              <w:rPr>
                <w:sz w:val="18"/>
              </w:rPr>
              <w:t>Single authority</w:t>
            </w:r>
          </w:p>
        </w:tc>
        <w:tc>
          <w:tcPr>
            <w:tcW w:type="dxa" w:w="7056"/>
            <w:tcMar>
              <w:top w:w="80" w:type="dxa"/>
              <w:start w:w="80" w:type="dxa"/>
              <w:bottom w:w="80" w:type="dxa"/>
              <w:end w:w="80" w:type="dxa"/>
            </w:tcMar>
            <w:vAlign w:val="top"/>
          </w:tcPr>
          <w:p>
            <w:pPr>
              <w:spacing w:after="0" w:line="240" w:lineRule="auto"/>
            </w:pPr>
            <w:r>
              <w:rPr>
                <w:sz w:val="18"/>
              </w:rPr>
              <w:t>Only the node plan assigns emitted engineering node numbers.</w:t>
            </w:r>
          </w:p>
        </w:tc>
      </w:tr>
      <w:tr>
        <w:trPr>
          <w:cantSplit/>
        </w:trPr>
        <w:tc>
          <w:tcPr>
            <w:tcW w:type="dxa" w:w="2304"/>
            <w:shd w:fill="F8FAFC"/>
            <w:tcMar>
              <w:top w:w="80" w:type="dxa"/>
              <w:start w:w="80" w:type="dxa"/>
              <w:bottom w:w="80" w:type="dxa"/>
              <w:end w:w="80" w:type="dxa"/>
            </w:tcMar>
            <w:vAlign w:val="top"/>
          </w:tcPr>
          <w:p>
            <w:pPr>
              <w:spacing w:after="0" w:line="240" w:lineRule="auto"/>
            </w:pPr>
            <w:r>
              <w:rPr>
                <w:sz w:val="18"/>
              </w:rPr>
              <w:t>Fail closed</w:t>
            </w:r>
          </w:p>
        </w:tc>
        <w:tc>
          <w:tcPr>
            <w:tcW w:type="dxa" w:w="7056"/>
            <w:shd w:fill="F8FAFC"/>
            <w:tcMar>
              <w:top w:w="80" w:type="dxa"/>
              <w:start w:w="80" w:type="dxa"/>
              <w:bottom w:w="80" w:type="dxa"/>
              <w:end w:w="80" w:type="dxa"/>
            </w:tcMar>
            <w:vAlign w:val="top"/>
          </w:tcPr>
          <w:p>
            <w:pPr>
              <w:spacing w:after="0" w:line="240" w:lineRule="auto"/>
            </w:pPr>
            <w:r>
              <w:rPr>
                <w:sz w:val="18"/>
              </w:rPr>
              <w:t>Missing allocation, conflicting history or unsafe collapse blocks output or requires review.</w:t>
            </w:r>
          </w:p>
        </w:tc>
      </w:tr>
      <w:tr>
        <w:trPr>
          <w:cantSplit/>
        </w:trPr>
        <w:tc>
          <w:tcPr>
            <w:tcW w:type="dxa" w:w="2304"/>
            <w:tcMar>
              <w:top w:w="80" w:type="dxa"/>
              <w:start w:w="80" w:type="dxa"/>
              <w:bottom w:w="80" w:type="dxa"/>
              <w:end w:w="80" w:type="dxa"/>
            </w:tcMar>
            <w:vAlign w:val="top"/>
          </w:tcPr>
          <w:p>
            <w:pPr>
              <w:spacing w:after="0" w:line="240" w:lineRule="auto"/>
            </w:pPr>
            <w:r>
              <w:rPr>
                <w:sz w:val="18"/>
              </w:rPr>
              <w:t>Evidence before geometry</w:t>
            </w:r>
          </w:p>
        </w:tc>
        <w:tc>
          <w:tcPr>
            <w:tcW w:type="dxa" w:w="7056"/>
            <w:tcMar>
              <w:top w:w="80" w:type="dxa"/>
              <w:start w:w="80" w:type="dxa"/>
              <w:bottom w:w="80" w:type="dxa"/>
              <w:end w:w="80" w:type="dxa"/>
            </w:tcMar>
            <w:vAlign w:val="top"/>
          </w:tcPr>
          <w:p>
            <w:pPr>
              <w:spacing w:after="0" w:line="240" w:lineRule="auto"/>
            </w:pPr>
            <w:r>
              <w:rPr>
                <w:sz w:val="18"/>
              </w:rPr>
              <w:t>Identity and topology outrank registered spatial similarity.</w:t>
            </w:r>
          </w:p>
        </w:tc>
      </w:tr>
      <w:tr>
        <w:trPr>
          <w:cantSplit/>
        </w:trPr>
        <w:tc>
          <w:tcPr>
            <w:tcW w:type="dxa" w:w="2304"/>
            <w:shd w:fill="F8FAFC"/>
            <w:tcMar>
              <w:top w:w="80" w:type="dxa"/>
              <w:start w:w="80" w:type="dxa"/>
              <w:bottom w:w="80" w:type="dxa"/>
              <w:end w:w="80" w:type="dxa"/>
            </w:tcMar>
            <w:vAlign w:val="top"/>
          </w:tcPr>
          <w:p>
            <w:pPr>
              <w:spacing w:after="0" w:line="240" w:lineRule="auto"/>
            </w:pPr>
            <w:r>
              <w:rPr>
                <w:sz w:val="18"/>
              </w:rPr>
              <w:t>Immutable traceability</w:t>
            </w:r>
          </w:p>
        </w:tc>
        <w:tc>
          <w:tcPr>
            <w:tcW w:type="dxa" w:w="7056"/>
            <w:shd w:fill="F8FAFC"/>
            <w:tcMar>
              <w:top w:w="80" w:type="dxa"/>
              <w:start w:w="80" w:type="dxa"/>
              <w:bottom w:w="80" w:type="dxa"/>
              <w:end w:w="80" w:type="dxa"/>
            </w:tcMar>
            <w:vAlign w:val="top"/>
          </w:tcPr>
          <w:p>
            <w:pPr>
              <w:spacing w:after="0" w:line="240" w:lineRule="auto"/>
            </w:pPr>
            <w:r>
              <w:rPr>
                <w:sz w:val="18"/>
              </w:rPr>
              <w:t>Every source port and consumed object remains traceable to the logical and emitted result.</w:t>
            </w:r>
          </w:p>
        </w:tc>
      </w:tr>
      <w:tr>
        <w:trPr>
          <w:cantSplit/>
        </w:trPr>
        <w:tc>
          <w:tcPr>
            <w:tcW w:type="dxa" w:w="2304"/>
            <w:tcMar>
              <w:top w:w="80" w:type="dxa"/>
              <w:start w:w="80" w:type="dxa"/>
              <w:bottom w:w="80" w:type="dxa"/>
              <w:end w:w="80" w:type="dxa"/>
            </w:tcMar>
            <w:vAlign w:val="top"/>
          </w:tcPr>
          <w:p>
            <w:pPr>
              <w:spacing w:after="0" w:line="240" w:lineRule="auto"/>
            </w:pPr>
            <w:r>
              <w:rPr>
                <w:sz w:val="18"/>
              </w:rPr>
              <w:t>Deterministic output</w:t>
            </w:r>
          </w:p>
        </w:tc>
        <w:tc>
          <w:tcPr>
            <w:tcW w:type="dxa" w:w="7056"/>
            <w:tcMar>
              <w:top w:w="80" w:type="dxa"/>
              <w:start w:w="80" w:type="dxa"/>
              <w:bottom w:w="80" w:type="dxa"/>
              <w:end w:w="80" w:type="dxa"/>
            </w:tcMar>
            <w:vAlign w:val="top"/>
          </w:tcPr>
          <w:p>
            <w:pPr>
              <w:spacing w:after="0" w:line="240" w:lineRule="auto"/>
            </w:pPr>
            <w:r>
              <w:rPr>
                <w:sz w:val="18"/>
              </w:rPr>
              <w:t>Input, policy and registry snapshot determine the same plan and hashes.</w:t>
            </w:r>
          </w:p>
        </w:tc>
      </w:tr>
      <w:tr>
        <w:trPr>
          <w:cantSplit/>
        </w:trPr>
        <w:tc>
          <w:tcPr>
            <w:tcW w:type="dxa" w:w="2304"/>
            <w:shd w:fill="F8FAFC"/>
            <w:tcMar>
              <w:top w:w="80" w:type="dxa"/>
              <w:start w:w="80" w:type="dxa"/>
              <w:bottom w:w="80" w:type="dxa"/>
              <w:end w:w="80" w:type="dxa"/>
            </w:tcMar>
            <w:vAlign w:val="top"/>
          </w:tcPr>
          <w:p>
            <w:pPr>
              <w:spacing w:after="0" w:line="240" w:lineRule="auto"/>
            </w:pPr>
            <w:r>
              <w:rPr>
                <w:sz w:val="18"/>
              </w:rPr>
              <w:t>Reviewable evolution</w:t>
            </w:r>
          </w:p>
        </w:tc>
        <w:tc>
          <w:tcPr>
            <w:tcW w:type="dxa" w:w="7056"/>
            <w:shd w:fill="F8FAFC"/>
            <w:tcMar>
              <w:top w:w="80" w:type="dxa"/>
              <w:start w:w="80" w:type="dxa"/>
              <w:bottom w:w="80" w:type="dxa"/>
              <w:end w:w="80" w:type="dxa"/>
            </w:tcMar>
            <w:vAlign w:val="top"/>
          </w:tcPr>
          <w:p>
            <w:pPr>
              <w:spacing w:after="0" w:line="240" w:lineRule="auto"/>
            </w:pPr>
            <w:r>
              <w:rPr>
                <w:sz w:val="18"/>
              </w:rPr>
              <w:t>Split, merge, rename, transfer and reactivation are explicit lifecycle events.</w:t>
            </w:r>
          </w:p>
        </w:tc>
      </w:tr>
      <w:tr>
        <w:trPr>
          <w:cantSplit/>
        </w:trPr>
        <w:tc>
          <w:tcPr>
            <w:tcW w:type="dxa" w:w="2304"/>
            <w:tcMar>
              <w:top w:w="80" w:type="dxa"/>
              <w:start w:w="80" w:type="dxa"/>
              <w:bottom w:w="80" w:type="dxa"/>
              <w:end w:w="80" w:type="dxa"/>
            </w:tcMar>
            <w:vAlign w:val="top"/>
          </w:tcPr>
          <w:p>
            <w:pPr>
              <w:spacing w:after="0" w:line="240" w:lineRule="auto"/>
            </w:pPr>
            <w:r>
              <w:rPr>
                <w:sz w:val="18"/>
              </w:rPr>
              <w:t>Transaction at merge</w:t>
            </w:r>
          </w:p>
        </w:tc>
        <w:tc>
          <w:tcPr>
            <w:tcW w:type="dxa" w:w="7056"/>
            <w:tcMar>
              <w:top w:w="80" w:type="dxa"/>
              <w:start w:w="80" w:type="dxa"/>
              <w:bottom w:w="80" w:type="dxa"/>
              <w:end w:w="80" w:type="dxa"/>
            </w:tcMar>
            <w:vAlign w:val="top"/>
          </w:tcPr>
          <w:p>
            <w:pPr>
              <w:spacing w:after="0" w:line="240" w:lineRule="auto"/>
            </w:pPr>
            <w:r>
              <w:rPr>
                <w:sz w:val="18"/>
              </w:rPr>
              <w:t>The authoritative registry changes only through validated repository merge.</w:t>
            </w:r>
          </w:p>
        </w:tc>
      </w:tr>
    </w:tbl>
    <w:p>
      <w:pPr>
        <w:spacing w:after="0"/>
        <w:widowControl/>
      </w:pPr>
    </w:p>
    <w:p>
      <w:pPr>
        <w:pStyle w:val="Heading1"/>
        <w:widowControl/>
      </w:pPr>
      <w:r>
        <w:t>5. Proposed target architecture</w:t>
      </w:r>
    </w:p>
    <w:p>
      <w:pPr>
        <w:pStyle w:val="CodeBlock"/>
        <w:keepLines/>
        <w:shd w:fill="F2F2F2"/>
        <w:widowControl/>
      </w:pPr>
      <w:r>
        <w:t>StagedJSON parse + enrichment</w:t>
        <w:br/>
        <w:t xml:space="preserve">        |</w:t>
        <w:br/>
        <w:t>SourceInventory.v1</w:t>
        <w:br/>
        <w:t xml:space="preserve">        |</w:t>
        <w:br/>
        <w:t>SourceSequenceIntent.v1            (exact source order and references)</w:t>
        <w:br/>
        <w:t xml:space="preserve">        |</w:t>
        <w:br/>
        <w:t>MicroGeometryNormalization.v1      (shared topology authority; no numbers)</w:t>
        <w:br/>
        <w:t xml:space="preserve">        |</w:t>
        <w:br/>
        <w:t>LogicalPsiGraph.v1</w:t>
        <w:br/>
        <w:t xml:space="preserve">        |</w:t>
        <w:br/>
        <w:t>PsiSourceSequencePlan.v2           (sequence over logical graph)</w:t>
        <w:br/>
        <w:t xml:space="preserve">        |</w:t>
        <w:br/>
        <w:t>NodeHistoryMatchPlan.v1            (hard filters, candidates, global assignment)</w:t>
        <w:br/>
        <w:t xml:space="preserve">        |</w:t>
        <w:br/>
        <w:t>PsiNodeAllocationPlan.v1           (reuse, allocation, leases, lifecycle)</w:t>
        <w:br/>
        <w:t xml:space="preserve">        |</w:t>
        <w:br/>
        <w:t>PsiNodePlan.v1                     (logical nodes + exact writer occurrences)</w:t>
        <w:br/>
        <w:t xml:space="preserve">        |</w:t>
        <w:br/>
        <w:t>CanonicalBranchProjection.v1 ----\</w:t>
        <w:br/>
        <w:t xml:space="preserve">                                     &gt; SharedPsiSerializer(nodePlan, evaluatedAt)</w:t>
        <w:br/>
        <w:t>SequentialBranchProjection.v1 ----/</w:t>
        <w:br/>
        <w:t xml:space="preserve">        |</w:t>
        <w:br/>
        <w:t>Exact occurrence/number parity + writer selection</w:t>
        <w:br/>
        <w:t xml:space="preserve">        |</w:t>
        <w:br/>
        <w:t>Registry patch + immutable run audit</w:t>
      </w:r>
    </w:p>
    <w:p>
      <w:pPr>
        <w:pStyle w:val="Heading2"/>
        <w:widowControl/>
      </w:pPr>
      <w:r>
        <w:t>5.1 Why sequence intent is retained twice</w:t>
      </w:r>
    </w:p>
    <w:p>
      <w:pPr>
        <w:widowControl/>
      </w:pPr>
      <w:r>
        <w:t>Micro-geometry normalization can change endpoint cardinality, adjacency and stationing. Therefore, a pre-collapse sequence plan cannot safely be the writer plan. The architecture retains the original sequence as evidence and creates a second plan over the logical graph:</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2952"/>
            <w:shd w:fill="1F3A5F"/>
            <w:tcMar>
              <w:top w:w="80" w:type="dxa"/>
              <w:start w:w="80" w:type="dxa"/>
              <w:bottom w:w="80" w:type="dxa"/>
              <w:end w:w="80" w:type="dxa"/>
            </w:tcMar>
            <w:vAlign w:val="center"/>
          </w:tcPr>
          <w:p>
            <w:pPr>
              <w:jc w:val="center"/>
            </w:pPr>
            <w:r>
              <w:rPr>
                <w:b/>
                <w:color w:val="FFFFFF"/>
                <w:sz w:val="18"/>
              </w:rPr>
              <w:t>Artifact</w:t>
            </w:r>
          </w:p>
        </w:tc>
        <w:tc>
          <w:tcPr>
            <w:tcW w:type="dxa" w:w="6408"/>
            <w:shd w:fill="1F3A5F"/>
            <w:tcMar>
              <w:top w:w="80" w:type="dxa"/>
              <w:start w:w="80" w:type="dxa"/>
              <w:bottom w:w="80" w:type="dxa"/>
              <w:end w:w="80" w:type="dxa"/>
            </w:tcMar>
            <w:vAlign w:val="center"/>
          </w:tcPr>
          <w:p>
            <w:pPr>
              <w:jc w:val="center"/>
            </w:pPr>
            <w:r>
              <w:rPr>
                <w:b/>
                <w:color w:val="FFFFFF"/>
                <w:sz w:val="18"/>
              </w:rPr>
              <w:t>Purpose</w:t>
            </w:r>
          </w:p>
        </w:tc>
      </w:tr>
      <w:tr>
        <w:trPr>
          <w:cantSplit/>
        </w:trPr>
        <w:tc>
          <w:tcPr>
            <w:tcW w:type="dxa" w:w="2952"/>
            <w:tcMar>
              <w:top w:w="80" w:type="dxa"/>
              <w:start w:w="80" w:type="dxa"/>
              <w:bottom w:w="80" w:type="dxa"/>
              <w:end w:w="80" w:type="dxa"/>
            </w:tcMar>
            <w:vAlign w:val="top"/>
          </w:tcPr>
          <w:p>
            <w:pPr>
              <w:spacing w:after="0" w:line="240" w:lineRule="auto"/>
            </w:pPr>
            <w:r>
              <w:rPr>
                <w:sz w:val="18"/>
              </w:rPr>
              <w:t>SourceSequenceIntent.v1</w:t>
            </w:r>
          </w:p>
        </w:tc>
        <w:tc>
          <w:tcPr>
            <w:tcW w:type="dxa" w:w="6408"/>
            <w:tcMar>
              <w:top w:w="80" w:type="dxa"/>
              <w:start w:w="80" w:type="dxa"/>
              <w:bottom w:w="80" w:type="dxa"/>
              <w:end w:w="80" w:type="dxa"/>
            </w:tcMar>
            <w:vAlign w:val="top"/>
          </w:tcPr>
          <w:p>
            <w:pPr>
              <w:spacing w:after="0" w:line="240" w:lineRule="auto"/>
            </w:pPr>
            <w:r>
              <w:rPr>
                <w:sz w:val="18"/>
              </w:rPr>
              <w:t>Preserves exact source branch order, /B# suffix, component order, HREF/TREF/CREF and ancestry before topology changes.</w:t>
            </w:r>
          </w:p>
        </w:tc>
      </w:tr>
      <w:tr>
        <w:trPr>
          <w:cantSplit/>
        </w:trPr>
        <w:tc>
          <w:tcPr>
            <w:tcW w:type="dxa" w:w="2952"/>
            <w:shd w:fill="F8FAFC"/>
            <w:tcMar>
              <w:top w:w="80" w:type="dxa"/>
              <w:start w:w="80" w:type="dxa"/>
              <w:bottom w:w="80" w:type="dxa"/>
              <w:end w:w="80" w:type="dxa"/>
            </w:tcMar>
            <w:vAlign w:val="top"/>
          </w:tcPr>
          <w:p>
            <w:pPr>
              <w:spacing w:after="0" w:line="240" w:lineRule="auto"/>
            </w:pPr>
            <w:r>
              <w:rPr>
                <w:sz w:val="18"/>
              </w:rPr>
              <w:t>PsiSourceSequencePlan.v2</w:t>
            </w:r>
          </w:p>
        </w:tc>
        <w:tc>
          <w:tcPr>
            <w:tcW w:type="dxa" w:w="6408"/>
            <w:shd w:fill="F8FAFC"/>
            <w:tcMar>
              <w:top w:w="80" w:type="dxa"/>
              <w:start w:w="80" w:type="dxa"/>
              <w:bottom w:w="80" w:type="dxa"/>
              <w:end w:w="80" w:type="dxa"/>
            </w:tcMar>
            <w:vAlign w:val="top"/>
          </w:tcPr>
          <w:p>
            <w:pPr>
              <w:spacing w:after="0" w:line="240" w:lineRule="auto"/>
            </w:pPr>
            <w:r>
              <w:rPr>
                <w:sz w:val="18"/>
              </w:rPr>
              <w:t>Defines the post-normalization sequence, stationing, branch identity and component-to-logical-node relationships consumed by writers.</w:t>
            </w:r>
          </w:p>
        </w:tc>
      </w:tr>
    </w:tbl>
    <w:p>
      <w:pPr>
        <w:spacing w:after="0"/>
        <w:widowControl/>
      </w:pPr>
    </w:p>
    <w:p>
      <w:pPr>
        <w:pStyle w:val="Heading2"/>
        <w:widowControl/>
      </w:pPr>
      <w:r>
        <w:t>5.2 Minimal Version 1 boundary</w:t>
      </w:r>
    </w:p>
    <w:p>
      <w:pPr>
        <w:pStyle w:val="ListBullet"/>
        <w:spacing w:after="40"/>
        <w:widowControl/>
      </w:pPr>
      <w:r>
        <w:t>Consume only allowlisted micro-components and snap only explicitly related endpoint gaps.</w:t>
      </w:r>
    </w:p>
    <w:p>
      <w:pPr>
        <w:pStyle w:val="ListBullet"/>
        <w:spacing w:after="40"/>
        <w:widowControl/>
      </w:pPr>
      <w:r>
        <w:t>Run historical matching in shadow mode until approved benchmark calibration.</w:t>
      </w:r>
    </w:p>
    <w:p>
      <w:pPr>
        <w:pStyle w:val="ListBullet"/>
        <w:spacing w:after="40"/>
        <w:widowControl/>
      </w:pPr>
      <w:r>
        <w:t>Require zone-global number uniqueness and immutable line leases.</w:t>
      </w:r>
    </w:p>
    <w:p>
      <w:pPr>
        <w:pStyle w:val="ListBullet"/>
        <w:spacing w:after="40"/>
        <w:widowControl/>
      </w:pPr>
      <w:r>
        <w:t>Treat split, merge, line rename and zone transfer as REVIEW_REQUIRED.</w:t>
      </w:r>
    </w:p>
    <w:p>
      <w:pPr>
        <w:pStyle w:val="ListBullet"/>
        <w:spacing w:after="40"/>
        <w:widowControl/>
      </w:pPr>
      <w:r>
        <w:t>Disable spatial scoring when coordinate registration is not valid.</w:t>
      </w:r>
    </w:p>
    <w:p>
      <w:pPr>
        <w:pStyle w:val="ListBullet"/>
        <w:spacing w:after="40"/>
        <w:widowControl/>
      </w:pPr>
      <w:r>
        <w:t>Do not recycle retired node numbers.</w:t>
      </w:r>
    </w:p>
    <w:p>
      <w:pPr/>
      <w:r>
        <w:t>LogicalPsiGraph.v1 is the sole normalized topology authority for this StagedJSON-to-PSI-to-CII workflow. Component-topology InputXML, SVG/parity projections, canonical PSI, sequential PSI, and downstream CII proof must consume this graph or its exact hash-linked projection; none may independently repeat micro-collapse or gap-snap decisions.</w:t>
      </w:r>
    </w:p>
    <w:p>
      <w:pPr>
        <w:pStyle w:val="Heading1"/>
        <w:widowControl/>
      </w:pPr>
      <w:r>
        <w:t>6. Authority and contract model</w:t>
      </w:r>
    </w:p>
    <w:p>
      <w:pPr>
        <w:pStyle w:val="Heading2"/>
        <w:widowControl/>
      </w:pPr>
      <w:r>
        <w:t>6.1 Identity layers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1800"/>
            <w:shd w:fill="1F3A5F"/>
            <w:tcMar>
              <w:top w:w="80" w:type="dxa"/>
              <w:start w:w="80" w:type="dxa"/>
              <w:bottom w:w="80" w:type="dxa"/>
              <w:end w:w="80" w:type="dxa"/>
            </w:tcMar>
            <w:vAlign w:val="center"/>
          </w:tcPr>
          <w:p>
            <w:pPr>
              <w:jc w:val="center"/>
            </w:pPr>
            <w:r>
              <w:rPr>
                <w:b/>
                <w:color w:val="FFFFFF"/>
                <w:sz w:val="17"/>
              </w:rPr>
              <w:t>Layer</w:t>
            </w:r>
          </w:p>
        </w:tc>
        <w:tc>
          <w:tcPr>
            <w:tcW w:type="dxa" w:w="3960"/>
            <w:shd w:fill="1F3A5F"/>
            <w:tcMar>
              <w:top w:w="80" w:type="dxa"/>
              <w:start w:w="80" w:type="dxa"/>
              <w:bottom w:w="80" w:type="dxa"/>
              <w:end w:w="80" w:type="dxa"/>
            </w:tcMar>
            <w:vAlign w:val="center"/>
          </w:tcPr>
          <w:p>
            <w:pPr>
              <w:jc w:val="center"/>
            </w:pPr>
            <w:r>
              <w:rPr>
                <w:b/>
                <w:color w:val="FFFFFF"/>
                <w:sz w:val="17"/>
              </w:rPr>
              <w:t>Example identity</w:t>
            </w:r>
          </w:p>
        </w:tc>
        <w:tc>
          <w:tcPr>
            <w:tcW w:type="dxa" w:w="3600"/>
            <w:shd w:fill="1F3A5F"/>
            <w:tcMar>
              <w:top w:w="80" w:type="dxa"/>
              <w:start w:w="80" w:type="dxa"/>
              <w:bottom w:w="80" w:type="dxa"/>
              <w:end w:w="80" w:type="dxa"/>
            </w:tcMar>
            <w:vAlign w:val="center"/>
          </w:tcPr>
          <w:p>
            <w:pPr>
              <w:jc w:val="center"/>
            </w:pPr>
            <w:r>
              <w:rPr>
                <w:b/>
                <w:color w:val="FFFFFF"/>
                <w:sz w:val="17"/>
              </w:rPr>
              <w:t>Authority</w:t>
            </w:r>
          </w:p>
        </w:tc>
      </w:tr>
      <w:tr>
        <w:trPr>
          <w:cantSplit/>
        </w:trPr>
        <w:tc>
          <w:tcPr>
            <w:tcW w:type="dxa" w:w="1800"/>
            <w:tcMar>
              <w:top w:w="80" w:type="dxa"/>
              <w:start w:w="80" w:type="dxa"/>
              <w:bottom w:w="80" w:type="dxa"/>
              <w:end w:w="80" w:type="dxa"/>
            </w:tcMar>
            <w:vAlign w:val="top"/>
          </w:tcPr>
          <w:p>
            <w:pPr>
              <w:spacing w:after="0" w:line="240" w:lineRule="auto"/>
            </w:pPr>
            <w:r>
              <w:rPr>
                <w:sz w:val="17"/>
              </w:rPr>
              <w:t>Source port</w:t>
            </w:r>
          </w:p>
        </w:tc>
        <w:tc>
          <w:tcPr>
            <w:tcW w:type="dxa" w:w="3960"/>
            <w:tcMar>
              <w:top w:w="80" w:type="dxa"/>
              <w:start w:w="80" w:type="dxa"/>
              <w:bottom w:w="80" w:type="dxa"/>
              <w:end w:w="80" w:type="dxa"/>
            </w:tcMar>
            <w:vAlign w:val="top"/>
          </w:tcPr>
          <w:p>
            <w:pPr>
              <w:spacing w:after="0" w:line="240" w:lineRule="auto"/>
            </w:pPr>
            <w:r>
              <w:rPr>
                <w:sz w:val="17"/>
              </w:rPr>
              <w:t>$.hierarchy[2].children[4].attributes.LPOS</w:t>
            </w:r>
          </w:p>
        </w:tc>
        <w:tc>
          <w:tcPr>
            <w:tcW w:type="dxa" w:w="3600"/>
            <w:tcMar>
              <w:top w:w="80" w:type="dxa"/>
              <w:start w:w="80" w:type="dxa"/>
              <w:bottom w:w="80" w:type="dxa"/>
              <w:end w:w="80" w:type="dxa"/>
            </w:tcMar>
            <w:vAlign w:val="top"/>
          </w:tcPr>
          <w:p>
            <w:pPr>
              <w:spacing w:after="0" w:line="240" w:lineRule="auto"/>
            </w:pPr>
            <w:r>
              <w:rPr>
                <w:sz w:val="17"/>
              </w:rPr>
              <w:t>Source inventory</w:t>
            </w:r>
          </w:p>
        </w:tc>
      </w:tr>
      <w:tr>
        <w:trPr>
          <w:cantSplit/>
        </w:trPr>
        <w:tc>
          <w:tcPr>
            <w:tcW w:type="dxa" w:w="1800"/>
            <w:shd w:fill="F8FAFC"/>
            <w:tcMar>
              <w:top w:w="80" w:type="dxa"/>
              <w:start w:w="80" w:type="dxa"/>
              <w:bottom w:w="80" w:type="dxa"/>
              <w:end w:w="80" w:type="dxa"/>
            </w:tcMar>
            <w:vAlign w:val="top"/>
          </w:tcPr>
          <w:p>
            <w:pPr>
              <w:spacing w:after="0" w:line="240" w:lineRule="auto"/>
            </w:pPr>
            <w:r>
              <w:rPr>
                <w:sz w:val="17"/>
              </w:rPr>
              <w:t>Logical node</w:t>
            </w:r>
          </w:p>
        </w:tc>
        <w:tc>
          <w:tcPr>
            <w:tcW w:type="dxa" w:w="3960"/>
            <w:shd w:fill="F8FAFC"/>
            <w:tcMar>
              <w:top w:w="80" w:type="dxa"/>
              <w:start w:w="80" w:type="dxa"/>
              <w:bottom w:w="80" w:type="dxa"/>
              <w:end w:w="80" w:type="dxa"/>
            </w:tcMar>
            <w:vAlign w:val="top"/>
          </w:tcPr>
          <w:p>
            <w:pPr>
              <w:spacing w:after="0" w:line="240" w:lineRule="auto"/>
            </w:pPr>
            <w:r>
              <w:rPr>
                <w:sz w:val="17"/>
              </w:rPr>
              <w:t>LN-000147</w:t>
            </w:r>
          </w:p>
        </w:tc>
        <w:tc>
          <w:tcPr>
            <w:tcW w:type="dxa" w:w="3600"/>
            <w:shd w:fill="F8FAFC"/>
            <w:tcMar>
              <w:top w:w="80" w:type="dxa"/>
              <w:start w:w="80" w:type="dxa"/>
              <w:bottom w:w="80" w:type="dxa"/>
              <w:end w:w="80" w:type="dxa"/>
            </w:tcMar>
            <w:vAlign w:val="top"/>
          </w:tcPr>
          <w:p>
            <w:pPr>
              <w:spacing w:after="0" w:line="240" w:lineRule="auto"/>
            </w:pPr>
            <w:r>
              <w:rPr>
                <w:sz w:val="17"/>
              </w:rPr>
              <w:t>Micro-geometry normalizer</w:t>
            </w:r>
          </w:p>
        </w:tc>
      </w:tr>
      <w:tr>
        <w:trPr>
          <w:cantSplit/>
        </w:trPr>
        <w:tc>
          <w:tcPr>
            <w:tcW w:type="dxa" w:w="1800"/>
            <w:tcMar>
              <w:top w:w="80" w:type="dxa"/>
              <w:start w:w="80" w:type="dxa"/>
              <w:bottom w:w="80" w:type="dxa"/>
              <w:end w:w="80" w:type="dxa"/>
            </w:tcMar>
            <w:vAlign w:val="top"/>
          </w:tcPr>
          <w:p>
            <w:pPr>
              <w:spacing w:after="0" w:line="240" w:lineRule="auto"/>
            </w:pPr>
            <w:r>
              <w:rPr>
                <w:sz w:val="17"/>
              </w:rPr>
              <w:t>Historical identity</w:t>
            </w:r>
          </w:p>
        </w:tc>
        <w:tc>
          <w:tcPr>
            <w:tcW w:type="dxa" w:w="3960"/>
            <w:tcMar>
              <w:top w:w="80" w:type="dxa"/>
              <w:start w:w="80" w:type="dxa"/>
              <w:bottom w:w="80" w:type="dxa"/>
              <w:end w:w="80" w:type="dxa"/>
            </w:tcMar>
            <w:vAlign w:val="top"/>
          </w:tcPr>
          <w:p>
            <w:pPr>
              <w:spacing w:after="0" w:line="240" w:lineRule="auto"/>
            </w:pPr>
            <w:r>
              <w:rPr>
                <w:sz w:val="17"/>
              </w:rPr>
              <w:t>HN-93c78fbd51</w:t>
            </w:r>
          </w:p>
        </w:tc>
        <w:tc>
          <w:tcPr>
            <w:tcW w:type="dxa" w:w="3600"/>
            <w:tcMar>
              <w:top w:w="80" w:type="dxa"/>
              <w:start w:w="80" w:type="dxa"/>
              <w:bottom w:w="80" w:type="dxa"/>
              <w:end w:w="80" w:type="dxa"/>
            </w:tcMar>
            <w:vAlign w:val="top"/>
          </w:tcPr>
          <w:p>
            <w:pPr>
              <w:spacing w:after="0" w:line="240" w:lineRule="auto"/>
            </w:pPr>
            <w:r>
              <w:rPr>
                <w:sz w:val="17"/>
              </w:rPr>
              <w:t>Approved zone registry</w:t>
            </w:r>
          </w:p>
        </w:tc>
      </w:tr>
      <w:tr>
        <w:trPr>
          <w:cantSplit/>
        </w:trPr>
        <w:tc>
          <w:tcPr>
            <w:tcW w:type="dxa" w:w="1800"/>
            <w:shd w:fill="F8FAFC"/>
            <w:tcMar>
              <w:top w:w="80" w:type="dxa"/>
              <w:start w:w="80" w:type="dxa"/>
              <w:bottom w:w="80" w:type="dxa"/>
              <w:end w:w="80" w:type="dxa"/>
            </w:tcMar>
            <w:vAlign w:val="top"/>
          </w:tcPr>
          <w:p>
            <w:pPr>
              <w:spacing w:after="0" w:line="240" w:lineRule="auto"/>
            </w:pPr>
            <w:r>
              <w:rPr>
                <w:sz w:val="17"/>
              </w:rPr>
              <w:t>Engineering number</w:t>
            </w:r>
          </w:p>
        </w:tc>
        <w:tc>
          <w:tcPr>
            <w:tcW w:type="dxa" w:w="3960"/>
            <w:shd w:fill="F8FAFC"/>
            <w:tcMar>
              <w:top w:w="80" w:type="dxa"/>
              <w:start w:w="80" w:type="dxa"/>
              <w:bottom w:w="80" w:type="dxa"/>
              <w:end w:w="80" w:type="dxa"/>
            </w:tcMar>
            <w:vAlign w:val="top"/>
          </w:tcPr>
          <w:p>
            <w:pPr>
              <w:spacing w:after="0" w:line="240" w:lineRule="auto"/>
            </w:pPr>
            <w:r>
              <w:rPr>
                <w:sz w:val="17"/>
              </w:rPr>
              <w:t>530</w:t>
            </w:r>
          </w:p>
        </w:tc>
        <w:tc>
          <w:tcPr>
            <w:tcW w:type="dxa" w:w="3600"/>
            <w:shd w:fill="F8FAFC"/>
            <w:tcMar>
              <w:top w:w="80" w:type="dxa"/>
              <w:start w:w="80" w:type="dxa"/>
              <w:bottom w:w="80" w:type="dxa"/>
              <w:end w:w="80" w:type="dxa"/>
            </w:tcMar>
            <w:vAlign w:val="top"/>
          </w:tcPr>
          <w:p>
            <w:pPr>
              <w:spacing w:after="0" w:line="240" w:lineRule="auto"/>
            </w:pPr>
            <w:r>
              <w:rPr>
                <w:sz w:val="17"/>
              </w:rPr>
              <w:t>Node allocation plan</w:t>
            </w:r>
          </w:p>
        </w:tc>
      </w:tr>
      <w:tr>
        <w:trPr>
          <w:cantSplit/>
        </w:trPr>
        <w:tc>
          <w:tcPr>
            <w:tcW w:type="dxa" w:w="1800"/>
            <w:tcMar>
              <w:top w:w="80" w:type="dxa"/>
              <w:start w:w="80" w:type="dxa"/>
              <w:bottom w:w="80" w:type="dxa"/>
              <w:end w:w="80" w:type="dxa"/>
            </w:tcMar>
            <w:vAlign w:val="top"/>
          </w:tcPr>
          <w:p>
            <w:pPr>
              <w:spacing w:after="0" w:line="240" w:lineRule="auto"/>
            </w:pPr>
            <w:r>
              <w:rPr>
                <w:sz w:val="17"/>
              </w:rPr>
              <w:t>Writer node</w:t>
            </w:r>
          </w:p>
        </w:tc>
        <w:tc>
          <w:tcPr>
            <w:tcW w:type="dxa" w:w="3960"/>
            <w:tcMar>
              <w:top w:w="80" w:type="dxa"/>
              <w:start w:w="80" w:type="dxa"/>
              <w:bottom w:w="80" w:type="dxa"/>
              <w:end w:w="80" w:type="dxa"/>
            </w:tcMar>
            <w:vAlign w:val="top"/>
          </w:tcPr>
          <w:p>
            <w:pPr>
              <w:spacing w:after="0" w:line="240" w:lineRule="auto"/>
            </w:pPr>
            <w:r>
              <w:rPr>
                <w:sz w:val="17"/>
              </w:rPr>
              <w:t>WN-COMP-104-ARRIVE</w:t>
            </w:r>
          </w:p>
        </w:tc>
        <w:tc>
          <w:tcPr>
            <w:tcW w:type="dxa" w:w="3600"/>
            <w:tcMar>
              <w:top w:w="80" w:type="dxa"/>
              <w:start w:w="80" w:type="dxa"/>
              <w:bottom w:w="80" w:type="dxa"/>
              <w:end w:w="80" w:type="dxa"/>
            </w:tcMar>
            <w:vAlign w:val="top"/>
          </w:tcPr>
          <w:p>
            <w:pPr>
              <w:spacing w:after="0" w:line="240" w:lineRule="auto"/>
            </w:pPr>
            <w:r>
              <w:rPr>
                <w:sz w:val="17"/>
              </w:rPr>
              <w:t>PSI projection plan</w:t>
            </w:r>
          </w:p>
        </w:tc>
      </w:tr>
    </w:tbl>
    <w:p>
      <w:pPr>
        <w:spacing w:after="0"/>
        <w:widowControl/>
      </w:pPr>
    </w:p>
    <w:p>
      <w:pPr>
        <w:pStyle w:val="Heading2"/>
        <w:widowControl/>
      </w:pPr>
      <w:r>
        <w:t>6.2 PsiNodePlan.v1 minimum content</w:t>
      </w:r>
    </w:p>
    <w:p>
      <w:pPr>
        <w:pStyle w:val="CodeBlock"/>
        <w:keepLines/>
        <w:shd w:fill="F2F2F2"/>
        <w:widowControl/>
      </w:pPr>
      <w:r>
        <w:t>{</w:t>
        <w:br/>
        <w:t xml:space="preserve">  schema: "PsiNodePlan.v1",</w:t>
        <w:br/>
        <w:t xml:space="preserve">  projectId, zoneId,</w:t>
        <w:br/>
        <w:t xml:space="preserve">  sourceInventoryHash,</w:t>
        <w:br/>
        <w:t xml:space="preserve">  normalizedLogicalGraphHash,</w:t>
        <w:br/>
        <w:t xml:space="preserve">  sequencePlanHash,</w:t>
        <w:br/>
        <w:t xml:space="preserve">  baseRegistrySnapshotHash,</w:t>
        <w:br/>
        <w:t xml:space="preserve">  configHash,</w:t>
        <w:br/>
        <w:t xml:space="preserve">  coordinateRegistrationHash,</w:t>
        <w:br/>
        <w:t xml:space="preserve">  matcherPolicyId, allocatorPolicyId,</w:t>
        <w:br/>
        <w:br/>
        <w:t xml:space="preserve">  logicalNodes: [],</w:t>
        <w:br/>
        <w:t xml:space="preserve">  writerOccurrences: [],</w:t>
        <w:br/>
        <w:t xml:space="preserve">  rawPortMappings: [],</w:t>
        <w:br/>
        <w:t xml:space="preserve">  componentAllocations: [],</w:t>
        <w:br/>
        <w:t xml:space="preserve">  reservedSlots: [],</w:t>
        <w:br/>
        <w:t xml:space="preserve">  historyAssignments: [],</w:t>
        <w:br/>
        <w:br/>
        <w:t xml:space="preserve">  validation: {</w:t>
        <w:br/>
        <w:t xml:space="preserve">    status: "PASS | REVIEW_REQUIRED | BLOCKED",</w:t>
        <w:br/>
        <w:t xml:space="preserve">    blockers: [],</w:t>
        <w:br/>
        <w:t xml:space="preserve">    reviewItems: [],</w:t>
        <w:br/>
        <w:t xml:space="preserve">    warnings: []</w:t>
        <w:br/>
        <w:t xml:space="preserve">  },</w:t>
        <w:br/>
        <w:br/>
        <w:t xml:space="preserve">  nodePlanHash</w:t>
        <w:br/>
        <w:t>}</w:t>
      </w:r>
    </w:p>
    <w:p>
      <w:pPr>
        <w:pStyle w:val="Heading2"/>
        <w:widowControl/>
      </w:pPr>
      <w:r>
        <w:t>6.3 Writer contract</w:t>
      </w:r>
    </w:p>
    <w:p>
      <w:pPr>
        <w:widowControl/>
      </w:pPr>
      <w:r>
        <w:t>Canonical and sequential modes differ only in branch projection. Both projections feed one shared serializer, receive the exact same node-plan hash, and may serialize only plan-owned writer occurrences. The serializer must prohibit fallback allocation, mutation, clock access, locale-dependent formatting, randomness, and unordered iteration.</w:t>
      </w:r>
    </w:p>
    <w:p>
      <w:pPr>
        <w:pStyle w:val="CodeBlock"/>
        <w:keepLines/>
        <w:shd w:fill="F2F2F2"/>
        <w:widowControl/>
      </w:pPr>
      <w:r>
        <w:t>buildEnrichedXml({</w:t>
        <w:br/>
        <w:t xml:space="preserve">  branchProjection,</w:t>
        <w:br/>
        <w:t xml:space="preserve">  nodePlan,</w:t>
        <w:br/>
        <w:t xml:space="preserve">  config,</w:t>
        <w:br/>
        <w:t xml:space="preserve">  evaluatedAt</w:t>
        <w:br/>
        <w:t>})</w:t>
        <w:br/>
        <w:br/>
        <w:t>Hard errors:</w:t>
        <w:br/>
        <w:t xml:space="preserve">  NODE_PLAN_MISSING</w:t>
        <w:br/>
        <w:t xml:space="preserve">  NODE_PLAN_HASH_MISMATCH</w:t>
        <w:br/>
        <w:t xml:space="preserve">  NODE_PLAN_OCCURRENCE_MISSING</w:t>
        <w:br/>
        <w:t xml:space="preserve">  COMPONENT_ALLOCATION_MISSING</w:t>
        <w:br/>
        <w:t xml:space="preserve">  UNPLANNED_WRITER_NODE</w:t>
        <w:br/>
        <w:t xml:space="preserve">  NODE_NUMBER_MISMATCH</w:t>
        <w:br/>
        <w:t xml:space="preserve">  DUPLICATE_ACTIVE_NODE_NUMBER</w:t>
        <w:br/>
        <w:t xml:space="preserve">  WRITER_SIDE_ALLOCATION_DETECTED</w:t>
        <w:br/>
        <w:t xml:space="preserve">  WRITER_NONDETERMINISM_DETECTED</w:t>
      </w:r>
    </w:p>
    <w:p>
      <w:pPr>
        <w:pStyle w:val="Heading2"/>
      </w:pPr>
      <w:r>
        <w:t>6.4 Shared topology authority</w:t>
      </w:r>
    </w:p>
    <w:p>
      <w:pPr/>
      <w:r>
        <w:t>Topology normalization is a shared upstream contract, not a node-history convenience. Historical matching consumes LogicalPsiGraph.v1 and is prohibited from changing connectivity, aliases, component dispositions, junction degree, support carrier ownership, or component survival.</w:t>
      </w:r>
    </w:p>
    <w:p>
      <w:pPr>
        <w:pStyle w:val="Heading1"/>
        <w:widowControl/>
      </w:pPr>
      <w:r>
        <w:t>7. Micro-geometry normalization</w:t>
      </w:r>
    </w:p>
    <w:p>
      <w:pPr>
        <w:pStyle w:val="Heading2"/>
        <w:widowControl/>
      </w:pPr>
      <w:r>
        <w:t>7.1 Two distinct operations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2376"/>
            <w:shd w:fill="1F3A5F"/>
            <w:tcMar>
              <w:top w:w="80" w:type="dxa"/>
              <w:start w:w="80" w:type="dxa"/>
              <w:bottom w:w="80" w:type="dxa"/>
              <w:end w:w="80" w:type="dxa"/>
            </w:tcMar>
            <w:vAlign w:val="center"/>
          </w:tcPr>
          <w:p>
            <w:pPr>
              <w:jc w:val="center"/>
            </w:pPr>
            <w:r>
              <w:rPr>
                <w:b/>
                <w:color w:val="FFFFFF"/>
                <w:sz w:val="18"/>
              </w:rPr>
              <w:t>Operation</w:t>
            </w:r>
          </w:p>
        </w:tc>
        <w:tc>
          <w:tcPr>
            <w:tcW w:type="dxa" w:w="3168"/>
            <w:shd w:fill="1F3A5F"/>
            <w:tcMar>
              <w:top w:w="80" w:type="dxa"/>
              <w:start w:w="80" w:type="dxa"/>
              <w:bottom w:w="80" w:type="dxa"/>
              <w:end w:w="80" w:type="dxa"/>
            </w:tcMar>
            <w:vAlign w:val="center"/>
          </w:tcPr>
          <w:p>
            <w:pPr>
              <w:jc w:val="center"/>
            </w:pPr>
            <w:r>
              <w:rPr>
                <w:b/>
                <w:color w:val="FFFFFF"/>
                <w:sz w:val="18"/>
              </w:rPr>
              <w:t>Example</w:t>
            </w:r>
          </w:p>
        </w:tc>
        <w:tc>
          <w:tcPr>
            <w:tcW w:type="dxa" w:w="4104"/>
            <w:shd w:fill="1F3A5F"/>
            <w:tcMar>
              <w:top w:w="80" w:type="dxa"/>
              <w:start w:w="80" w:type="dxa"/>
              <w:bottom w:w="80" w:type="dxa"/>
              <w:end w:w="80" w:type="dxa"/>
            </w:tcMar>
            <w:vAlign w:val="center"/>
          </w:tcPr>
          <w:p>
            <w:pPr>
              <w:jc w:val="center"/>
            </w:pPr>
            <w:r>
              <w:rPr>
                <w:b/>
                <w:color w:val="FFFFFF"/>
                <w:sz w:val="18"/>
              </w:rPr>
              <w:t>Result</w:t>
            </w:r>
          </w:p>
        </w:tc>
      </w:tr>
      <w:tr>
        <w:trPr>
          <w:cantSplit/>
        </w:trPr>
        <w:tc>
          <w:tcPr>
            <w:tcW w:type="dxa" w:w="2376"/>
            <w:tcMar>
              <w:top w:w="80" w:type="dxa"/>
              <w:start w:w="80" w:type="dxa"/>
              <w:bottom w:w="80" w:type="dxa"/>
              <w:end w:w="80" w:type="dxa"/>
            </w:tcMar>
            <w:vAlign w:val="top"/>
          </w:tcPr>
          <w:p>
            <w:pPr>
              <w:spacing w:after="0" w:line="240" w:lineRule="auto"/>
            </w:pPr>
            <w:r>
              <w:rPr>
                <w:sz w:val="18"/>
              </w:rPr>
              <w:t>Consume micro-component</w:t>
            </w:r>
          </w:p>
        </w:tc>
        <w:tc>
          <w:tcPr>
            <w:tcW w:type="dxa" w:w="3168"/>
            <w:tcMar>
              <w:top w:w="80" w:type="dxa"/>
              <w:start w:w="80" w:type="dxa"/>
              <w:bottom w:w="80" w:type="dxa"/>
              <w:end w:w="80" w:type="dxa"/>
            </w:tcMar>
            <w:vAlign w:val="top"/>
          </w:tcPr>
          <w:p>
            <w:r>
              <w:t>A - 3 mm AUTO_GENERATED_PIPE - B</w:t>
            </w:r>
          </w:p>
        </w:tc>
        <w:tc>
          <w:tcPr>
            <w:tcW w:type="dxa" w:w="4104"/>
            <w:tcMar>
              <w:top w:w="80" w:type="dxa"/>
              <w:start w:w="80" w:type="dxa"/>
              <w:bottom w:w="80" w:type="dxa"/>
              <w:end w:w="80" w:type="dxa"/>
            </w:tcMar>
            <w:vAlign w:val="top"/>
          </w:tcPr>
          <w:p>
            <w:r>
              <w:t>The synthetic component remains in the ledger; A and B may resolve to one logical node under policy.</w:t>
            </w:r>
          </w:p>
        </w:tc>
      </w:tr>
      <w:tr>
        <w:trPr>
          <w:cantSplit/>
        </w:trPr>
        <w:tc>
          <w:tcPr>
            <w:tcW w:type="dxa" w:w="2376"/>
            <w:shd w:fill="F8FAFC"/>
            <w:tcMar>
              <w:top w:w="80" w:type="dxa"/>
              <w:start w:w="80" w:type="dxa"/>
              <w:bottom w:w="80" w:type="dxa"/>
              <w:end w:w="80" w:type="dxa"/>
            </w:tcMar>
            <w:vAlign w:val="top"/>
          </w:tcPr>
          <w:p>
            <w:pPr>
              <w:spacing w:after="0" w:line="240" w:lineRule="auto"/>
            </w:pPr>
            <w:r>
              <w:rPr>
                <w:sz w:val="18"/>
              </w:rPr>
              <w:t>Snap micro-gap</w:t>
            </w:r>
          </w:p>
        </w:tc>
        <w:tc>
          <w:tcPr>
            <w:tcW w:type="dxa" w:w="3168"/>
            <w:shd w:fill="F8FAFC"/>
            <w:tcMar>
              <w:top w:w="80" w:type="dxa"/>
              <w:start w:w="80" w:type="dxa"/>
              <w:bottom w:w="80" w:type="dxa"/>
              <w:end w:w="80" w:type="dxa"/>
            </w:tcMar>
            <w:vAlign w:val="top"/>
          </w:tcPr>
          <w:p>
            <w:pPr>
              <w:spacing w:after="0" w:line="240" w:lineRule="auto"/>
            </w:pPr>
            <w:r>
              <w:rPr>
                <w:sz w:val="18"/>
              </w:rPr>
              <w:t>Endpoint A … 4 mm … Endpoint B</w:t>
            </w:r>
          </w:p>
        </w:tc>
        <w:tc>
          <w:tcPr>
            <w:tcW w:type="dxa" w:w="4104"/>
            <w:shd w:fill="F8FAFC"/>
            <w:tcMar>
              <w:top w:w="80" w:type="dxa"/>
              <w:start w:w="80" w:type="dxa"/>
              <w:bottom w:w="80" w:type="dxa"/>
              <w:end w:w="80" w:type="dxa"/>
            </w:tcMar>
            <w:vAlign w:val="top"/>
          </w:tcPr>
          <w:p>
            <w:pPr>
              <w:spacing w:after="0" w:line="240" w:lineRule="auto"/>
            </w:pPr>
            <w:r>
              <w:rPr>
                <w:sz w:val="18"/>
              </w:rPr>
              <w:t>Two related ports may resolve to one logical node; no source component is deleted.</w:t>
            </w:r>
          </w:p>
        </w:tc>
      </w:tr>
    </w:tbl>
    <w:p>
      <w:pPr>
        <w:spacing w:after="0"/>
        <w:widowControl/>
      </w:pPr>
    </w:p>
    <w:p>
      <w:pPr>
        <w:pStyle w:val="Heading2"/>
        <w:widowControl/>
      </w:pPr>
      <w:r>
        <w:t>7.2 Eligibility policy</w:t>
      </w:r>
    </w:p>
    <w:p>
      <w:pPr>
        <w:pStyle w:val="CodeBlock"/>
        <w:keepLines/>
        <w:shd w:fill="F2F2F2"/>
        <w:widowControl/>
      </w:pPr>
      <w:r>
        <w:t>microComponentPolicy: {</w:t>
        <w:br/>
        <w:t xml:space="preserve">  toleranceMm: 6,</w:t>
        <w:br/>
        <w:t xml:space="preserve">  autoConsume: [</w:t>
        <w:br/>
        <w:t xml:space="preserve">    "AUTO_GENERATED_PIPE",</w:t>
        <w:br/>
        <w:t xml:space="preserve">    "SYNTHETIC_BRIDGE",</w:t>
        <w:br/>
        <w:t xml:space="preserve">    "DUPLICATE_PLACEHOLDER"</w:t>
        <w:br/>
        <w:t xml:space="preserve">  ],</w:t>
        <w:br/>
        <w:t xml:space="preserve">  reviewRequired: ["GASKET", "WELD", "INSTRUMENT"],</w:t>
        <w:br/>
        <w:t xml:space="preserve">  neverAutoConsume: [</w:t>
        <w:br/>
        <w:t xml:space="preserve">    "FLANGE", "VALVE", "REDUCER", "ELBO", "TEE", "OLET",</w:t>
        <w:br/>
        <w:t xml:space="preserve">    "EXPANSION_JOINT", "SUPPORT", "ANCHOR", "NOZZLE"</w:t>
        <w:br/>
        <w:t xml:space="preserve">  ],</w:t>
        <w:br/>
        <w:t xml:space="preserve">  unknownTypeDisposition: "REVIEW_REQUIRED"</w:t>
        <w:br/>
        <w:t>}</w:t>
      </w:r>
    </w:p>
    <w:p>
      <w:pPr>
        <w:widowControl/>
      </w:pPr>
      <w:r>
        <w:t>Length is only a necessary geometric condition. Consumption also requires:</w:t>
      </w:r>
    </w:p>
    <w:p>
      <w:pPr>
        <w:pStyle w:val="ListBullet"/>
        <w:spacing w:after="40"/>
        <w:widowControl/>
      </w:pPr>
      <w:r>
        <w:t>same project zone;</w:t>
      </w:r>
    </w:p>
    <w:p>
      <w:pPr>
        <w:pStyle w:val="ListBullet"/>
        <w:spacing w:after="40"/>
        <w:widowControl/>
      </w:pPr>
      <w:r>
        <w:t>same effective main line or an explicit branch/reference relationship;</w:t>
      </w:r>
    </w:p>
    <w:p>
      <w:pPr>
        <w:pStyle w:val="ListBullet"/>
        <w:spacing w:after="40"/>
        <w:widowControl/>
      </w:pPr>
      <w:r>
        <w:t>compatible port roles, bore and component semantics;</w:t>
      </w:r>
    </w:p>
    <w:p>
      <w:pPr>
        <w:pStyle w:val="ListBullet"/>
        <w:spacing w:after="40"/>
        <w:widowControl/>
      </w:pPr>
      <w:r>
        <w:t>no change to an intentional junction degree;</w:t>
      </w:r>
    </w:p>
    <w:p>
      <w:pPr>
        <w:pStyle w:val="ListBullet"/>
        <w:spacing w:after="40"/>
        <w:widowControl/>
      </w:pPr>
      <w:r>
        <w:t>no conflicting historical identities;</w:t>
      </w:r>
    </w:p>
    <w:p>
      <w:pPr>
        <w:pStyle w:val="ListBullet"/>
        <w:spacing w:after="40"/>
        <w:widowControl/>
      </w:pPr>
      <w:r>
        <w:t>an explicit property/packet disposition.</w:t>
      </w:r>
    </w:p>
    <w:p>
      <w:pPr>
        <w:pStyle w:val="Heading2"/>
        <w:widowControl/>
      </w:pPr>
      <w:r>
        <w:t>7.3 Complete-link cluster rule</w:t>
      </w:r>
    </w:p>
    <w:p>
      <w:pPr>
        <w:widowControl/>
      </w:pPr>
      <w:r>
        <w:t>To prevent transitive over-collapse, a new port may join a logical-node cluster only when its original-coordinate distance to every existing member is at or below the configured tolerance.</w:t>
      </w:r>
    </w:p>
    <w:p>
      <w:pPr>
        <w:pStyle w:val="CodeBlock"/>
        <w:keepLines/>
        <w:shd w:fill="F2F2F2"/>
        <w:widowControl/>
      </w:pPr>
      <w:r>
        <w:t>A — 5 mm — B — 5 mm — C</w:t>
        <w:br/>
        <w:br/>
        <w:t>A &lt;-&gt; B is eligible.</w:t>
        <w:br/>
        <w:t>B &lt;-&gt; C is eligible.</w:t>
        <w:br/>
        <w:t>A &lt;-&gt; C is 10 mm.</w:t>
        <w:br/>
        <w:br/>
        <w:t>Result: the three ports cannot become one cluster under a 6 mm complete-link rule.</w:t>
      </w:r>
    </w:p>
    <w:p>
      <w:pPr>
        <w:pStyle w:val="Heading2"/>
        <w:widowControl/>
      </w:pPr>
      <w:r>
        <w:t>7.4 Representative coordinate</w:t>
      </w:r>
    </w:p>
    <w:p>
      <w:pPr>
        <w:spacing w:after="40"/>
        <w:ind w:left="374" w:hanging="288"/>
        <w:widowControl/>
      </w:pPr>
      <w:r>
        <w:rPr>
          <w:b/>
        </w:rPr>
        <w:t xml:space="preserve">1. </w:t>
      </w:r>
      <w:r>
        <w:t>When all members resolve to the same historical identity, retain the approved historical registered coordinate.</w:t>
      </w:r>
    </w:p>
    <w:p>
      <w:pPr>
        <w:spacing w:after="40"/>
        <w:ind w:left="374" w:hanging="288"/>
        <w:widowControl/>
      </w:pPr>
      <w:r>
        <w:rPr>
          <w:b/>
        </w:rPr>
        <w:t xml:space="preserve">2. </w:t>
      </w:r>
      <w:r>
        <w:t>When one member has history and the others do not, use the historical member coordinate.</w:t>
      </w:r>
    </w:p>
    <w:p>
      <w:pPr>
        <w:spacing w:after="40"/>
        <w:ind w:left="374" w:hanging="288"/>
        <w:widowControl/>
      </w:pPr>
      <w:r>
        <w:rPr>
          <w:b/>
        </w:rPr>
        <w:t xml:space="preserve">3. </w:t>
      </w:r>
      <w:r>
        <w:t>When members have conflicting histories, block the cluster.</w:t>
      </w:r>
    </w:p>
    <w:p>
      <w:pPr>
        <w:spacing w:after="40"/>
        <w:ind w:left="374" w:hanging="288"/>
        <w:widowControl/>
      </w:pPr>
      <w:r>
        <w:rPr>
          <w:b/>
        </w:rPr>
        <w:t xml:space="preserve">4. </w:t>
      </w:r>
      <w:r>
        <w:t>When no history exists, use a deterministic medoid selected from the original member coordinates.</w:t>
      </w:r>
    </w:p>
    <w:p>
      <w:pPr>
        <w:pStyle w:val="Heading2"/>
        <w:widowControl/>
      </w:pPr>
      <w:r>
        <w:t>7.5 Engineering evidence dispositions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2880"/>
            <w:shd w:fill="1F3A5F"/>
            <w:tcMar>
              <w:top w:w="80" w:type="dxa"/>
              <w:start w:w="80" w:type="dxa"/>
              <w:bottom w:w="80" w:type="dxa"/>
              <w:end w:w="80" w:type="dxa"/>
            </w:tcMar>
            <w:vAlign w:val="center"/>
          </w:tcPr>
          <w:p>
            <w:pPr>
              <w:jc w:val="center"/>
            </w:pPr>
            <w:r>
              <w:rPr>
                <w:b/>
                <w:color w:val="FFFFFF"/>
                <w:sz w:val="18"/>
              </w:rPr>
              <w:t>Evidence</w:t>
            </w:r>
          </w:p>
        </w:tc>
        <w:tc>
          <w:tcPr>
            <w:tcW w:type="dxa" w:w="6480"/>
            <w:shd w:fill="1F3A5F"/>
            <w:tcMar>
              <w:top w:w="80" w:type="dxa"/>
              <w:start w:w="80" w:type="dxa"/>
              <w:bottom w:w="80" w:type="dxa"/>
              <w:end w:w="80" w:type="dxa"/>
            </w:tcMar>
            <w:vAlign w:val="center"/>
          </w:tcPr>
          <w:p>
            <w:pPr>
              <w:jc w:val="center"/>
            </w:pPr>
            <w:r>
              <w:rPr>
                <w:b/>
                <w:color w:val="FFFFFF"/>
                <w:sz w:val="18"/>
              </w:rPr>
              <w:t>Required disposition when consuming</w:t>
            </w:r>
          </w:p>
        </w:tc>
      </w:tr>
      <w:tr>
        <w:trPr>
          <w:cantSplit/>
        </w:trPr>
        <w:tc>
          <w:tcPr>
            <w:tcW w:type="dxa" w:w="2880"/>
            <w:tcMar>
              <w:top w:w="80" w:type="dxa"/>
              <w:start w:w="80" w:type="dxa"/>
              <w:bottom w:w="80" w:type="dxa"/>
              <w:end w:w="80" w:type="dxa"/>
            </w:tcMar>
            <w:vAlign w:val="top"/>
          </w:tcPr>
          <w:p>
            <w:pPr>
              <w:spacing w:after="0" w:line="240" w:lineRule="auto"/>
            </w:pPr>
            <w:r>
              <w:rPr>
                <w:sz w:val="18"/>
              </w:rPr>
              <w:t>Restraint/support packet</w:t>
            </w:r>
          </w:p>
        </w:tc>
        <w:tc>
          <w:tcPr>
            <w:tcW w:type="dxa" w:w="6480"/>
            <w:tcMar>
              <w:top w:w="80" w:type="dxa"/>
              <w:start w:w="80" w:type="dxa"/>
              <w:bottom w:w="80" w:type="dxa"/>
              <w:end w:w="80" w:type="dxa"/>
            </w:tcMar>
            <w:vAlign w:val="top"/>
          </w:tcPr>
          <w:p>
            <w:pPr>
              <w:spacing w:after="0" w:line="240" w:lineRule="auto"/>
            </w:pPr>
            <w:r>
              <w:rPr>
                <w:sz w:val="18"/>
              </w:rPr>
              <w:t>Reattach to an explicitly selected logical carrier/node and retain source ancestry.</w:t>
            </w:r>
          </w:p>
        </w:tc>
      </w:tr>
      <w:tr>
        <w:trPr>
          <w:cantSplit/>
        </w:trPr>
        <w:tc>
          <w:tcPr>
            <w:tcW w:type="dxa" w:w="2880"/>
            <w:shd w:fill="F8FAFC"/>
            <w:tcMar>
              <w:top w:w="80" w:type="dxa"/>
              <w:start w:w="80" w:type="dxa"/>
              <w:bottom w:w="80" w:type="dxa"/>
              <w:end w:w="80" w:type="dxa"/>
            </w:tcMar>
            <w:vAlign w:val="top"/>
          </w:tcPr>
          <w:p>
            <w:pPr>
              <w:spacing w:after="0" w:line="240" w:lineRule="auto"/>
            </w:pPr>
            <w:r>
              <w:rPr>
                <w:sz w:val="18"/>
              </w:rPr>
              <w:t>SIF or stress discontinuity</w:t>
            </w:r>
          </w:p>
        </w:tc>
        <w:tc>
          <w:tcPr>
            <w:tcW w:type="dxa" w:w="6480"/>
            <w:shd w:fill="F8FAFC"/>
            <w:tcMar>
              <w:top w:w="80" w:type="dxa"/>
              <w:start w:w="80" w:type="dxa"/>
              <w:bottom w:w="80" w:type="dxa"/>
              <w:end w:w="80" w:type="dxa"/>
            </w:tcMar>
            <w:vAlign w:val="top"/>
          </w:tcPr>
          <w:p>
            <w:pPr>
              <w:spacing w:after="0" w:line="240" w:lineRule="auto"/>
            </w:pPr>
            <w:r>
              <w:rPr>
                <w:sz w:val="18"/>
              </w:rPr>
              <w:t>Block unless a policy explicitly preserves equivalent semantics.</w:t>
            </w:r>
          </w:p>
        </w:tc>
      </w:tr>
      <w:tr>
        <w:trPr>
          <w:cantSplit/>
        </w:trPr>
        <w:tc>
          <w:tcPr>
            <w:tcW w:type="dxa" w:w="2880"/>
            <w:tcMar>
              <w:top w:w="80" w:type="dxa"/>
              <w:start w:w="80" w:type="dxa"/>
              <w:bottom w:w="80" w:type="dxa"/>
              <w:end w:w="80" w:type="dxa"/>
            </w:tcMar>
            <w:vAlign w:val="top"/>
          </w:tcPr>
          <w:p>
            <w:pPr>
              <w:spacing w:after="0" w:line="240" w:lineRule="auto"/>
            </w:pPr>
            <w:r>
              <w:rPr>
                <w:sz w:val="18"/>
              </w:rPr>
              <w:t>Weight</w:t>
            </w:r>
          </w:p>
        </w:tc>
        <w:tc>
          <w:tcPr>
            <w:tcW w:type="dxa" w:w="6480"/>
            <w:tcMar>
              <w:top w:w="80" w:type="dxa"/>
              <w:start w:w="80" w:type="dxa"/>
              <w:bottom w:w="80" w:type="dxa"/>
              <w:end w:w="80" w:type="dxa"/>
            </w:tcMar>
            <w:vAlign w:val="top"/>
          </w:tcPr>
          <w:p>
            <w:pPr>
              <w:spacing w:after="0" w:line="240" w:lineRule="auto"/>
            </w:pPr>
            <w:r>
              <w:rPr>
                <w:sz w:val="18"/>
              </w:rPr>
              <w:t>Retain as consumed-component evidence or transfer according to a component-specific rule.</w:t>
            </w:r>
          </w:p>
        </w:tc>
      </w:tr>
      <w:tr>
        <w:trPr>
          <w:cantSplit/>
        </w:trPr>
        <w:tc>
          <w:tcPr>
            <w:tcW w:type="dxa" w:w="2880"/>
            <w:shd w:fill="F8FAFC"/>
            <w:tcMar>
              <w:top w:w="80" w:type="dxa"/>
              <w:start w:w="80" w:type="dxa"/>
              <w:bottom w:w="80" w:type="dxa"/>
              <w:end w:w="80" w:type="dxa"/>
            </w:tcMar>
            <w:vAlign w:val="top"/>
          </w:tcPr>
          <w:p>
            <w:pPr>
              <w:spacing w:after="0" w:line="240" w:lineRule="auto"/>
            </w:pPr>
            <w:r>
              <w:rPr>
                <w:sz w:val="18"/>
              </w:rPr>
              <w:t>Bore/material/insulation transition</w:t>
            </w:r>
          </w:p>
        </w:tc>
        <w:tc>
          <w:tcPr>
            <w:tcW w:type="dxa" w:w="6480"/>
            <w:shd w:fill="F8FAFC"/>
            <w:tcMar>
              <w:top w:w="80" w:type="dxa"/>
              <w:start w:w="80" w:type="dxa"/>
              <w:bottom w:w="80" w:type="dxa"/>
              <w:end w:w="80" w:type="dxa"/>
            </w:tcMar>
            <w:vAlign w:val="top"/>
          </w:tcPr>
          <w:p>
            <w:pPr>
              <w:spacing w:after="0" w:line="240" w:lineRule="auto"/>
            </w:pPr>
            <w:r>
              <w:rPr>
                <w:sz w:val="18"/>
              </w:rPr>
              <w:t>Block automatic consumption when values differ materially.</w:t>
            </w:r>
          </w:p>
        </w:tc>
      </w:tr>
      <w:tr>
        <w:trPr>
          <w:cantSplit/>
        </w:trPr>
        <w:tc>
          <w:tcPr>
            <w:tcW w:type="dxa" w:w="2880"/>
            <w:tcMar>
              <w:top w:w="80" w:type="dxa"/>
              <w:start w:w="80" w:type="dxa"/>
              <w:bottom w:w="80" w:type="dxa"/>
              <w:end w:w="80" w:type="dxa"/>
            </w:tcMar>
            <w:vAlign w:val="top"/>
          </w:tcPr>
          <w:p>
            <w:pPr>
              <w:spacing w:after="0" w:line="240" w:lineRule="auto"/>
            </w:pPr>
            <w:r>
              <w:rPr>
                <w:sz w:val="18"/>
              </w:rPr>
              <w:t>HREF/TREF/CREF</w:t>
            </w:r>
          </w:p>
        </w:tc>
        <w:tc>
          <w:tcPr>
            <w:tcW w:type="dxa" w:w="6480"/>
            <w:tcMar>
              <w:top w:w="80" w:type="dxa"/>
              <w:start w:w="80" w:type="dxa"/>
              <w:bottom w:w="80" w:type="dxa"/>
              <w:end w:w="80" w:type="dxa"/>
            </w:tcMar>
            <w:vAlign w:val="top"/>
          </w:tcPr>
          <w:p>
            <w:pPr>
              <w:spacing w:after="0" w:line="240" w:lineRule="auto"/>
            </w:pPr>
            <w:r>
              <w:rPr>
                <w:sz w:val="18"/>
              </w:rPr>
              <w:t>Retain in the sequence and topology trace; unresolved targets remain blockers/review items.</w:t>
            </w:r>
          </w:p>
        </w:tc>
      </w:tr>
    </w:tbl>
    <w:p>
      <w:pPr>
        <w:spacing w:after="0"/>
        <w:widowControl/>
      </w:pPr>
    </w:p>
    <w:p>
      <w:pPr>
        <w:pStyle w:val="Heading1"/>
        <w:widowControl/>
      </w:pPr>
      <w:r>
        <w:t>8. Project zone and main-line identity</w:t>
      </w:r>
    </w:p>
    <w:p>
      <w:pPr>
        <w:pStyle w:val="Heading2"/>
        <w:widowControl/>
      </w:pPr>
      <w:r>
        <w:t>8.1 Emitted-number uniqueness</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E2F0D9"/>
            <w:tcMar>
              <w:top w:w="100" w:type="dxa"/>
              <w:start w:w="140" w:type="dxa"/>
              <w:bottom w:w="100" w:type="dxa"/>
              <w:end w:w="140" w:type="dxa"/>
            </w:tcMar>
          </w:tcPr>
          <w:p>
            <w:r>
              <w:rPr>
                <w:b/>
                <w:color w:val="1F3A5F"/>
                <w:sz w:val="21"/>
              </w:rPr>
              <w:t>Normative uniqueness key</w:t>
            </w:r>
            <w:r>
              <w:br/>
              <w:t>projectId + zoneId + nodeNumber. Main-line identity owns the lease but is not part of the uniqueness key.</w:t>
            </w:r>
          </w:p>
        </w:tc>
      </w:tr>
    </w:tbl>
    <w:p>
      <w:pPr>
        <w:spacing w:after="0"/>
        <w:widowControl/>
      </w:pPr>
    </w:p>
    <w:p>
      <w:pPr>
        <w:widowControl/>
      </w:pPr>
      <w:r>
        <w:t>The same node number may exist in different project zones, but two active nodes in the same zone cannot share a number unless they are aliases of the same logical/historical node.</w:t>
      </w:r>
    </w:p>
    <w:p>
      <w:pPr>
        <w:pStyle w:val="Heading2"/>
        <w:widowControl/>
      </w:pPr>
      <w:r>
        <w:t>8.2 Main-line identity decision</w:t>
      </w:r>
    </w:p>
    <w:p>
      <w:pPr>
        <w:pStyle w:val="CodeBlock"/>
        <w:keepLines/>
        <w:shd w:fill="F2F2F2"/>
        <w:widowControl/>
      </w:pPr>
      <w:r>
        <w:t>{</w:t>
        <w:br/>
        <w:t xml:space="preserve">  sourceBranchName: "/P101550/B2",</w:t>
        <w:br/>
        <w:t xml:space="preserve">  canonicalBranchName: "/P101550",</w:t>
        <w:br/>
        <w:t xml:space="preserve">  branchSuffix: "/B2",</w:t>
        <w:br/>
        <w:t xml:space="preserve">  effectiveMainLineKey: "/P101550",</w:t>
        <w:br/>
        <w:t xml:space="preserve">  authority: "OWNER_CONFIRMED_BY_SOURCE_ROOT",</w:t>
        <w:br/>
        <w:t xml:space="preserve">  status: "PASS"</w:t>
        <w:br/>
        <w:t>}</w:t>
      </w:r>
    </w:p>
    <w:p>
      <w:pPr>
        <w:widowControl/>
      </w:pPr>
      <w:r>
        <w:t>The implementation must call the repository-owned canonicalBranchRoot() and resolveBranchIdentity() authority, or an extracted shared equivalent with the same contract. effectiveMainLineKey is the accepted canonicalBranchName. No second /B# stripping implementation is permitted; OWNER/source-root disagreement is retained as a review item or blocker.</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384"/>
            <w:shd w:fill="1F3A5F"/>
            <w:tcMar>
              <w:top w:w="80" w:type="dxa"/>
              <w:start w:w="80" w:type="dxa"/>
              <w:bottom w:w="80" w:type="dxa"/>
              <w:end w:w="80" w:type="dxa"/>
            </w:tcMar>
            <w:vAlign w:val="center"/>
          </w:tcPr>
          <w:p>
            <w:pPr>
              <w:jc w:val="center"/>
            </w:pPr>
            <w:r>
              <w:rPr>
                <w:b/>
                <w:color w:val="FFFFFF"/>
                <w:sz w:val="18"/>
              </w:rPr>
              <w:t>Authority outcome</w:t>
            </w:r>
          </w:p>
        </w:tc>
        <w:tc>
          <w:tcPr>
            <w:tcW w:type="dxa" w:w="5976"/>
            <w:shd w:fill="1F3A5F"/>
            <w:tcMar>
              <w:top w:w="80" w:type="dxa"/>
              <w:start w:w="80" w:type="dxa"/>
              <w:bottom w:w="80" w:type="dxa"/>
              <w:end w:w="80" w:type="dxa"/>
            </w:tcMar>
            <w:vAlign w:val="center"/>
          </w:tcPr>
          <w:p>
            <w:pPr>
              <w:jc w:val="center"/>
            </w:pPr>
            <w:r>
              <w:rPr>
                <w:b/>
                <w:color w:val="FFFFFF"/>
                <w:sz w:val="18"/>
              </w:rPr>
              <w:t>Treatment</w:t>
            </w:r>
          </w:p>
        </w:tc>
      </w:tr>
      <w:tr>
        <w:trPr>
          <w:cantSplit/>
        </w:trPr>
        <w:tc>
          <w:tcPr>
            <w:tcW w:type="dxa" w:w="3384"/>
            <w:tcMar>
              <w:top w:w="80" w:type="dxa"/>
              <w:start w:w="80" w:type="dxa"/>
              <w:bottom w:w="80" w:type="dxa"/>
              <w:end w:w="80" w:type="dxa"/>
            </w:tcMar>
            <w:vAlign w:val="top"/>
          </w:tcPr>
          <w:p>
            <w:pPr>
              <w:spacing w:after="0" w:line="240" w:lineRule="auto"/>
            </w:pPr>
            <w:r>
              <w:rPr>
                <w:sz w:val="18"/>
              </w:rPr>
              <w:t>OWNER_CONFIRMED_BY_SOURCE_ROOT</w:t>
            </w:r>
          </w:p>
        </w:tc>
        <w:tc>
          <w:tcPr>
            <w:tcW w:type="dxa" w:w="5976"/>
            <w:tcMar>
              <w:top w:w="80" w:type="dxa"/>
              <w:start w:w="80" w:type="dxa"/>
              <w:bottom w:w="80" w:type="dxa"/>
              <w:end w:w="80" w:type="dxa"/>
            </w:tcMar>
            <w:vAlign w:val="top"/>
          </w:tcPr>
          <w:p>
            <w:pPr>
              <w:spacing w:after="0" w:line="240" w:lineRule="auto"/>
            </w:pPr>
            <w:r>
              <w:rPr>
                <w:sz w:val="18"/>
              </w:rPr>
              <w:t>Automatic acceptance.</w:t>
            </w:r>
          </w:p>
        </w:tc>
      </w:tr>
      <w:tr>
        <w:trPr>
          <w:cantSplit/>
        </w:trPr>
        <w:tc>
          <w:tcPr>
            <w:tcW w:type="dxa" w:w="3384"/>
            <w:shd w:fill="F8FAFC"/>
            <w:tcMar>
              <w:top w:w="80" w:type="dxa"/>
              <w:start w:w="80" w:type="dxa"/>
              <w:bottom w:w="80" w:type="dxa"/>
              <w:end w:w="80" w:type="dxa"/>
            </w:tcMar>
            <w:vAlign w:val="top"/>
          </w:tcPr>
          <w:p>
            <w:pPr>
              <w:spacing w:after="0" w:line="240" w:lineRule="auto"/>
            </w:pPr>
            <w:r>
              <w:rPr>
                <w:sz w:val="18"/>
              </w:rPr>
              <w:t>SOURCE_ROOT_ONLY</w:t>
            </w:r>
          </w:p>
        </w:tc>
        <w:tc>
          <w:tcPr>
            <w:tcW w:type="dxa" w:w="5976"/>
            <w:shd w:fill="F8FAFC"/>
            <w:tcMar>
              <w:top w:w="80" w:type="dxa"/>
              <w:start w:w="80" w:type="dxa"/>
              <w:bottom w:w="80" w:type="dxa"/>
              <w:end w:w="80" w:type="dxa"/>
            </w:tcMar>
            <w:vAlign w:val="top"/>
          </w:tcPr>
          <w:p>
            <w:pPr>
              <w:spacing w:after="0" w:line="240" w:lineRule="auto"/>
            </w:pPr>
            <w:r>
              <w:rPr>
                <w:sz w:val="18"/>
              </w:rPr>
              <w:t>Allowed only under configured policy; warning retained.</w:t>
            </w:r>
          </w:p>
        </w:tc>
      </w:tr>
      <w:tr>
        <w:trPr>
          <w:cantSplit/>
        </w:trPr>
        <w:tc>
          <w:tcPr>
            <w:tcW w:type="dxa" w:w="3384"/>
            <w:tcMar>
              <w:top w:w="80" w:type="dxa"/>
              <w:start w:w="80" w:type="dxa"/>
              <w:bottom w:w="80" w:type="dxa"/>
              <w:end w:w="80" w:type="dxa"/>
            </w:tcMar>
            <w:vAlign w:val="top"/>
          </w:tcPr>
          <w:p>
            <w:pPr>
              <w:spacing w:after="0" w:line="240" w:lineRule="auto"/>
            </w:pPr>
            <w:r>
              <w:rPr>
                <w:sz w:val="18"/>
              </w:rPr>
              <w:t>OWNER_ONLY</w:t>
            </w:r>
          </w:p>
        </w:tc>
        <w:tc>
          <w:tcPr>
            <w:tcW w:type="dxa" w:w="5976"/>
            <w:tcMar>
              <w:top w:w="80" w:type="dxa"/>
              <w:start w:w="80" w:type="dxa"/>
              <w:bottom w:w="80" w:type="dxa"/>
              <w:end w:w="80" w:type="dxa"/>
            </w:tcMar>
            <w:vAlign w:val="top"/>
          </w:tcPr>
          <w:p>
            <w:pPr>
              <w:spacing w:after="0" w:line="240" w:lineRule="auto"/>
            </w:pPr>
            <w:r>
              <w:rPr>
                <w:sz w:val="18"/>
              </w:rPr>
              <w:t>Review unless source branch evidence is absent by design.</w:t>
            </w:r>
          </w:p>
        </w:tc>
      </w:tr>
      <w:tr>
        <w:trPr>
          <w:cantSplit/>
        </w:trPr>
        <w:tc>
          <w:tcPr>
            <w:tcW w:type="dxa" w:w="3384"/>
            <w:shd w:fill="F8FAFC"/>
            <w:tcMar>
              <w:top w:w="80" w:type="dxa"/>
              <w:start w:w="80" w:type="dxa"/>
              <w:bottom w:w="80" w:type="dxa"/>
              <w:end w:w="80" w:type="dxa"/>
            </w:tcMar>
            <w:vAlign w:val="top"/>
          </w:tcPr>
          <w:p>
            <w:pPr>
              <w:spacing w:after="0" w:line="240" w:lineRule="auto"/>
            </w:pPr>
            <w:r>
              <w:rPr>
                <w:sz w:val="18"/>
              </w:rPr>
              <w:t>OWNER_SOURCE_CONFLICT</w:t>
            </w:r>
          </w:p>
        </w:tc>
        <w:tc>
          <w:tcPr>
            <w:tcW w:type="dxa" w:w="5976"/>
            <w:shd w:fill="F8FAFC"/>
            <w:tcMar>
              <w:top w:w="80" w:type="dxa"/>
              <w:start w:w="80" w:type="dxa"/>
              <w:bottom w:w="80" w:type="dxa"/>
              <w:end w:w="80" w:type="dxa"/>
            </w:tcMar>
            <w:vAlign w:val="top"/>
          </w:tcPr>
          <w:p>
            <w:pPr>
              <w:spacing w:after="0" w:line="240" w:lineRule="auto"/>
            </w:pPr>
            <w:r>
              <w:rPr>
                <w:sz w:val="18"/>
              </w:rPr>
              <w:t>Blocked or explicit engineering resolution.</w:t>
            </w:r>
          </w:p>
        </w:tc>
      </w:tr>
      <w:tr>
        <w:trPr>
          <w:cantSplit/>
        </w:trPr>
        <w:tc>
          <w:tcPr>
            <w:tcW w:type="dxa" w:w="3384"/>
            <w:tcMar>
              <w:top w:w="80" w:type="dxa"/>
              <w:start w:w="80" w:type="dxa"/>
              <w:bottom w:w="80" w:type="dxa"/>
              <w:end w:w="80" w:type="dxa"/>
            </w:tcMar>
            <w:vAlign w:val="top"/>
          </w:tcPr>
          <w:p>
            <w:pPr>
              <w:spacing w:after="0" w:line="240" w:lineRule="auto"/>
            </w:pPr>
            <w:r>
              <w:rPr>
                <w:sz w:val="18"/>
              </w:rPr>
              <w:t>HISTORICAL_LINE_ALIAS</w:t>
            </w:r>
          </w:p>
        </w:tc>
        <w:tc>
          <w:tcPr>
            <w:tcW w:type="dxa" w:w="5976"/>
            <w:tcMar>
              <w:top w:w="80" w:type="dxa"/>
              <w:start w:w="80" w:type="dxa"/>
              <w:bottom w:w="80" w:type="dxa"/>
              <w:end w:w="80" w:type="dxa"/>
            </w:tcMar>
            <w:vAlign w:val="top"/>
          </w:tcPr>
          <w:p>
            <w:pPr>
              <w:spacing w:after="0" w:line="240" w:lineRule="auto"/>
            </w:pPr>
            <w:r>
              <w:rPr>
                <w:sz w:val="18"/>
              </w:rPr>
              <w:t>Allowed only with an approved alias ledger entry.</w:t>
            </w:r>
          </w:p>
        </w:tc>
      </w:tr>
      <w:tr>
        <w:trPr>
          <w:cantSplit/>
        </w:trPr>
        <w:tc>
          <w:tcPr>
            <w:tcW w:type="dxa" w:w="3384"/>
            <w:shd w:fill="F8FAFC"/>
            <w:tcMar>
              <w:top w:w="80" w:type="dxa"/>
              <w:start w:w="80" w:type="dxa"/>
              <w:bottom w:w="80" w:type="dxa"/>
              <w:end w:w="80" w:type="dxa"/>
            </w:tcMar>
            <w:vAlign w:val="top"/>
          </w:tcPr>
          <w:p>
            <w:pPr>
              <w:spacing w:after="0" w:line="240" w:lineRule="auto"/>
            </w:pPr>
            <w:r>
              <w:rPr>
                <w:sz w:val="18"/>
              </w:rPr>
              <w:t>MALFORMED_BRANCH_SUFFIX</w:t>
            </w:r>
          </w:p>
        </w:tc>
        <w:tc>
          <w:tcPr>
            <w:tcW w:type="dxa" w:w="5976"/>
            <w:shd w:fill="F8FAFC"/>
            <w:tcMar>
              <w:top w:w="80" w:type="dxa"/>
              <w:start w:w="80" w:type="dxa"/>
              <w:bottom w:w="80" w:type="dxa"/>
              <w:end w:w="80" w:type="dxa"/>
            </w:tcMar>
            <w:vAlign w:val="top"/>
          </w:tcPr>
          <w:p>
            <w:pPr>
              <w:spacing w:after="0" w:line="240" w:lineRule="auto"/>
            </w:pPr>
            <w:r>
              <w:rPr>
                <w:sz w:val="18"/>
              </w:rPr>
              <w:t>Blocked from automatic history reuse.</w:t>
            </w:r>
          </w:p>
        </w:tc>
      </w:tr>
    </w:tbl>
    <w:p>
      <w:pPr>
        <w:spacing w:after="0"/>
        <w:widowControl/>
      </w:pPr>
    </w:p>
    <w:p>
      <w:pPr>
        <w:pStyle w:val="Heading1"/>
        <w:widowControl/>
      </w:pPr>
      <w:r>
        <w:t>9. Historical node matching</w:t>
      </w:r>
    </w:p>
    <w:p>
      <w:pPr>
        <w:pStyle w:val="Heading2"/>
        <w:widowControl/>
      </w:pPr>
      <w:r>
        <w:t>9.1 Candidate scope and hard filters</w:t>
      </w:r>
    </w:p>
    <w:p>
      <w:pPr>
        <w:widowControl/>
      </w:pPr>
      <w:r>
        <w:t>Candidates are generated only within compatible registry scope:</w:t>
      </w:r>
    </w:p>
    <w:p>
      <w:pPr>
        <w:pStyle w:val="ListBullet"/>
        <w:spacing w:after="40"/>
        <w:widowControl/>
      </w:pPr>
      <w:r>
        <w:t>same project and project zone;</w:t>
      </w:r>
    </w:p>
    <w:p>
      <w:pPr>
        <w:pStyle w:val="ListBullet"/>
        <w:spacing w:after="40"/>
        <w:widowControl/>
      </w:pPr>
      <w:r>
        <w:t>same effective main line or an approved historical line alias;</w:t>
      </w:r>
    </w:p>
    <w:p>
      <w:pPr>
        <w:pStyle w:val="ListBullet"/>
        <w:spacing w:after="40"/>
        <w:widowControl/>
      </w:pPr>
      <w:r>
        <w:t>compatible coordinate frame and valid registration when position is used;</w:t>
      </w:r>
    </w:p>
    <w:p>
      <w:pPr>
        <w:pStyle w:val="ListBullet"/>
        <w:spacing w:after="40"/>
        <w:widowControl/>
      </w:pPr>
      <w:r>
        <w:t>compatible node role, component semantics and branch topology;</w:t>
      </w:r>
    </w:p>
    <w:p>
      <w:pPr>
        <w:pStyle w:val="ListBullet"/>
        <w:spacing w:after="40"/>
        <w:widowControl/>
      </w:pPr>
      <w:r>
        <w:t>historical node not already fixed to an exact stable identity;</w:t>
      </w:r>
    </w:p>
    <w:p>
      <w:pPr>
        <w:pStyle w:val="ListBullet"/>
        <w:spacing w:after="40"/>
        <w:widowControl/>
      </w:pPr>
      <w:r>
        <w:t>no prohibited split/merge or engineering conflict.</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FCE4D6"/>
            <w:tcMar>
              <w:top w:w="100" w:type="dxa"/>
              <w:start w:w="140" w:type="dxa"/>
              <w:bottom w:w="100" w:type="dxa"/>
              <w:end w:w="140" w:type="dxa"/>
            </w:tcMar>
          </w:tcPr>
          <w:p>
            <w:r>
              <w:rPr>
                <w:b/>
                <w:color w:val="1F3A5F"/>
                <w:sz w:val="21"/>
              </w:rPr>
              <w:t>Hard conflict precedence</w:t>
            </w:r>
            <w:r>
              <w:br/>
              <w:t>A hard engineering conflict removes the candidate before scoring. A high similarity score cannot override incompatible topology, bore transition, carrier identity or conflicting historical ownership.</w:t>
            </w:r>
          </w:p>
        </w:tc>
      </w:tr>
    </w:tbl>
    <w:p>
      <w:pPr>
        <w:spacing w:after="0"/>
        <w:widowControl/>
      </w:pPr>
    </w:p>
    <w:p>
      <w:pPr>
        <w:pStyle w:val="Heading2"/>
      </w:pPr>
      <w:r>
        <w:t>9.2 Identity authority tiers</w:t>
      </w:r>
    </w:p>
    <w:p>
      <w:pPr>
        <w:pStyle w:val="CodeBlock"/>
      </w:pPr>
      <w:r>
        <w:t>Tier 1 - durable engineering identity</w:t>
        <w:br/>
        <w:t xml:space="preserve">  persistent REF, GUID, stable database reference, approved equipment/support tag</w:t>
        <w:br/>
        <w:br/>
        <w:t>Tier 2 - topology identity</w:t>
        <w:br/>
        <w:t xml:space="preserve">  stable neighbours, junction role, CREF/HREF/TREF, carrier relationship</w:t>
        <w:br/>
        <w:br/>
        <w:t>Tier 3 - revision-local aliases and supporting evidence</w:t>
        <w:br/>
        <w:t xml:space="preserve">  sourceEntityId derived from source file/path, sourcePath, source order,</w:t>
        <w:br/>
        <w:t xml:space="preserve">  registered coordinate and station</w:t>
      </w:r>
    </w:p>
    <w:p>
      <w:pPr/>
      <w:r>
        <w:t>A source-path-derived sourceEntityId is an alias, not a permanent historical anchor. It cannot independently establish continuity unless the registry proves that the source-file and path identity domain is unchanged.</w:t>
      </w:r>
    </w:p>
    <w:p>
      <w:pPr>
        <w:pStyle w:val="Heading2"/>
        <w:widowControl/>
      </w:pPr>
      <w:r>
        <w:t>9.3 Proposed Version 1 evidence model</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3384"/>
            <w:shd w:fill="1F3A5F"/>
            <w:tcMar>
              <w:top w:w="80" w:type="dxa"/>
              <w:start w:w="80" w:type="dxa"/>
              <w:bottom w:w="80" w:type="dxa"/>
              <w:end w:w="80" w:type="dxa"/>
            </w:tcMar>
            <w:vAlign w:val="center"/>
          </w:tcPr>
          <w:p>
            <w:pPr>
              <w:jc w:val="center"/>
            </w:pPr>
            <w:r>
              <w:rPr>
                <w:b/>
                <w:color w:val="FFFFFF"/>
                <w:sz w:val="17"/>
              </w:rPr>
              <w:t>Evidence</w:t>
            </w:r>
          </w:p>
        </w:tc>
        <w:tc>
          <w:tcPr>
            <w:tcW w:type="dxa" w:w="1296"/>
            <w:shd w:fill="1F3A5F"/>
            <w:tcMar>
              <w:top w:w="80" w:type="dxa"/>
              <w:start w:w="80" w:type="dxa"/>
              <w:bottom w:w="80" w:type="dxa"/>
              <w:end w:w="80" w:type="dxa"/>
            </w:tcMar>
            <w:vAlign w:val="center"/>
          </w:tcPr>
          <w:p>
            <w:pPr>
              <w:jc w:val="center"/>
            </w:pPr>
            <w:r>
              <w:rPr>
                <w:b/>
                <w:color w:val="FFFFFF"/>
                <w:sz w:val="17"/>
              </w:rPr>
              <w:t>Initial weight</w:t>
            </w:r>
          </w:p>
        </w:tc>
        <w:tc>
          <w:tcPr>
            <w:tcW w:type="dxa" w:w="4680"/>
            <w:shd w:fill="1F3A5F"/>
            <w:tcMar>
              <w:top w:w="80" w:type="dxa"/>
              <w:start w:w="80" w:type="dxa"/>
              <w:bottom w:w="80" w:type="dxa"/>
              <w:end w:w="80" w:type="dxa"/>
            </w:tcMar>
            <w:vAlign w:val="center"/>
          </w:tcPr>
          <w:p>
            <w:pPr>
              <w:jc w:val="center"/>
            </w:pPr>
            <w:r>
              <w:rPr>
                <w:b/>
                <w:color w:val="FFFFFF"/>
                <w:sz w:val="17"/>
              </w:rPr>
              <w:t>Notes</w:t>
            </w:r>
          </w:p>
        </w:tc>
      </w:tr>
      <w:tr>
        <w:trPr>
          <w:cantSplit/>
        </w:trPr>
        <w:tc>
          <w:tcPr>
            <w:tcW w:type="dxa" w:w="3384"/>
            <w:tcMar>
              <w:top w:w="80" w:type="dxa"/>
              <w:start w:w="80" w:type="dxa"/>
              <w:bottom w:w="80" w:type="dxa"/>
              <w:end w:w="80" w:type="dxa"/>
            </w:tcMar>
            <w:vAlign w:val="top"/>
          </w:tcPr>
          <w:p>
            <w:r>
              <w:t>Durable engineering identity / REF / approved tag</w:t>
            </w:r>
          </w:p>
        </w:tc>
        <w:tc>
          <w:tcPr>
            <w:tcW w:type="dxa" w:w="1296"/>
            <w:tcMar>
              <w:top w:w="80" w:type="dxa"/>
              <w:start w:w="80" w:type="dxa"/>
              <w:bottom w:w="80" w:type="dxa"/>
              <w:end w:w="80" w:type="dxa"/>
            </w:tcMar>
            <w:vAlign w:val="top"/>
          </w:tcPr>
          <w:p>
            <w:pPr>
              <w:spacing w:after="0" w:line="240" w:lineRule="auto"/>
            </w:pPr>
            <w:r>
              <w:rPr>
                <w:sz w:val="17"/>
              </w:rPr>
              <w:t>20</w:t>
            </w:r>
          </w:p>
        </w:tc>
        <w:tc>
          <w:tcPr>
            <w:tcW w:type="dxa" w:w="4680"/>
            <w:tcMar>
              <w:top w:w="80" w:type="dxa"/>
              <w:start w:w="80" w:type="dxa"/>
              <w:bottom w:w="80" w:type="dxa"/>
              <w:end w:w="80" w:type="dxa"/>
            </w:tcMar>
            <w:vAlign w:val="top"/>
          </w:tcPr>
          <w:p>
            <w:r>
              <w:t>Tier 1 evidence. Path-derived source IDs do not qualify independently.</w:t>
            </w:r>
          </w:p>
        </w:tc>
      </w:tr>
      <w:tr>
        <w:trPr>
          <w:cantSplit/>
        </w:trPr>
        <w:tc>
          <w:tcPr>
            <w:tcW w:type="dxa" w:w="3384"/>
            <w:shd w:fill="F8FAFC"/>
            <w:tcMar>
              <w:top w:w="80" w:type="dxa"/>
              <w:start w:w="80" w:type="dxa"/>
              <w:bottom w:w="80" w:type="dxa"/>
              <w:end w:w="80" w:type="dxa"/>
            </w:tcMar>
            <w:vAlign w:val="top"/>
          </w:tcPr>
          <w:p>
            <w:pPr>
              <w:spacing w:after="0" w:line="240" w:lineRule="auto"/>
            </w:pPr>
            <w:r>
              <w:rPr>
                <w:sz w:val="17"/>
              </w:rPr>
              <w:t>Topology-neighbour signature</w:t>
            </w:r>
          </w:p>
        </w:tc>
        <w:tc>
          <w:tcPr>
            <w:tcW w:type="dxa" w:w="1296"/>
            <w:shd w:fill="F8FAFC"/>
            <w:tcMar>
              <w:top w:w="80" w:type="dxa"/>
              <w:start w:w="80" w:type="dxa"/>
              <w:bottom w:w="80" w:type="dxa"/>
              <w:end w:w="80" w:type="dxa"/>
            </w:tcMar>
            <w:vAlign w:val="top"/>
          </w:tcPr>
          <w:p>
            <w:pPr>
              <w:spacing w:after="0" w:line="240" w:lineRule="auto"/>
            </w:pPr>
            <w:r>
              <w:rPr>
                <w:sz w:val="17"/>
              </w:rPr>
              <w:t>30</w:t>
            </w:r>
          </w:p>
        </w:tc>
        <w:tc>
          <w:tcPr>
            <w:tcW w:type="dxa" w:w="4680"/>
            <w:shd w:fill="F8FAFC"/>
            <w:tcMar>
              <w:top w:w="80" w:type="dxa"/>
              <w:start w:w="80" w:type="dxa"/>
              <w:bottom w:w="80" w:type="dxa"/>
              <w:end w:w="80" w:type="dxa"/>
            </w:tcMar>
            <w:vAlign w:val="top"/>
          </w:tcPr>
          <w:p>
            <w:pPr>
              <w:spacing w:after="0" w:line="240" w:lineRule="auto"/>
            </w:pPr>
            <w:r>
              <w:rPr>
                <w:sz w:val="17"/>
              </w:rPr>
              <w:t>Degree, adjacent kinds, branch relationships and local route structure.</w:t>
            </w:r>
          </w:p>
        </w:tc>
      </w:tr>
      <w:tr>
        <w:trPr>
          <w:cantSplit/>
        </w:trPr>
        <w:tc>
          <w:tcPr>
            <w:tcW w:type="dxa" w:w="3384"/>
            <w:tcMar>
              <w:top w:w="80" w:type="dxa"/>
              <w:start w:w="80" w:type="dxa"/>
              <w:bottom w:w="80" w:type="dxa"/>
              <w:end w:w="80" w:type="dxa"/>
            </w:tcMar>
            <w:vAlign w:val="top"/>
          </w:tcPr>
          <w:p>
            <w:pPr>
              <w:spacing w:after="0" w:line="240" w:lineRule="auto"/>
            </w:pPr>
            <w:r>
              <w:rPr>
                <w:sz w:val="17"/>
              </w:rPr>
              <w:t>Registered 3D position</w:t>
            </w:r>
          </w:p>
        </w:tc>
        <w:tc>
          <w:tcPr>
            <w:tcW w:type="dxa" w:w="1296"/>
            <w:tcMar>
              <w:top w:w="80" w:type="dxa"/>
              <w:start w:w="80" w:type="dxa"/>
              <w:bottom w:w="80" w:type="dxa"/>
              <w:end w:w="80" w:type="dxa"/>
            </w:tcMar>
            <w:vAlign w:val="top"/>
          </w:tcPr>
          <w:p>
            <w:pPr>
              <w:spacing w:after="0" w:line="240" w:lineRule="auto"/>
            </w:pPr>
            <w:r>
              <w:rPr>
                <w:sz w:val="17"/>
              </w:rPr>
              <w:t>20</w:t>
            </w:r>
          </w:p>
        </w:tc>
        <w:tc>
          <w:tcPr>
            <w:tcW w:type="dxa" w:w="4680"/>
            <w:tcMar>
              <w:top w:w="80" w:type="dxa"/>
              <w:start w:w="80" w:type="dxa"/>
              <w:bottom w:w="80" w:type="dxa"/>
              <w:end w:w="80" w:type="dxa"/>
            </w:tcMar>
            <w:vAlign w:val="top"/>
          </w:tcPr>
          <w:p>
            <w:pPr>
              <w:spacing w:after="0" w:line="240" w:lineRule="auto"/>
            </w:pPr>
            <w:r>
              <w:rPr>
                <w:sz w:val="17"/>
              </w:rPr>
              <w:t>Disabled without valid registration.</w:t>
            </w:r>
          </w:p>
        </w:tc>
      </w:tr>
      <w:tr>
        <w:trPr>
          <w:cantSplit/>
        </w:trPr>
        <w:tc>
          <w:tcPr>
            <w:tcW w:type="dxa" w:w="3384"/>
            <w:shd w:fill="F8FAFC"/>
            <w:tcMar>
              <w:top w:w="80" w:type="dxa"/>
              <w:start w:w="80" w:type="dxa"/>
              <w:bottom w:w="80" w:type="dxa"/>
              <w:end w:w="80" w:type="dxa"/>
            </w:tcMar>
            <w:vAlign w:val="top"/>
          </w:tcPr>
          <w:p>
            <w:pPr>
              <w:spacing w:after="0" w:line="240" w:lineRule="auto"/>
            </w:pPr>
            <w:r>
              <w:rPr>
                <w:sz w:val="17"/>
              </w:rPr>
              <w:t>Branch station and sequence</w:t>
            </w:r>
          </w:p>
        </w:tc>
        <w:tc>
          <w:tcPr>
            <w:tcW w:type="dxa" w:w="1296"/>
            <w:shd w:fill="F8FAFC"/>
            <w:tcMar>
              <w:top w:w="80" w:type="dxa"/>
              <w:start w:w="80" w:type="dxa"/>
              <w:bottom w:w="80" w:type="dxa"/>
              <w:end w:w="80" w:type="dxa"/>
            </w:tcMar>
            <w:vAlign w:val="top"/>
          </w:tcPr>
          <w:p>
            <w:pPr>
              <w:spacing w:after="0" w:line="240" w:lineRule="auto"/>
            </w:pPr>
            <w:r>
              <w:rPr>
                <w:sz w:val="17"/>
              </w:rPr>
              <w:t>10</w:t>
            </w:r>
          </w:p>
        </w:tc>
        <w:tc>
          <w:tcPr>
            <w:tcW w:type="dxa" w:w="4680"/>
            <w:shd w:fill="F8FAFC"/>
            <w:tcMar>
              <w:top w:w="80" w:type="dxa"/>
              <w:start w:w="80" w:type="dxa"/>
              <w:bottom w:w="80" w:type="dxa"/>
              <w:end w:w="80" w:type="dxa"/>
            </w:tcMar>
            <w:vAlign w:val="top"/>
          </w:tcPr>
          <w:p>
            <w:pPr>
              <w:spacing w:after="0" w:line="240" w:lineRule="auto"/>
            </w:pPr>
            <w:r>
              <w:rPr>
                <w:sz w:val="17"/>
              </w:rPr>
              <w:t>Post-normalization station and relative order.</w:t>
            </w:r>
          </w:p>
        </w:tc>
      </w:tr>
      <w:tr>
        <w:trPr>
          <w:cantSplit/>
        </w:trPr>
        <w:tc>
          <w:tcPr>
            <w:tcW w:type="dxa" w:w="3384"/>
            <w:tcMar>
              <w:top w:w="80" w:type="dxa"/>
              <w:start w:w="80" w:type="dxa"/>
              <w:bottom w:w="80" w:type="dxa"/>
              <w:end w:w="80" w:type="dxa"/>
            </w:tcMar>
            <w:vAlign w:val="top"/>
          </w:tcPr>
          <w:p>
            <w:pPr>
              <w:spacing w:after="0" w:line="240" w:lineRule="auto"/>
            </w:pPr>
            <w:r>
              <w:rPr>
                <w:sz w:val="17"/>
              </w:rPr>
              <w:t>Node role and degree</w:t>
            </w:r>
          </w:p>
        </w:tc>
        <w:tc>
          <w:tcPr>
            <w:tcW w:type="dxa" w:w="1296"/>
            <w:tcMar>
              <w:top w:w="80" w:type="dxa"/>
              <w:start w:w="80" w:type="dxa"/>
              <w:bottom w:w="80" w:type="dxa"/>
              <w:end w:w="80" w:type="dxa"/>
            </w:tcMar>
            <w:vAlign w:val="top"/>
          </w:tcPr>
          <w:p>
            <w:pPr>
              <w:spacing w:after="0" w:line="240" w:lineRule="auto"/>
            </w:pPr>
            <w:r>
              <w:rPr>
                <w:sz w:val="17"/>
              </w:rPr>
              <w:t>10</w:t>
            </w:r>
          </w:p>
        </w:tc>
        <w:tc>
          <w:tcPr>
            <w:tcW w:type="dxa" w:w="4680"/>
            <w:tcMar>
              <w:top w:w="80" w:type="dxa"/>
              <w:start w:w="80" w:type="dxa"/>
              <w:bottom w:w="80" w:type="dxa"/>
              <w:end w:w="80" w:type="dxa"/>
            </w:tcMar>
            <w:vAlign w:val="top"/>
          </w:tcPr>
          <w:p>
            <w:pPr>
              <w:spacing w:after="0" w:line="240" w:lineRule="auto"/>
            </w:pPr>
            <w:r>
              <w:rPr>
                <w:sz w:val="17"/>
              </w:rPr>
              <w:t>Endpoint, route, junction, support anchor, etc.</w:t>
            </w:r>
          </w:p>
        </w:tc>
      </w:tr>
      <w:tr>
        <w:trPr>
          <w:cantSplit/>
        </w:trPr>
        <w:tc>
          <w:tcPr>
            <w:tcW w:type="dxa" w:w="3384"/>
            <w:shd w:fill="F8FAFC"/>
            <w:tcMar>
              <w:top w:w="80" w:type="dxa"/>
              <w:start w:w="80" w:type="dxa"/>
              <w:bottom w:w="80" w:type="dxa"/>
              <w:end w:w="80" w:type="dxa"/>
            </w:tcMar>
            <w:vAlign w:val="top"/>
          </w:tcPr>
          <w:p>
            <w:pPr>
              <w:spacing w:after="0" w:line="240" w:lineRule="auto"/>
            </w:pPr>
            <w:r>
              <w:rPr>
                <w:sz w:val="17"/>
              </w:rPr>
              <w:t>Bore/component/support signature</w:t>
            </w:r>
          </w:p>
        </w:tc>
        <w:tc>
          <w:tcPr>
            <w:tcW w:type="dxa" w:w="1296"/>
            <w:shd w:fill="F8FAFC"/>
            <w:tcMar>
              <w:top w:w="80" w:type="dxa"/>
              <w:start w:w="80" w:type="dxa"/>
              <w:bottom w:w="80" w:type="dxa"/>
              <w:end w:w="80" w:type="dxa"/>
            </w:tcMar>
            <w:vAlign w:val="top"/>
          </w:tcPr>
          <w:p>
            <w:pPr>
              <w:spacing w:after="0" w:line="240" w:lineRule="auto"/>
            </w:pPr>
            <w:r>
              <w:rPr>
                <w:sz w:val="17"/>
              </w:rPr>
              <w:t>10</w:t>
            </w:r>
          </w:p>
        </w:tc>
        <w:tc>
          <w:tcPr>
            <w:tcW w:type="dxa" w:w="4680"/>
            <w:shd w:fill="F8FAFC"/>
            <w:tcMar>
              <w:top w:w="80" w:type="dxa"/>
              <w:start w:w="80" w:type="dxa"/>
              <w:bottom w:w="80" w:type="dxa"/>
              <w:end w:w="80" w:type="dxa"/>
            </w:tcMar>
            <w:vAlign w:val="top"/>
          </w:tcPr>
          <w:p>
            <w:pPr>
              <w:spacing w:after="0" w:line="240" w:lineRule="auto"/>
            </w:pPr>
            <w:r>
              <w:rPr>
                <w:sz w:val="17"/>
              </w:rPr>
              <w:t>Engineering compatibility evidence.</w:t>
            </w:r>
          </w:p>
        </w:tc>
      </w:tr>
    </w:tbl>
    <w:p>
      <w:pPr>
        <w:spacing w:after="0"/>
        <w:widowControl/>
      </w:pPr>
    </w:p>
    <w:p>
      <w:pPr>
        <w:widowControl/>
      </w:pPr>
      <w:r>
        <w:t>These values are shadow-mode defaults, not final production constants. The policy must be versioned and calibrated against approved historical revisions.</w:t>
      </w:r>
    </w:p>
    <w:p>
      <w:pPr>
        <w:pStyle w:val="Heading2"/>
        <w:widowControl/>
      </w:pPr>
      <w:r>
        <w:t>9.4 Global one-to-one assignment</w:t>
      </w:r>
    </w:p>
    <w:p>
      <w:pPr>
        <w:widowControl/>
      </w:pPr>
      <w:r>
        <w:t>Per-node greedy claiming can produce order-dependent and globally inferior reuse. Within each connected candidate group, the matcher should calculate a maximum-weight one-to-one assignment after hard-conflict edges are removed.</w:t>
      </w:r>
    </w:p>
    <w:p>
      <w:pPr>
        <w:pStyle w:val="CodeBlock"/>
        <w:keepLines/>
        <w:shd w:fill="F2F2F2"/>
        <w:widowControl/>
      </w:pPr>
      <w:r>
        <w:t>Current A → Historic X = 95, Historic Y = 93</w:t>
        <w:br/>
        <w:t>Current B → Historic X = 94, Historic Y = 60</w:t>
        <w:br/>
        <w:br/>
        <w:t>Greedy A-first:  A→X, B unmatched</w:t>
        <w:br/>
        <w:t>Global optimum: A→Y, B→X</w:t>
      </w:r>
    </w:p>
    <w:p>
      <w:pPr>
        <w:widowControl/>
      </w:pPr>
      <w:r>
        <w:t>Automatic reuse requires:</w:t>
      </w:r>
    </w:p>
    <w:p>
      <w:pPr>
        <w:pStyle w:val="ListBullet"/>
        <w:spacing w:after="40"/>
        <w:widowControl/>
      </w:pPr>
      <w:r>
        <w:t>assignment score at or above the versioned threshold;</w:t>
      </w:r>
    </w:p>
    <w:p>
      <w:pPr>
        <w:pStyle w:val="ListBullet"/>
        <w:spacing w:after="40"/>
        <w:widowControl/>
      </w:pPr>
      <w:r>
        <w:t>assignment confidence/margin above the ambiguity threshold;</w:t>
      </w:r>
    </w:p>
    <w:p>
      <w:pPr>
        <w:pStyle w:val="ListBullet"/>
        <w:spacing w:after="40"/>
        <w:widowControl/>
      </w:pPr>
      <w:r>
        <w:t>no competing near-equivalent global assignment;</w:t>
      </w:r>
    </w:p>
    <w:p>
      <w:pPr>
        <w:pStyle w:val="ListBullet"/>
        <w:spacing w:after="40"/>
        <w:widowControl/>
      </w:pPr>
      <w:r>
        <w:t>no hard conflict;</w:t>
      </w:r>
    </w:p>
    <w:p>
      <w:pPr>
        <w:pStyle w:val="ListBullet"/>
        <w:spacing w:after="40"/>
        <w:widowControl/>
      </w:pPr>
      <w:r>
        <w:t>one current logical node and one historical node per accepted pair.</w:t>
      </w:r>
    </w:p>
    <w:p>
      <w:pPr>
        <w:pStyle w:val="Heading2"/>
        <w:widowControl/>
      </w:pPr>
      <w:r>
        <w:t>9.5 Lifecycle outcomes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024"/>
            <w:shd w:fill="1F3A5F"/>
            <w:tcMar>
              <w:top w:w="80" w:type="dxa"/>
              <w:start w:w="80" w:type="dxa"/>
              <w:bottom w:w="80" w:type="dxa"/>
              <w:end w:w="80" w:type="dxa"/>
            </w:tcMar>
            <w:vAlign w:val="center"/>
          </w:tcPr>
          <w:p>
            <w:pPr>
              <w:jc w:val="center"/>
            </w:pPr>
            <w:r>
              <w:rPr>
                <w:b/>
                <w:color w:val="FFFFFF"/>
                <w:sz w:val="18"/>
              </w:rPr>
              <w:t>Outcome</w:t>
            </w:r>
          </w:p>
        </w:tc>
        <w:tc>
          <w:tcPr>
            <w:tcW w:type="dxa" w:w="6336"/>
            <w:shd w:fill="1F3A5F"/>
            <w:tcMar>
              <w:top w:w="80" w:type="dxa"/>
              <w:start w:w="80" w:type="dxa"/>
              <w:bottom w:w="80" w:type="dxa"/>
              <w:end w:w="80" w:type="dxa"/>
            </w:tcMar>
            <w:vAlign w:val="center"/>
          </w:tcPr>
          <w:p>
            <w:pPr>
              <w:jc w:val="center"/>
            </w:pPr>
            <w:r>
              <w:rPr>
                <w:b/>
                <w:color w:val="FFFFFF"/>
                <w:sz w:val="18"/>
              </w:rPr>
              <w:t>V1 handling</w:t>
            </w:r>
          </w:p>
        </w:tc>
      </w:tr>
      <w:tr>
        <w:trPr>
          <w:cantSplit/>
        </w:trPr>
        <w:tc>
          <w:tcPr>
            <w:tcW w:type="dxa" w:w="3024"/>
            <w:tcMar>
              <w:top w:w="80" w:type="dxa"/>
              <w:start w:w="80" w:type="dxa"/>
              <w:bottom w:w="80" w:type="dxa"/>
              <w:end w:w="80" w:type="dxa"/>
            </w:tcMar>
            <w:vAlign w:val="top"/>
          </w:tcPr>
          <w:p>
            <w:pPr>
              <w:spacing w:after="0" w:line="240" w:lineRule="auto"/>
            </w:pPr>
            <w:r>
              <w:rPr>
                <w:sz w:val="18"/>
              </w:rPr>
              <w:t>HISTORY_CONTINUED</w:t>
            </w:r>
          </w:p>
        </w:tc>
        <w:tc>
          <w:tcPr>
            <w:tcW w:type="dxa" w:w="6336"/>
            <w:tcMar>
              <w:top w:w="80" w:type="dxa"/>
              <w:start w:w="80" w:type="dxa"/>
              <w:bottom w:w="80" w:type="dxa"/>
              <w:end w:w="80" w:type="dxa"/>
            </w:tcMar>
            <w:vAlign w:val="top"/>
          </w:tcPr>
          <w:p>
            <w:pPr>
              <w:spacing w:after="0" w:line="240" w:lineRule="auto"/>
            </w:pPr>
            <w:r>
              <w:rPr>
                <w:sz w:val="18"/>
              </w:rPr>
              <w:t>May be accepted automatically when evidence is strong and unambiguous.</w:t>
            </w:r>
          </w:p>
        </w:tc>
      </w:tr>
      <w:tr>
        <w:trPr>
          <w:cantSplit/>
        </w:trPr>
        <w:tc>
          <w:tcPr>
            <w:tcW w:type="dxa" w:w="3024"/>
            <w:shd w:fill="F8FAFC"/>
            <w:tcMar>
              <w:top w:w="80" w:type="dxa"/>
              <w:start w:w="80" w:type="dxa"/>
              <w:bottom w:w="80" w:type="dxa"/>
              <w:end w:w="80" w:type="dxa"/>
            </w:tcMar>
            <w:vAlign w:val="top"/>
          </w:tcPr>
          <w:p>
            <w:pPr>
              <w:spacing w:after="0" w:line="240" w:lineRule="auto"/>
            </w:pPr>
            <w:r>
              <w:rPr>
                <w:sz w:val="18"/>
              </w:rPr>
              <w:t>HISTORY_REACTIVATED</w:t>
            </w:r>
          </w:p>
        </w:tc>
        <w:tc>
          <w:tcPr>
            <w:tcW w:type="dxa" w:w="6336"/>
            <w:shd w:fill="F8FAFC"/>
            <w:tcMar>
              <w:top w:w="80" w:type="dxa"/>
              <w:start w:w="80" w:type="dxa"/>
              <w:bottom w:w="80" w:type="dxa"/>
              <w:end w:w="80" w:type="dxa"/>
            </w:tcMar>
            <w:vAlign w:val="top"/>
          </w:tcPr>
          <w:p>
            <w:pPr>
              <w:spacing w:after="0" w:line="240" w:lineRule="auto"/>
            </w:pPr>
            <w:r>
              <w:rPr>
                <w:sz w:val="18"/>
              </w:rPr>
              <w:t>Automatic only under strict identity and registration rules; otherwise review.</w:t>
            </w:r>
          </w:p>
        </w:tc>
      </w:tr>
      <w:tr>
        <w:trPr>
          <w:cantSplit/>
        </w:trPr>
        <w:tc>
          <w:tcPr>
            <w:tcW w:type="dxa" w:w="3024"/>
            <w:tcMar>
              <w:top w:w="80" w:type="dxa"/>
              <w:start w:w="80" w:type="dxa"/>
              <w:bottom w:w="80" w:type="dxa"/>
              <w:end w:w="80" w:type="dxa"/>
            </w:tcMar>
            <w:vAlign w:val="top"/>
          </w:tcPr>
          <w:p>
            <w:pPr>
              <w:spacing w:after="0" w:line="240" w:lineRule="auto"/>
            </w:pPr>
            <w:r>
              <w:rPr>
                <w:sz w:val="18"/>
              </w:rPr>
              <w:t>HISTORY_RETIRED</w:t>
            </w:r>
          </w:p>
        </w:tc>
        <w:tc>
          <w:tcPr>
            <w:tcW w:type="dxa" w:w="6336"/>
            <w:tcMar>
              <w:top w:w="80" w:type="dxa"/>
              <w:start w:w="80" w:type="dxa"/>
              <w:bottom w:w="80" w:type="dxa"/>
              <w:end w:w="80" w:type="dxa"/>
            </w:tcMar>
            <w:vAlign w:val="top"/>
          </w:tcPr>
          <w:p>
            <w:r>
              <w:t>Proposed only for authoritative FULL_LINE or FULL_ZONE coverage; never from PARTIAL_LINE input. Authoritative only after registry merge.</w:t>
            </w:r>
          </w:p>
        </w:tc>
      </w:tr>
      <w:tr>
        <w:trPr>
          <w:cantSplit/>
        </w:trPr>
        <w:tc>
          <w:tcPr>
            <w:tcW w:type="dxa" w:w="3024"/>
            <w:shd w:fill="F8FAFC"/>
            <w:tcMar>
              <w:top w:w="80" w:type="dxa"/>
              <w:start w:w="80" w:type="dxa"/>
              <w:bottom w:w="80" w:type="dxa"/>
              <w:end w:w="80" w:type="dxa"/>
            </w:tcMar>
            <w:vAlign w:val="top"/>
          </w:tcPr>
          <w:p>
            <w:pPr>
              <w:spacing w:after="0" w:line="240" w:lineRule="auto"/>
            </w:pPr>
            <w:r>
              <w:rPr>
                <w:sz w:val="18"/>
              </w:rPr>
              <w:t>HISTORY_SPLIT</w:t>
            </w:r>
          </w:p>
        </w:tc>
        <w:tc>
          <w:tcPr>
            <w:tcW w:type="dxa" w:w="6336"/>
            <w:shd w:fill="F8FAFC"/>
            <w:tcMar>
              <w:top w:w="80" w:type="dxa"/>
              <w:start w:w="80" w:type="dxa"/>
              <w:bottom w:w="80" w:type="dxa"/>
              <w:end w:w="80" w:type="dxa"/>
            </w:tcMar>
            <w:vAlign w:val="top"/>
          </w:tcPr>
          <w:p>
            <w:pPr>
              <w:spacing w:after="0" w:line="240" w:lineRule="auto"/>
            </w:pPr>
            <w:r>
              <w:rPr>
                <w:sz w:val="18"/>
              </w:rPr>
              <w:t>REVIEW_REQUIRED. One child may be proposed to retain the historic number.</w:t>
            </w:r>
          </w:p>
        </w:tc>
      </w:tr>
      <w:tr>
        <w:trPr>
          <w:cantSplit/>
        </w:trPr>
        <w:tc>
          <w:tcPr>
            <w:tcW w:type="dxa" w:w="3024"/>
            <w:tcMar>
              <w:top w:w="80" w:type="dxa"/>
              <w:start w:w="80" w:type="dxa"/>
              <w:bottom w:w="80" w:type="dxa"/>
              <w:end w:w="80" w:type="dxa"/>
            </w:tcMar>
            <w:vAlign w:val="top"/>
          </w:tcPr>
          <w:p>
            <w:pPr>
              <w:spacing w:after="0" w:line="240" w:lineRule="auto"/>
            </w:pPr>
            <w:r>
              <w:rPr>
                <w:sz w:val="18"/>
              </w:rPr>
              <w:t>HISTORY_MERGE</w:t>
            </w:r>
          </w:p>
        </w:tc>
        <w:tc>
          <w:tcPr>
            <w:tcW w:type="dxa" w:w="6336"/>
            <w:tcMar>
              <w:top w:w="80" w:type="dxa"/>
              <w:start w:w="80" w:type="dxa"/>
              <w:bottom w:w="80" w:type="dxa"/>
              <w:end w:w="80" w:type="dxa"/>
            </w:tcMar>
            <w:vAlign w:val="top"/>
          </w:tcPr>
          <w:p>
            <w:pPr>
              <w:spacing w:after="0" w:line="240" w:lineRule="auto"/>
            </w:pPr>
            <w:r>
              <w:rPr>
                <w:sz w:val="18"/>
              </w:rPr>
              <w:t>REVIEW_REQUIRED. Explicit survivor and retirement decision required.</w:t>
            </w:r>
          </w:p>
        </w:tc>
      </w:tr>
      <w:tr>
        <w:trPr>
          <w:cantSplit/>
        </w:trPr>
        <w:tc>
          <w:tcPr>
            <w:tcW w:type="dxa" w:w="3024"/>
            <w:shd w:fill="F8FAFC"/>
            <w:tcMar>
              <w:top w:w="80" w:type="dxa"/>
              <w:start w:w="80" w:type="dxa"/>
              <w:bottom w:w="80" w:type="dxa"/>
              <w:end w:w="80" w:type="dxa"/>
            </w:tcMar>
            <w:vAlign w:val="top"/>
          </w:tcPr>
          <w:p>
            <w:pPr>
              <w:spacing w:after="0" w:line="240" w:lineRule="auto"/>
            </w:pPr>
            <w:r>
              <w:rPr>
                <w:sz w:val="18"/>
              </w:rPr>
              <w:t>LINE_KEY_RENAMED</w:t>
            </w:r>
          </w:p>
        </w:tc>
        <w:tc>
          <w:tcPr>
            <w:tcW w:type="dxa" w:w="6336"/>
            <w:shd w:fill="F8FAFC"/>
            <w:tcMar>
              <w:top w:w="80" w:type="dxa"/>
              <w:start w:w="80" w:type="dxa"/>
              <w:bottom w:w="80" w:type="dxa"/>
              <w:end w:w="80" w:type="dxa"/>
            </w:tcMar>
            <w:vAlign w:val="top"/>
          </w:tcPr>
          <w:p>
            <w:pPr>
              <w:spacing w:after="0" w:line="240" w:lineRule="auto"/>
            </w:pPr>
            <w:r>
              <w:rPr>
                <w:sz w:val="18"/>
              </w:rPr>
              <w:t>Requires an approved alias/migration record.</w:t>
            </w:r>
          </w:p>
        </w:tc>
      </w:tr>
      <w:tr>
        <w:trPr>
          <w:cantSplit/>
        </w:trPr>
        <w:tc>
          <w:tcPr>
            <w:tcW w:type="dxa" w:w="3024"/>
            <w:tcMar>
              <w:top w:w="80" w:type="dxa"/>
              <w:start w:w="80" w:type="dxa"/>
              <w:bottom w:w="80" w:type="dxa"/>
              <w:end w:w="80" w:type="dxa"/>
            </w:tcMar>
            <w:vAlign w:val="top"/>
          </w:tcPr>
          <w:p>
            <w:pPr>
              <w:spacing w:after="0" w:line="240" w:lineRule="auto"/>
            </w:pPr>
            <w:r>
              <w:rPr>
                <w:sz w:val="18"/>
              </w:rPr>
              <w:t>ZONE_TRANSFER</w:t>
            </w:r>
          </w:p>
        </w:tc>
        <w:tc>
          <w:tcPr>
            <w:tcW w:type="dxa" w:w="6336"/>
            <w:tcMar>
              <w:top w:w="80" w:type="dxa"/>
              <w:start w:w="80" w:type="dxa"/>
              <w:bottom w:w="80" w:type="dxa"/>
              <w:end w:w="80" w:type="dxa"/>
            </w:tcMar>
            <w:vAlign w:val="top"/>
          </w:tcPr>
          <w:p>
            <w:pPr>
              <w:spacing w:after="0" w:line="240" w:lineRule="auto"/>
            </w:pPr>
            <w:r>
              <w:rPr>
                <w:sz w:val="18"/>
              </w:rPr>
              <w:t>Requires explicit engineering approval; no automatic carry-over.</w:t>
            </w:r>
          </w:p>
        </w:tc>
      </w:tr>
    </w:tbl>
    <w:p>
      <w:pPr>
        <w:spacing w:after="0"/>
        <w:widowControl/>
      </w:pPr>
    </w:p>
    <w:p>
      <w:pPr>
        <w:pStyle w:val="Heading2"/>
        <w:widowControl/>
      </w:pPr>
      <w:r>
        <w:t>9.6 Coordinate registration</w:t>
      </w:r>
    </w:p>
    <w:p>
      <w:pPr>
        <w:pStyle w:val="CodeBlock"/>
        <w:keepLines/>
        <w:shd w:fill="F2F2F2"/>
        <w:widowControl/>
      </w:pPr>
      <w:r>
        <w:t>NodeHistoryRegistration.v1</w:t>
        <w:br/>
        <w:t xml:space="preserve">  source frame + registry frame</w:t>
        <w:br/>
        <w:t xml:space="preserve">  units, axis convention, handedness</w:t>
        <w:br/>
        <w:t xml:space="preserve">  sourceToRegistryTransform (4×4)</w:t>
        <w:br/>
        <w:t xml:space="preserve">  registration authority</w:t>
        <w:br/>
        <w:t xml:space="preserve">  anchor history node IDs</w:t>
        <w:br/>
        <w:t xml:space="preserve">  maximum and RMS residual</w:t>
        <w:br/>
        <w:t xml:space="preserve">  transform hash</w:t>
        <w:br/>
        <w:t xml:space="preserve">  PASS | REVIEW_REQUIRED | BLOCKED</w:t>
      </w:r>
    </w:p>
    <w:p>
      <w:pPr>
        <w:widowControl/>
      </w:pPr>
      <w:r>
        <w:t>Raw source and registered comparison positions are both retained. Spatial scoring is disabled when the frame differs without a valid transform, anchors are insufficient, residual limits are exceeded, or scale/handedness is incompatible.</w:t>
      </w:r>
    </w:p>
    <w:p>
      <w:pPr>
        <w:pStyle w:val="Heading1"/>
        <w:widowControl/>
      </w:pPr>
      <w:r>
        <w:t>10. Node-range allocation</w:t>
      </w:r>
    </w:p>
    <w:p>
      <w:pPr>
        <w:pStyle w:val="Heading2"/>
        <w:widowControl/>
      </w:pPr>
      <w:r>
        <w:t>10.1 Lease model</w:t>
      </w:r>
    </w:p>
    <w:p>
      <w:pPr>
        <w:widowControl/>
      </w:pPr>
      <w:r>
        <w:t>Each main line owns one or more non-overlapping ranges within a project zone. A number belongs to the zone namespace and is allocated only to a logical/historical node owned by that line.</w:t>
      </w:r>
    </w:p>
    <w:p>
      <w:pPr>
        <w:pStyle w:val="CodeBlock"/>
        <w:keepLines/>
        <w:shd w:fill="F2F2F2"/>
        <w:widowControl/>
      </w:pPr>
      <w:r>
        <w:t>ZONE-A</w:t>
        <w:br/>
        <w:t xml:space="preserve">  /P101550 leases: 500–690</w:t>
        <w:br/>
        <w:t xml:space="preserve">  /P101551 leases: 700–790</w:t>
        <w:br/>
        <w:t xml:space="preserve">  /P101550 overflow: 900–990</w:t>
        <w:br/>
        <w:br/>
        <w:t>Node step: 10</w:t>
        <w:br/>
        <w:t>Zone uniqueness: enforced</w:t>
        <w:br/>
        <w:t>Retired-number recycling: disabled</w:t>
      </w:r>
    </w:p>
    <w:p>
      <w:pPr>
        <w:pStyle w:val="Heading2"/>
        <w:widowControl/>
      </w:pPr>
      <w:r>
        <w:t>10.2 Capacity and growth</w:t>
      </w:r>
    </w:p>
    <w:p>
      <w:pPr>
        <w:widowControl/>
      </w:pPr>
      <w:r>
        <w:t>Initial lease capacity is based on normalized logical-node count plus configurable reserve. When a line grows beyond its lease:</w:t>
      </w:r>
    </w:p>
    <w:p>
      <w:pPr>
        <w:spacing w:after="40"/>
        <w:ind w:left="374" w:hanging="288"/>
        <w:widowControl/>
      </w:pPr>
      <w:r>
        <w:t>1. Reuse existing free slots already owned by the line, in ascending node-number order.</w:t>
      </w:r>
    </w:p>
    <w:p>
      <w:pPr>
        <w:spacing w:after="40"/>
        <w:ind w:left="374" w:hanging="288"/>
        <w:widowControl/>
      </w:pPr>
      <w:r>
        <w:t>2. Extend into the immediately adjacent compliant free block when available.</w:t>
      </w:r>
    </w:p>
    <w:p>
      <w:pPr>
        <w:spacing w:after="40"/>
        <w:ind w:left="374" w:hanging="288"/>
        <w:widowControl/>
      </w:pPr>
      <w:r>
        <w:t>3. Otherwise allocate the lowest available compliant block in the zone.</w:t>
      </w:r>
    </w:p>
    <w:p>
      <w:pPr>
        <w:spacing w:after="40"/>
        <w:ind w:left="374" w:hanging="288"/>
        <w:widowControl/>
      </w:pPr>
      <w:r>
        <w:t>4. Never move, shrink, release, or renumber an existing lease automatically.</w:t>
      </w:r>
    </w:p>
    <w:p>
      <w:pPr/>
      <w:r>
        <w:t>5. Block when the configured maximum node number is exhausted.</w:t>
      </w:r>
    </w:p>
    <w:p>
      <w:pPr>
        <w:pStyle w:val="Heading2"/>
        <w:widowControl/>
      </w:pPr>
      <w:r>
        <w:t>10.3 Insertion semantics</w:t>
      </w: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FFF2CC"/>
            <w:tcMar>
              <w:top w:w="100" w:type="dxa"/>
              <w:start w:w="140" w:type="dxa"/>
              <w:bottom w:w="100" w:type="dxa"/>
              <w:end w:w="140" w:type="dxa"/>
            </w:tcMar>
          </w:tcPr>
          <w:p>
            <w:r>
              <w:rPr>
                <w:b/>
                <w:color w:val="1F3A5F"/>
                <w:sz w:val="21"/>
              </w:rPr>
              <w:t>Recommended rule</w:t>
            </w:r>
            <w:r>
              <w:br/>
              <w:t>Historical stability takes precedence over physical-order monotonicity. A new physical node inserted between historical nodes 500 and 510 may receive the next available leased number, for example 530.</w:t>
            </w:r>
          </w:p>
        </w:tc>
      </w:tr>
    </w:tbl>
    <w:p>
      <w:pPr>
        <w:spacing w:after="0"/>
        <w:widowControl/>
      </w:pPr>
    </w:p>
    <w:p>
      <w:pPr>
        <w:widowControl/>
      </w:pPr>
      <w:r>
        <w:t>This must be an explicit engineering decision because strict monotonic physical order and indefinite historical stability cannot both be guaranteed after arbitrary insertions.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168"/>
            <w:shd w:fill="1F3A5F"/>
            <w:tcMar>
              <w:top w:w="80" w:type="dxa"/>
              <w:start w:w="80" w:type="dxa"/>
              <w:bottom w:w="80" w:type="dxa"/>
              <w:end w:w="80" w:type="dxa"/>
            </w:tcMar>
            <w:vAlign w:val="center"/>
          </w:tcPr>
          <w:p>
            <w:pPr>
              <w:jc w:val="center"/>
            </w:pPr>
            <w:r>
              <w:rPr>
                <w:b/>
                <w:color w:val="FFFFFF"/>
                <w:sz w:val="18"/>
              </w:rPr>
              <w:t>Allocator policy item</w:t>
            </w:r>
          </w:p>
        </w:tc>
        <w:tc>
          <w:tcPr>
            <w:tcW w:type="dxa" w:w="6192"/>
            <w:shd w:fill="1F3A5F"/>
            <w:tcMar>
              <w:top w:w="80" w:type="dxa"/>
              <w:start w:w="80" w:type="dxa"/>
              <w:bottom w:w="80" w:type="dxa"/>
              <w:end w:w="80" w:type="dxa"/>
            </w:tcMar>
            <w:vAlign w:val="center"/>
          </w:tcPr>
          <w:p>
            <w:pPr>
              <w:jc w:val="center"/>
            </w:pPr>
            <w:r>
              <w:rPr>
                <w:b/>
                <w:color w:val="FFFFFF"/>
                <w:sz w:val="18"/>
              </w:rPr>
              <w:t>Recommended V1 rule</w:t>
            </w:r>
          </w:p>
        </w:tc>
      </w:tr>
      <w:tr>
        <w:trPr>
          <w:cantSplit/>
        </w:trPr>
        <w:tc>
          <w:tcPr>
            <w:tcW w:type="dxa" w:w="3168"/>
            <w:tcMar>
              <w:top w:w="80" w:type="dxa"/>
              <w:start w:w="80" w:type="dxa"/>
              <w:bottom w:w="80" w:type="dxa"/>
              <w:end w:w="80" w:type="dxa"/>
            </w:tcMar>
            <w:vAlign w:val="top"/>
          </w:tcPr>
          <w:p>
            <w:pPr>
              <w:spacing w:after="0" w:line="240" w:lineRule="auto"/>
            </w:pPr>
            <w:r>
              <w:rPr>
                <w:sz w:val="18"/>
              </w:rPr>
              <w:t>Number step</w:t>
            </w:r>
          </w:p>
        </w:tc>
        <w:tc>
          <w:tcPr>
            <w:tcW w:type="dxa" w:w="6192"/>
            <w:tcMar>
              <w:top w:w="80" w:type="dxa"/>
              <w:start w:w="80" w:type="dxa"/>
              <w:bottom w:w="80" w:type="dxa"/>
              <w:end w:w="80" w:type="dxa"/>
            </w:tcMar>
            <w:vAlign w:val="top"/>
          </w:tcPr>
          <w:p>
            <w:pPr>
              <w:spacing w:after="0" w:line="240" w:lineRule="auto"/>
            </w:pPr>
            <w:r>
              <w:rPr>
                <w:sz w:val="18"/>
              </w:rPr>
              <w:t>10</w:t>
            </w:r>
          </w:p>
        </w:tc>
      </w:tr>
      <w:tr>
        <w:trPr>
          <w:cantSplit/>
        </w:trPr>
        <w:tc>
          <w:tcPr>
            <w:tcW w:type="dxa" w:w="3168"/>
            <w:shd w:fill="F8FAFC"/>
            <w:tcMar>
              <w:top w:w="80" w:type="dxa"/>
              <w:start w:w="80" w:type="dxa"/>
              <w:bottom w:w="80" w:type="dxa"/>
              <w:end w:w="80" w:type="dxa"/>
            </w:tcMar>
            <w:vAlign w:val="top"/>
          </w:tcPr>
          <w:p>
            <w:pPr>
              <w:spacing w:after="0" w:line="240" w:lineRule="auto"/>
            </w:pPr>
            <w:r>
              <w:rPr>
                <w:sz w:val="18"/>
              </w:rPr>
              <w:t>Minimum / maximum</w:t>
            </w:r>
          </w:p>
        </w:tc>
        <w:tc>
          <w:tcPr>
            <w:tcW w:type="dxa" w:w="6192"/>
            <w:shd w:fill="F8FAFC"/>
            <w:tcMar>
              <w:top w:w="80" w:type="dxa"/>
              <w:start w:w="80" w:type="dxa"/>
              <w:bottom w:w="80" w:type="dxa"/>
              <w:end w:w="80" w:type="dxa"/>
            </w:tcMar>
            <w:vAlign w:val="top"/>
          </w:tcPr>
          <w:p>
            <w:pPr>
              <w:spacing w:after="0" w:line="240" w:lineRule="auto"/>
            </w:pPr>
            <w:r>
              <w:rPr>
                <w:sz w:val="18"/>
              </w:rPr>
              <w:t>Required project configuration; no implicit guess.</w:t>
            </w:r>
          </w:p>
        </w:tc>
      </w:tr>
      <w:tr>
        <w:trPr>
          <w:cantSplit/>
        </w:trPr>
        <w:tc>
          <w:tcPr>
            <w:tcW w:type="dxa" w:w="3168"/>
            <w:tcMar>
              <w:top w:w="80" w:type="dxa"/>
              <w:start w:w="80" w:type="dxa"/>
              <w:bottom w:w="80" w:type="dxa"/>
              <w:end w:w="80" w:type="dxa"/>
            </w:tcMar>
            <w:vAlign w:val="top"/>
          </w:tcPr>
          <w:p>
            <w:pPr>
              <w:spacing w:after="0" w:line="240" w:lineRule="auto"/>
            </w:pPr>
            <w:r>
              <w:rPr>
                <w:sz w:val="18"/>
              </w:rPr>
              <w:t>Reserved numbers</w:t>
            </w:r>
          </w:p>
        </w:tc>
        <w:tc>
          <w:tcPr>
            <w:tcW w:type="dxa" w:w="6192"/>
            <w:tcMar>
              <w:top w:w="80" w:type="dxa"/>
              <w:start w:w="80" w:type="dxa"/>
              <w:bottom w:w="80" w:type="dxa"/>
              <w:end w:w="80" w:type="dxa"/>
            </w:tcMar>
            <w:vAlign w:val="top"/>
          </w:tcPr>
          <w:p>
            <w:pPr>
              <w:spacing w:after="0" w:line="240" w:lineRule="auto"/>
            </w:pPr>
            <w:r>
              <w:rPr>
                <w:sz w:val="18"/>
              </w:rPr>
              <w:t>Explicit list in zone policy.</w:t>
            </w:r>
          </w:p>
        </w:tc>
      </w:tr>
      <w:tr>
        <w:trPr>
          <w:cantSplit/>
        </w:trPr>
        <w:tc>
          <w:tcPr>
            <w:tcW w:type="dxa" w:w="3168"/>
            <w:shd w:fill="F8FAFC"/>
            <w:tcMar>
              <w:top w:w="80" w:type="dxa"/>
              <w:start w:w="80" w:type="dxa"/>
              <w:bottom w:w="80" w:type="dxa"/>
              <w:end w:w="80" w:type="dxa"/>
            </w:tcMar>
            <w:vAlign w:val="top"/>
          </w:tcPr>
          <w:p>
            <w:pPr>
              <w:spacing w:after="0" w:line="240" w:lineRule="auto"/>
            </w:pPr>
            <w:r>
              <w:rPr>
                <w:sz w:val="18"/>
              </w:rPr>
              <w:t>Retired number reuse</w:t>
            </w:r>
          </w:p>
        </w:tc>
        <w:tc>
          <w:tcPr>
            <w:tcW w:type="dxa" w:w="6192"/>
            <w:shd w:fill="F8FAFC"/>
            <w:tcMar>
              <w:top w:w="80" w:type="dxa"/>
              <w:start w:w="80" w:type="dxa"/>
              <w:bottom w:w="80" w:type="dxa"/>
              <w:end w:w="80" w:type="dxa"/>
            </w:tcMar>
            <w:vAlign w:val="top"/>
          </w:tcPr>
          <w:p>
            <w:pPr>
              <w:spacing w:after="0" w:line="240" w:lineRule="auto"/>
            </w:pPr>
            <w:r>
              <w:rPr>
                <w:sz w:val="18"/>
              </w:rPr>
              <w:t>Disabled.</w:t>
            </w:r>
          </w:p>
        </w:tc>
      </w:tr>
      <w:tr>
        <w:trPr>
          <w:cantSplit/>
        </w:trPr>
        <w:tc>
          <w:tcPr>
            <w:tcW w:type="dxa" w:w="3168"/>
            <w:tcMar>
              <w:top w:w="80" w:type="dxa"/>
              <w:start w:w="80" w:type="dxa"/>
              <w:bottom w:w="80" w:type="dxa"/>
              <w:end w:w="80" w:type="dxa"/>
            </w:tcMar>
            <w:vAlign w:val="top"/>
          </w:tcPr>
          <w:p>
            <w:pPr>
              <w:spacing w:after="0" w:line="240" w:lineRule="auto"/>
            </w:pPr>
            <w:r>
              <w:rPr>
                <w:sz w:val="18"/>
              </w:rPr>
              <w:t>Non-contiguous leases</w:t>
            </w:r>
          </w:p>
        </w:tc>
        <w:tc>
          <w:tcPr>
            <w:tcW w:type="dxa" w:w="6192"/>
            <w:tcMar>
              <w:top w:w="80" w:type="dxa"/>
              <w:start w:w="80" w:type="dxa"/>
              <w:bottom w:w="80" w:type="dxa"/>
              <w:end w:w="80" w:type="dxa"/>
            </w:tcMar>
            <w:vAlign w:val="top"/>
          </w:tcPr>
          <w:p>
            <w:pPr>
              <w:spacing w:after="0" w:line="240" w:lineRule="auto"/>
            </w:pPr>
            <w:r>
              <w:rPr>
                <w:sz w:val="18"/>
              </w:rPr>
              <w:t>Allowed if downstream PSI/CII consumers accept them.</w:t>
            </w:r>
          </w:p>
        </w:tc>
      </w:tr>
      <w:tr>
        <w:trPr>
          <w:cantSplit/>
        </w:trPr>
        <w:tc>
          <w:tcPr>
            <w:tcW w:type="dxa" w:w="3168"/>
            <w:shd w:fill="F8FAFC"/>
            <w:tcMar>
              <w:top w:w="80" w:type="dxa"/>
              <w:start w:w="80" w:type="dxa"/>
              <w:bottom w:w="80" w:type="dxa"/>
              <w:end w:w="80" w:type="dxa"/>
            </w:tcMar>
            <w:vAlign w:val="top"/>
          </w:tcPr>
          <w:p>
            <w:pPr>
              <w:spacing w:after="0" w:line="240" w:lineRule="auto"/>
            </w:pPr>
            <w:r>
              <w:rPr>
                <w:sz w:val="18"/>
              </w:rPr>
              <w:t>Lease shrink/release</w:t>
            </w:r>
          </w:p>
        </w:tc>
        <w:tc>
          <w:tcPr>
            <w:tcW w:type="dxa" w:w="6192"/>
            <w:shd w:fill="F8FAFC"/>
            <w:tcMar>
              <w:top w:w="80" w:type="dxa"/>
              <w:start w:w="80" w:type="dxa"/>
              <w:bottom w:w="80" w:type="dxa"/>
              <w:end w:w="80" w:type="dxa"/>
            </w:tcMar>
            <w:vAlign w:val="top"/>
          </w:tcPr>
          <w:p>
            <w:pPr>
              <w:spacing w:after="0" w:line="240" w:lineRule="auto"/>
            </w:pPr>
            <w:r>
              <w:rPr>
                <w:sz w:val="18"/>
              </w:rPr>
              <w:t>Not automatic in V1.</w:t>
            </w:r>
          </w:p>
        </w:tc>
      </w:tr>
      <w:tr>
        <w:trPr>
          <w:cantSplit/>
        </w:trPr>
        <w:tc>
          <w:tcPr>
            <w:tcW w:type="dxa" w:w="3168"/>
            <w:tcMar>
              <w:top w:w="80" w:type="dxa"/>
              <w:start w:w="80" w:type="dxa"/>
              <w:bottom w:w="80" w:type="dxa"/>
              <w:end w:w="80" w:type="dxa"/>
            </w:tcMar>
            <w:vAlign w:val="top"/>
          </w:tcPr>
          <w:p>
            <w:pPr>
              <w:spacing w:after="0" w:line="240" w:lineRule="auto"/>
            </w:pPr>
            <w:r>
              <w:rPr>
                <w:sz w:val="18"/>
              </w:rPr>
              <w:t>Abandoned blocks</w:t>
            </w:r>
          </w:p>
        </w:tc>
        <w:tc>
          <w:tcPr>
            <w:tcW w:type="dxa" w:w="6192"/>
            <w:tcMar>
              <w:top w:w="80" w:type="dxa"/>
              <w:start w:w="80" w:type="dxa"/>
              <w:bottom w:w="80" w:type="dxa"/>
              <w:end w:w="80" w:type="dxa"/>
            </w:tcMar>
            <w:vAlign w:val="top"/>
          </w:tcPr>
          <w:p>
            <w:pPr>
              <w:spacing w:after="0" w:line="240" w:lineRule="auto"/>
            </w:pPr>
            <w:r>
              <w:rPr>
                <w:sz w:val="18"/>
              </w:rPr>
              <w:t>Remain reserved until explicit registry maintenance.</w:t>
            </w:r>
          </w:p>
        </w:tc>
      </w:tr>
      <w:tr>
        <w:trPr>
          <w:cantSplit/>
        </w:trPr>
        <w:tc>
          <w:tcPr>
            <w:tcW w:type="dxa" w:w="4831"/>
            <w:vAlign w:val="center"/>
          </w:tcPr>
          <w:p>
            <w:r/>
            <w:r>
              <w:rPr>
                <w:b/>
              </w:rPr>
              <w:t>Numbering origin</w:t>
            </w:r>
          </w:p>
        </w:tc>
        <w:tc>
          <w:tcPr>
            <w:tcW w:type="dxa" w:w="4831"/>
            <w:vAlign w:val="center"/>
          </w:tcPr>
          <w:p>
            <w:r/>
            <w:r>
              <w:rPr>
                <w:b w:val="0"/>
              </w:rPr>
              <w:t>Required configuration used for step-alignment validation.</w:t>
            </w:r>
          </w:p>
        </w:tc>
      </w:tr>
      <w:tr>
        <w:trPr>
          <w:cantSplit/>
        </w:trPr>
        <w:tc>
          <w:tcPr>
            <w:tcW w:type="dxa" w:w="4831"/>
            <w:vAlign w:val="center"/>
          </w:tcPr>
          <w:p>
            <w:r/>
            <w:r>
              <w:rPr>
                <w:b/>
              </w:rPr>
              <w:t>Reserved ranges</w:t>
            </w:r>
          </w:p>
        </w:tc>
        <w:tc>
          <w:tcPr>
            <w:tcW w:type="dxa" w:w="4831"/>
            <w:vAlign w:val="center"/>
          </w:tcPr>
          <w:p>
            <w:r/>
            <w:r>
              <w:rPr>
                <w:b w:val="0"/>
              </w:rPr>
              <w:t>Explicit start/end/reason records; never eligible for allocation.</w:t>
            </w:r>
          </w:p>
        </w:tc>
      </w:tr>
      <w:tr>
        <w:trPr>
          <w:cantSplit/>
        </w:trPr>
        <w:tc>
          <w:tcPr>
            <w:tcW w:type="dxa" w:w="4831"/>
            <w:vAlign w:val="center"/>
          </w:tcPr>
          <w:p>
            <w:r/>
            <w:r>
              <w:rPr>
                <w:b/>
              </w:rPr>
              <w:t>Free-slot order</w:t>
            </w:r>
          </w:p>
        </w:tc>
        <w:tc>
          <w:tcPr>
            <w:tcW w:type="dxa" w:w="4831"/>
            <w:vAlign w:val="center"/>
          </w:tcPr>
          <w:p>
            <w:r/>
            <w:r>
              <w:rPr>
                <w:b w:val="0"/>
              </w:rPr>
              <w:t>Ascending within existing owned leases.</w:t>
            </w:r>
          </w:p>
        </w:tc>
      </w:tr>
      <w:tr>
        <w:trPr>
          <w:cantSplit/>
        </w:trPr>
        <w:tc>
          <w:tcPr>
            <w:tcW w:type="dxa" w:w="4831"/>
            <w:vAlign w:val="center"/>
          </w:tcPr>
          <w:p>
            <w:r/>
            <w:r>
              <w:rPr>
                <w:b/>
              </w:rPr>
              <w:t>Overflow block order</w:t>
            </w:r>
          </w:p>
        </w:tc>
        <w:tc>
          <w:tcPr>
            <w:tcW w:type="dxa" w:w="4831"/>
            <w:vAlign w:val="center"/>
          </w:tcPr>
          <w:p>
            <w:r/>
            <w:r>
              <w:rPr>
                <w:b w:val="0"/>
              </w:rPr>
              <w:t>Adjacent block first, otherwise lowest available compliant block.</w:t>
            </w:r>
          </w:p>
        </w:tc>
      </w:tr>
    </w:tbl>
    <w:p>
      <w:pPr>
        <w:spacing w:after="0"/>
        <w:widowControl/>
      </w:pPr>
    </w:p>
    <w:p>
      <w:pPr>
        <w:pStyle w:val="Heading1"/>
        <w:widowControl/>
      </w:pPr>
      <w:r>
        <w:t>11. GitHub registry and transaction model</w:t>
      </w:r>
    </w:p>
    <w:p>
      <w:pPr>
        <w:pStyle w:val="Heading2"/>
        <w:widowControl/>
      </w:pPr>
      <w:r>
        <w:t>11.1 Repository layout</w:t>
      </w:r>
    </w:p>
    <w:p>
      <w:pPr>
        <w:pStyle w:val="CodeBlock"/>
        <w:keepLines/>
        <w:shd w:fill="F2F2F2"/>
        <w:widowControl/>
      </w:pPr>
      <w:r>
        <w:t>node-history/</w:t>
        <w:br/>
        <w:t xml:space="preserve">  schemas/</w:t>
        <w:br/>
        <w:t xml:space="preserve">    psi-node-zone-manifest.schema.json</w:t>
        <w:br/>
        <w:t xml:space="preserve">    psi-node-zone-registry.schema.json</w:t>
        <w:br/>
        <w:t xml:space="preserve">    psi-node-line-history.schema.json</w:t>
        <w:br/>
        <w:t xml:space="preserve">    psi-node-preprocess-audit.schema.json</w:t>
        <w:br/>
        <w:br/>
        <w:t xml:space="preserve">  projects/PROJECT-001/zones/ZONE-A/</w:t>
        <w:br/>
        <w:t xml:space="preserve">    manifest.json</w:t>
        <w:br/>
        <w:t xml:space="preserve">    pool.json</w:t>
        <w:br/>
        <w:t xml:space="preserve">    lines/</w:t>
        <w:br/>
        <w:t xml:space="preserve">      P101550.json</w:t>
        <w:br/>
        <w:t xml:space="preserve">      P101551.json</w:t>
        <w:br/>
        <w:t xml:space="preserve">    runs/</w:t>
        <w:br/>
        <w:t xml:space="preserve">      RUN-20260719-8a71f923.json</w:t>
      </w:r>
    </w:p>
    <w:p>
      <w:pPr>
        <w:pStyle w:val="Heading2"/>
        <w:widowControl/>
      </w:pPr>
      <w:r>
        <w:t>11.2 Zone snapshot manifest</w:t>
      </w:r>
    </w:p>
    <w:p>
      <w:pPr>
        <w:pStyle w:val="CodeBlock"/>
        <w:keepLines/>
        <w:shd w:fill="F2F2F2"/>
        <w:widowControl/>
      </w:pPr>
      <w:r>
        <w:t>{</w:t>
        <w:br/>
        <w:t xml:space="preserve">  schema: "PsiNodeZoneManifest.v1",</w:t>
        <w:br/>
        <w:t xml:space="preserve">  projectId: "PROJECT-001",</w:t>
        <w:br/>
        <w:t xml:space="preserve">  zoneId: "ZONE-A",</w:t>
        <w:br/>
        <w:t xml:space="preserve">  revision: 12,</w:t>
        <w:br/>
        <w:t xml:space="preserve">  baseRegistryCommit: "&lt;git-sha&gt;",</w:t>
        <w:br/>
        <w:t xml:space="preserve">  poolHash: "sha256:...",</w:t>
        <w:br/>
        <w:t xml:space="preserve">  lineHistoryHashes: {</w:t>
        <w:br/>
        <w:t xml:space="preserve">    "/P101550": "sha256:...",</w:t>
        <w:br/>
        <w:t xml:space="preserve">    "/P101551": "sha256:..."</w:t>
        <w:br/>
        <w:t xml:space="preserve">  },</w:t>
        <w:br/>
        <w:t xml:space="preserve">  policyHash: "sha256:...",</w:t>
        <w:br/>
        <w:t xml:space="preserve">  schemaVersions: {</w:t>
        <w:br/>
        <w:t xml:space="preserve">    manifest: 1,</w:t>
        <w:br/>
        <w:t xml:space="preserve">    pool: 1,</w:t>
        <w:br/>
        <w:t xml:space="preserve">    lineHistory: 1</w:t>
        <w:br/>
        <w:t xml:space="preserve">  },</w:t>
        <w:br/>
        <w:t xml:space="preserve">  snapshotHash: "sha256:..."</w:t>
        <w:br/>
        <w:t>}</w:t>
      </w:r>
    </w:p>
    <w:p>
      <w:pPr>
        <w:pStyle w:val="CodeBlock"/>
      </w:pPr>
      <w:r>
        <w:t>registrySnapshotHash = hash({</w:t>
        <w:br/>
        <w:t xml:space="preserve">  poolHash,</w:t>
        <w:br/>
        <w:t xml:space="preserve">  sortedLineHistoryHashes,</w:t>
        <w:br/>
        <w:t xml:space="preserve">  policyHash,</w:t>
        <w:br/>
        <w:t xml:space="preserve">  schemaVersions</w:t>
        <w:br/>
        <w:t>})</w:t>
      </w:r>
    </w:p>
    <w:p>
      <w:pPr>
        <w:pStyle w:val="Heading2"/>
        <w:widowControl/>
      </w:pPr>
      <w:r>
        <w:t>11.3 Transaction flow</w:t>
      </w:r>
    </w:p>
    <w:p>
      <w:pPr>
        <w:spacing w:after="40"/>
        <w:ind w:left="374" w:hanging="288"/>
        <w:widowControl/>
      </w:pPr>
      <w:r>
        <w:rPr>
          <w:b/>
        </w:rPr>
        <w:t xml:space="preserve">1. </w:t>
      </w:r>
      <w:r>
        <w:t>Load the current zone manifest, pool and affected line histories.</w:t>
      </w:r>
    </w:p>
    <w:p>
      <w:pPr>
        <w:spacing w:after="40"/>
        <w:ind w:left="374" w:hanging="288"/>
        <w:widowControl/>
      </w:pPr>
      <w:r>
        <w:rPr>
          <w:b/>
        </w:rPr>
        <w:t xml:space="preserve">2. </w:t>
      </w:r>
      <w:r>
        <w:t>Run preprocessing against the base zone snapshot hash.</w:t>
      </w:r>
    </w:p>
    <w:p>
      <w:pPr>
        <w:spacing w:after="40"/>
        <w:ind w:left="374" w:hanging="288"/>
        <w:widowControl/>
      </w:pPr>
      <w:r>
        <w:rPr>
          <w:b/>
        </w:rPr>
        <w:t xml:space="preserve">3. </w:t>
      </w:r>
      <w:r>
        <w:t>Produce proposed pool/line files, a new manifest and an immutable run audit.</w:t>
      </w:r>
    </w:p>
    <w:p>
      <w:pPr>
        <w:spacing w:after="40"/>
        <w:ind w:left="374" w:hanging="288"/>
        <w:widowControl/>
      </w:pPr>
      <w:r>
        <w:rPr>
          <w:b/>
        </w:rPr>
        <w:t xml:space="preserve">4. </w:t>
      </w:r>
      <w:r>
        <w:t>Open a pull request containing the complete zone transaction.</w:t>
      </w:r>
    </w:p>
    <w:p>
      <w:pPr>
        <w:spacing w:after="40"/>
        <w:ind w:left="374" w:hanging="288"/>
        <w:widowControl/>
      </w:pPr>
      <w:r>
        <w:rPr>
          <w:b/>
        </w:rPr>
        <w:t xml:space="preserve">5. </w:t>
      </w:r>
      <w:r>
        <w:t>At merge time, validate against the current target branch and recalculate the zone snapshot.</w:t>
      </w:r>
    </w:p>
    <w:p>
      <w:pPr>
        <w:spacing w:after="40"/>
        <w:ind w:left="374" w:hanging="288"/>
        <w:widowControl/>
      </w:pPr>
      <w:r>
        <w:rPr>
          <w:b/>
        </w:rPr>
        <w:t xml:space="preserve">6. </w:t>
      </w:r>
      <w:r>
        <w:t>Reject or deterministically rebase a stale proposal; do not allow a stale-base override.</w:t>
      </w:r>
    </w:p>
    <w:p>
      <w:pPr>
        <w:spacing w:after="40"/>
        <w:ind w:left="374" w:hanging="288"/>
        <w:widowControl/>
      </w:pPr>
      <w:r>
        <w:rPr>
          <w:b/>
        </w:rPr>
        <w:t xml:space="preserve">7. </w:t>
      </w:r>
      <w:r>
        <w:t>Merge atomically. The merge commit becomes the authoritative registry revision.</w:t>
      </w:r>
    </w:p>
    <w:p>
      <w:pPr>
        <w:widowControl/>
      </w:pPr>
      <w:r>
        <w:t>Required repository controls:</w:t>
      </w:r>
    </w:p>
    <w:p>
      <w:pPr>
        <w:pStyle w:val="ListBullet"/>
        <w:spacing w:after="40"/>
        <w:widowControl/>
      </w:pPr>
      <w:r>
        <w:t>zone-level merge queue or lock;</w:t>
      </w:r>
    </w:p>
    <w:p>
      <w:pPr>
        <w:pStyle w:val="ListBullet"/>
        <w:spacing w:after="40"/>
        <w:widowControl/>
      </w:pPr>
      <w:r>
        <w:t>current-target validation immediately before merge;</w:t>
      </w:r>
    </w:p>
    <w:p>
      <w:pPr>
        <w:pStyle w:val="ListBullet"/>
        <w:spacing w:after="40"/>
        <w:widowControl/>
      </w:pPr>
      <w:r>
        <w:t>no overlapping leases or duplicate active numbers;</w:t>
      </w:r>
    </w:p>
    <w:p>
      <w:pPr>
        <w:pStyle w:val="ListBullet"/>
        <w:spacing w:after="40"/>
        <w:widowControl/>
      </w:pPr>
      <w:r>
        <w:t>every reused number backed by accepted evidence;</w:t>
      </w:r>
    </w:p>
    <w:p>
      <w:pPr>
        <w:pStyle w:val="ListBullet"/>
        <w:spacing w:after="40"/>
        <w:widowControl/>
      </w:pPr>
      <w:r>
        <w:t>every collapse backed by an audit disposition;</w:t>
      </w:r>
    </w:p>
    <w:p>
      <w:pPr>
        <w:pStyle w:val="ListBullet"/>
        <w:spacing w:after="40"/>
        <w:widowControl/>
      </w:pPr>
      <w:r>
        <w:t>registry and run hashes reproduced in CI;</w:t>
      </w:r>
    </w:p>
    <w:p>
      <w:pPr>
        <w:pStyle w:val="ListBullet"/>
        <w:spacing w:after="40"/>
        <w:widowControl/>
      </w:pPr>
      <w:r>
        <w:t>no direct browser write to the protected branch.</w:t>
      </w:r>
    </w:p>
    <w:p>
      <w:pPr>
        <w:pStyle w:val="Heading2"/>
        <w:widowControl/>
      </w:pPr>
      <w:r>
        <w:t>11.4 History ID generation</w:t>
      </w:r>
    </w:p>
    <w:p>
      <w:pPr>
        <w:widowControl/>
      </w:pPr>
      <w:r>
        <w:t>Existing history IDs remain immutable. New history IDs are deterministically proposed from transaction identity rather than coordinates or mutable topology fingerprints:</w:t>
      </w:r>
    </w:p>
    <w:p>
      <w:pPr>
        <w:pStyle w:val="CodeBlock"/>
        <w:keepLines/>
        <w:shd w:fill="F2F2F2"/>
        <w:widowControl/>
      </w:pPr>
      <w:r>
        <w:t>HN-&lt;sha256(project | zone | baseSnapshotHash | runId | allocationOrdinal)[0:16]&gt;</w:t>
      </w:r>
    </w:p>
    <w:p>
      <w:pPr>
        <w:widowControl/>
      </w:pPr>
      <w:r>
        <w:t>CI checks collision-free uniqueness. Once merged, the history ID is permanent even when position or topology changes.</w:t>
      </w:r>
    </w:p>
    <w:p>
      <w:pPr>
        <w:pStyle w:val="Heading1"/>
        <w:widowControl/>
      </w:pPr>
      <w:r>
        <w:t>12. Writer integration and parity</w:t>
      </w:r>
    </w:p>
    <w:p>
      <w:pPr>
        <w:pStyle w:val="Heading2"/>
        <w:widowControl/>
      </w:pPr>
      <w:r>
        <w:t>12.1 Shared serializer behaviour</w:t>
      </w:r>
    </w:p>
    <w:p>
      <w:pPr>
        <w:pStyle w:val="CodeBlock"/>
      </w:pPr>
      <w:r>
        <w:t>CanonicalBranchProjection.v1 ─┐</w:t>
        <w:br/>
        <w:t xml:space="preserve">                              ├─→ buildEnrichedXml({ branchProjection, nodePlan, config, evaluatedAt })</w:t>
        <w:br/>
        <w:t>SequentialBranchProjection.v1 ┘</w:t>
      </w:r>
    </w:p>
    <w:p>
      <w:pPr>
        <w:pStyle w:val="ListBullet"/>
        <w:spacing w:after="40"/>
        <w:widowControl/>
      </w:pPr>
      <w:r>
        <w:t>No writer-owned node counter.</w:t>
      </w:r>
    </w:p>
    <w:p>
      <w:pPr>
        <w:pStyle w:val="ListBullet"/>
        <w:spacing w:after="40"/>
        <w:widowControl/>
      </w:pPr>
      <w:r>
        <w:t>No start-number plus offset inference.</w:t>
      </w:r>
    </w:p>
    <w:p>
      <w:pPr>
        <w:pStyle w:val="ListBullet"/>
        <w:spacing w:after="40"/>
        <w:widowControl/>
      </w:pPr>
      <w:r>
        <w:t>No mutation of source records with writer-generated node numbers.</w:t>
      </w:r>
    </w:p>
    <w:p>
      <w:pPr>
        <w:pStyle w:val="ListBullet"/>
        <w:spacing w:after="40"/>
        <w:widowControl/>
      </w:pPr>
      <w:r>
        <w:t>No fallback allocation when a plan entry is absent.</w:t>
      </w:r>
    </w:p>
    <w:p>
      <w:pPr>
        <w:pStyle w:val="ListBullet"/>
        <w:spacing w:after="40"/>
        <w:widowControl/>
      </w:pPr>
      <w:r>
        <w:t>Every emitted node resolves to a plan entry and a component projection.</w:t>
      </w:r>
    </w:p>
    <w:p>
      <w:pPr>
        <w:pStyle w:val="ListBullet"/>
        <w:spacing w:after="40"/>
        <w:widowControl/>
      </w:pPr>
      <w:r>
        <w:t>Canonical and sequential writers expose the same nodePlanHash in their output audit.</w:t>
      </w:r>
    </w:p>
    <w:p>
      <w:pPr>
        <w:pStyle w:val="Heading2"/>
        <w:widowControl/>
      </w:pPr>
      <w:r>
        <w:t>12.2 Required writer parity</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096"/>
            <w:shd w:fill="1F3A5F"/>
            <w:tcMar>
              <w:top w:w="80" w:type="dxa"/>
              <w:start w:w="80" w:type="dxa"/>
              <w:bottom w:w="80" w:type="dxa"/>
              <w:end w:w="80" w:type="dxa"/>
            </w:tcMar>
            <w:vAlign w:val="center"/>
          </w:tcPr>
          <w:p>
            <w:pPr>
              <w:jc w:val="center"/>
            </w:pPr>
            <w:r>
              <w:rPr>
                <w:b/>
                <w:color w:val="FFFFFF"/>
                <w:sz w:val="18"/>
              </w:rPr>
              <w:t>Parity dimension</w:t>
            </w:r>
          </w:p>
        </w:tc>
        <w:tc>
          <w:tcPr>
            <w:tcW w:type="dxa" w:w="6264"/>
            <w:shd w:fill="1F3A5F"/>
            <w:tcMar>
              <w:top w:w="80" w:type="dxa"/>
              <w:start w:w="80" w:type="dxa"/>
              <w:bottom w:w="80" w:type="dxa"/>
              <w:end w:w="80" w:type="dxa"/>
            </w:tcMar>
            <w:vAlign w:val="center"/>
          </w:tcPr>
          <w:p>
            <w:pPr>
              <w:jc w:val="center"/>
            </w:pPr>
            <w:r>
              <w:rPr>
                <w:b/>
                <w:color w:val="FFFFFF"/>
                <w:sz w:val="18"/>
              </w:rPr>
              <w:t>Required result</w:t>
            </w:r>
          </w:p>
        </w:tc>
      </w:tr>
      <w:tr>
        <w:trPr>
          <w:cantSplit/>
        </w:trPr>
        <w:tc>
          <w:tcPr>
            <w:tcW w:type="dxa" w:w="3096"/>
            <w:tcMar>
              <w:top w:w="80" w:type="dxa"/>
              <w:start w:w="80" w:type="dxa"/>
              <w:bottom w:w="80" w:type="dxa"/>
              <w:end w:w="80" w:type="dxa"/>
            </w:tcMar>
            <w:vAlign w:val="top"/>
          </w:tcPr>
          <w:p>
            <w:pPr>
              <w:spacing w:after="0" w:line="240" w:lineRule="auto"/>
            </w:pPr>
            <w:r>
              <w:rPr>
                <w:sz w:val="18"/>
              </w:rPr>
              <w:t>Logical node identity</w:t>
            </w:r>
          </w:p>
        </w:tc>
        <w:tc>
          <w:tcPr>
            <w:tcW w:type="dxa" w:w="6264"/>
            <w:tcMar>
              <w:top w:w="80" w:type="dxa"/>
              <w:start w:w="80" w:type="dxa"/>
              <w:bottom w:w="80" w:type="dxa"/>
              <w:end w:w="80" w:type="dxa"/>
            </w:tcMar>
            <w:vAlign w:val="top"/>
          </w:tcPr>
          <w:p>
            <w:pPr>
              <w:spacing w:after="0" w:line="240" w:lineRule="auto"/>
            </w:pPr>
            <w:r>
              <w:rPr>
                <w:sz w:val="18"/>
              </w:rPr>
              <w:t>Exact equality.</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Emitted node cardinality</w:t>
            </w:r>
          </w:p>
        </w:tc>
        <w:tc>
          <w:tcPr>
            <w:tcW w:type="dxa" w:w="6264"/>
            <w:shd w:fill="F8FAFC"/>
            <w:tcMar>
              <w:top w:w="80" w:type="dxa"/>
              <w:start w:w="80" w:type="dxa"/>
              <w:bottom w:w="80" w:type="dxa"/>
              <w:end w:w="80" w:type="dxa"/>
            </w:tcMar>
            <w:vAlign w:val="top"/>
          </w:tcPr>
          <w:p>
            <w:pPr>
              <w:spacing w:after="0" w:line="240" w:lineRule="auto"/>
            </w:pPr>
            <w:r>
              <w:rPr>
                <w:sz w:val="18"/>
              </w:rPr>
              <w:t>Exact equality.</w:t>
            </w:r>
          </w:p>
        </w:tc>
      </w:tr>
      <w:tr>
        <w:trPr>
          <w:cantSplit/>
        </w:trPr>
        <w:tc>
          <w:tcPr>
            <w:tcW w:type="dxa" w:w="3096"/>
            <w:tcMar>
              <w:top w:w="80" w:type="dxa"/>
              <w:start w:w="80" w:type="dxa"/>
              <w:bottom w:w="80" w:type="dxa"/>
              <w:end w:w="80" w:type="dxa"/>
            </w:tcMar>
            <w:vAlign w:val="top"/>
          </w:tcPr>
          <w:p>
            <w:pPr>
              <w:spacing w:after="0" w:line="240" w:lineRule="auto"/>
            </w:pPr>
            <w:r>
              <w:rPr>
                <w:sz w:val="18"/>
              </w:rPr>
              <w:t>Engineering node numbers</w:t>
            </w:r>
          </w:p>
        </w:tc>
        <w:tc>
          <w:tcPr>
            <w:tcW w:type="dxa" w:w="6264"/>
            <w:tcMar>
              <w:top w:w="80" w:type="dxa"/>
              <w:start w:w="80" w:type="dxa"/>
              <w:bottom w:w="80" w:type="dxa"/>
              <w:end w:w="80" w:type="dxa"/>
            </w:tcMar>
            <w:vAlign w:val="top"/>
          </w:tcPr>
          <w:p>
            <w:pPr>
              <w:spacing w:after="0" w:line="240" w:lineRule="auto"/>
            </w:pPr>
            <w:r>
              <w:rPr>
                <w:sz w:val="18"/>
              </w:rPr>
              <w:t>Exact equality.</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Component projection</w:t>
            </w:r>
          </w:p>
        </w:tc>
        <w:tc>
          <w:tcPr>
            <w:tcW w:type="dxa" w:w="6264"/>
            <w:shd w:fill="F8FAFC"/>
            <w:tcMar>
              <w:top w:w="80" w:type="dxa"/>
              <w:start w:w="80" w:type="dxa"/>
              <w:bottom w:w="80" w:type="dxa"/>
              <w:end w:w="80" w:type="dxa"/>
            </w:tcMar>
            <w:vAlign w:val="top"/>
          </w:tcPr>
          <w:p>
            <w:pPr>
              <w:spacing w:after="0" w:line="240" w:lineRule="auto"/>
            </w:pPr>
            <w:r>
              <w:rPr>
                <w:sz w:val="18"/>
              </w:rPr>
              <w:t>Equivalent component-to-writer-node mapping.</w:t>
            </w:r>
          </w:p>
        </w:tc>
      </w:tr>
      <w:tr>
        <w:trPr>
          <w:cantSplit/>
        </w:trPr>
        <w:tc>
          <w:tcPr>
            <w:tcW w:type="dxa" w:w="3096"/>
            <w:tcMar>
              <w:top w:w="80" w:type="dxa"/>
              <w:start w:w="80" w:type="dxa"/>
              <w:bottom w:w="80" w:type="dxa"/>
              <w:end w:w="80" w:type="dxa"/>
            </w:tcMar>
            <w:vAlign w:val="top"/>
          </w:tcPr>
          <w:p>
            <w:pPr>
              <w:spacing w:after="0" w:line="240" w:lineRule="auto"/>
            </w:pPr>
            <w:r>
              <w:rPr>
                <w:sz w:val="18"/>
              </w:rPr>
              <w:t>Branch conditions</w:t>
            </w:r>
          </w:p>
        </w:tc>
        <w:tc>
          <w:tcPr>
            <w:tcW w:type="dxa" w:w="6264"/>
            <w:tcMar>
              <w:top w:w="80" w:type="dxa"/>
              <w:start w:w="80" w:type="dxa"/>
              <w:bottom w:w="80" w:type="dxa"/>
              <w:end w:w="80" w:type="dxa"/>
            </w:tcMar>
            <w:vAlign w:val="top"/>
          </w:tcPr>
          <w:p>
            <w:pPr>
              <w:spacing w:after="0" w:line="240" w:lineRule="auto"/>
            </w:pPr>
            <w:r>
              <w:rPr>
                <w:sz w:val="18"/>
              </w:rPr>
              <w:t>Exact or policy-governed equivalence.</w:t>
            </w:r>
          </w:p>
        </w:tc>
      </w:tr>
      <w:tr>
        <w:trPr>
          <w:cantSplit/>
        </w:trPr>
        <w:tc>
          <w:tcPr>
            <w:tcW w:type="dxa" w:w="3096"/>
            <w:shd w:fill="F8FAFC"/>
            <w:tcMar>
              <w:top w:w="80" w:type="dxa"/>
              <w:start w:w="80" w:type="dxa"/>
              <w:bottom w:w="80" w:type="dxa"/>
              <w:end w:w="80" w:type="dxa"/>
            </w:tcMar>
            <w:vAlign w:val="top"/>
          </w:tcPr>
          <w:p>
            <w:pPr>
              <w:spacing w:after="0" w:line="240" w:lineRule="auto"/>
            </w:pPr>
            <w:r>
              <w:rPr>
                <w:sz w:val="18"/>
              </w:rPr>
              <w:t>Source ancestry</w:t>
            </w:r>
          </w:p>
        </w:tc>
        <w:tc>
          <w:tcPr>
            <w:tcW w:type="dxa" w:w="6264"/>
            <w:shd w:fill="F8FAFC"/>
            <w:tcMar>
              <w:top w:w="80" w:type="dxa"/>
              <w:start w:w="80" w:type="dxa"/>
              <w:bottom w:w="80" w:type="dxa"/>
              <w:end w:w="80" w:type="dxa"/>
            </w:tcMar>
            <w:vAlign w:val="top"/>
          </w:tcPr>
          <w:p>
            <w:pPr>
              <w:spacing w:after="0" w:line="240" w:lineRule="auto"/>
            </w:pPr>
            <w:r>
              <w:rPr>
                <w:sz w:val="18"/>
              </w:rPr>
              <w:t>Every emitted node and component trace resolves to the same source evidence.</w:t>
            </w:r>
          </w:p>
        </w:tc>
      </w:tr>
      <w:tr>
        <w:trPr>
          <w:cantSplit/>
        </w:trPr>
        <w:tc>
          <w:tcPr>
            <w:tcW w:type="dxa" w:w="3096"/>
            <w:tcMar>
              <w:top w:w="80" w:type="dxa"/>
              <w:start w:w="80" w:type="dxa"/>
              <w:bottom w:w="80" w:type="dxa"/>
              <w:end w:w="80" w:type="dxa"/>
            </w:tcMar>
            <w:vAlign w:val="top"/>
          </w:tcPr>
          <w:p>
            <w:pPr>
              <w:spacing w:after="0" w:line="240" w:lineRule="auto"/>
            </w:pPr>
            <w:r>
              <w:rPr>
                <w:sz w:val="18"/>
              </w:rPr>
              <w:t>Writer sequence</w:t>
            </w:r>
          </w:p>
        </w:tc>
        <w:tc>
          <w:tcPr>
            <w:tcW w:type="dxa" w:w="6264"/>
            <w:tcMar>
              <w:top w:w="80" w:type="dxa"/>
              <w:start w:w="80" w:type="dxa"/>
              <w:bottom w:w="80" w:type="dxa"/>
              <w:end w:w="80" w:type="dxa"/>
            </w:tcMar>
            <w:vAlign w:val="top"/>
          </w:tcPr>
          <w:p>
            <w:pPr>
              <w:spacing w:after="0" w:line="240" w:lineRule="auto"/>
            </w:pPr>
            <w:r>
              <w:rPr>
                <w:sz w:val="18"/>
              </w:rPr>
              <w:t>May differ only where explicitly permitted by writer mode; numbering identity may not differ.</w:t>
            </w:r>
          </w:p>
        </w:tc>
      </w:tr>
    </w:tbl>
    <w:p>
      <w:pPr>
        <w:spacing w:after="0"/>
        <w:widowControl/>
      </w:pP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FCE4D6"/>
            <w:tcMar>
              <w:top w:w="100" w:type="dxa"/>
              <w:start w:w="140" w:type="dxa"/>
              <w:bottom w:w="100" w:type="dxa"/>
              <w:end w:w="140" w:type="dxa"/>
            </w:tcMar>
          </w:tcPr>
          <w:p>
            <w:r>
              <w:rPr>
                <w:b/>
                <w:color w:val="1F3A5F"/>
                <w:sz w:val="21"/>
              </w:rPr>
              <w:t>Selection invariant</w:t>
            </w:r>
            <w:r>
              <w:br/>
              <w:t>A canonical/sequential numbering difference is a blocker, not a warning. Writer selection is prohibited when numberingEquivalent is false.</w:t>
            </w:r>
          </w:p>
        </w:tc>
      </w:tr>
    </w:tbl>
    <w:p>
      <w:pPr>
        <w:spacing w:after="0"/>
        <w:widowControl/>
      </w:pPr>
    </w:p>
    <w:p>
      <w:pPr>
        <w:pStyle w:val="Heading2"/>
      </w:pPr>
      <w:r>
        <w:t>12.3 Shared logical-node serialization decision</w:t>
      </w:r>
    </w:p>
    <w:p>
      <w:pPr/>
      <w:r>
        <w:t>Before enforcement, the PSI-116 and XML-to-CII contracts must prove whether two component endpoint occurrences that reference one logical engineering node are serialized as repeated NodeNumber occurrences or as one owning occurrence. Until approved benchmark and converter tests establish the rule, the condition is a production blocker: PSI_SHARED_NODE_SERIALIZATION_UNRESOLVED.</w:t>
      </w:r>
    </w:p>
    <w:p>
      <w:pPr>
        <w:pStyle w:val="CodeBlock"/>
      </w:pPr>
      <w:r>
        <w:t>Required parity blockers:</w:t>
        <w:br/>
        <w:t xml:space="preserve">  NODE_PLAN_HASH_MISMATCH</w:t>
        <w:br/>
        <w:t xml:space="preserve">  NODE_PLAN_OCCURRENCE_MISSING</w:t>
        <w:br/>
        <w:t xml:space="preserve">  NODE_NUMBER_MISMATCH</w:t>
        <w:br/>
        <w:t xml:space="preserve">  DUPLICATE_ACTIVE_NODE_NUMBER</w:t>
        <w:br/>
        <w:t xml:space="preserve">  UNPLANNED_WRITER_NODE</w:t>
        <w:br/>
        <w:t xml:space="preserve">  WRITER_SIDE_ALLOCATION_DETECTED</w:t>
        <w:br/>
        <w:t xml:space="preserve">  STALE_SEQUENCE_PLAN</w:t>
        <w:br/>
        <w:t xml:space="preserve">  STALE_SOURCE_HASH</w:t>
        <w:br/>
        <w:t xml:space="preserve">  STALE_TOPOLOGY_HASH</w:t>
        <w:br/>
        <w:br/>
        <w:t>Required metrics:</w:t>
        <w:br/>
        <w:t xml:space="preserve">  canonical node-plan coverage = 100%</w:t>
        <w:br/>
        <w:t xml:space="preserve">  sequential node-plan coverage = 100%</w:t>
        <w:br/>
        <w:t xml:space="preserve">  unplanned allocations = 0</w:t>
        <w:br/>
        <w:t xml:space="preserve">  writer-side allocations = 0</w:t>
      </w:r>
    </w:p>
    <w:p>
      <w:pPr>
        <w:pStyle w:val="Heading1"/>
        <w:widowControl/>
      </w:pPr>
      <w:r>
        <w:t>13. Status and production gate model</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1800"/>
            <w:shd w:fill="1F3A5F"/>
            <w:tcMar>
              <w:top w:w="80" w:type="dxa"/>
              <w:start w:w="80" w:type="dxa"/>
              <w:bottom w:w="80" w:type="dxa"/>
              <w:end w:w="80" w:type="dxa"/>
            </w:tcMar>
            <w:vAlign w:val="center"/>
          </w:tcPr>
          <w:p>
            <w:pPr>
              <w:jc w:val="center"/>
            </w:pPr>
            <w:r>
              <w:rPr>
                <w:b/>
                <w:color w:val="FFFFFF"/>
                <w:sz w:val="17"/>
              </w:rPr>
              <w:t>Status</w:t>
            </w:r>
          </w:p>
        </w:tc>
        <w:tc>
          <w:tcPr>
            <w:tcW w:type="dxa" w:w="4536"/>
            <w:shd w:fill="1F3A5F"/>
            <w:tcMar>
              <w:top w:w="80" w:type="dxa"/>
              <w:start w:w="80" w:type="dxa"/>
              <w:bottom w:w="80" w:type="dxa"/>
              <w:end w:w="80" w:type="dxa"/>
            </w:tcMar>
            <w:vAlign w:val="center"/>
          </w:tcPr>
          <w:p>
            <w:pPr>
              <w:jc w:val="center"/>
            </w:pPr>
            <w:r>
              <w:rPr>
                <w:b/>
                <w:color w:val="FFFFFF"/>
                <w:sz w:val="17"/>
              </w:rPr>
              <w:t>Meaning</w:t>
            </w:r>
          </w:p>
        </w:tc>
        <w:tc>
          <w:tcPr>
            <w:tcW w:type="dxa" w:w="3312"/>
            <w:shd w:fill="1F3A5F"/>
            <w:tcMar>
              <w:top w:w="80" w:type="dxa"/>
              <w:start w:w="80" w:type="dxa"/>
              <w:bottom w:w="80" w:type="dxa"/>
              <w:end w:w="80" w:type="dxa"/>
            </w:tcMar>
            <w:vAlign w:val="center"/>
          </w:tcPr>
          <w:p>
            <w:pPr>
              <w:jc w:val="center"/>
            </w:pPr>
            <w:r>
              <w:rPr>
                <w:b/>
                <w:color w:val="FFFFFF"/>
                <w:sz w:val="17"/>
              </w:rPr>
              <w:t>Writer effect</w:t>
            </w:r>
          </w:p>
        </w:tc>
      </w:tr>
      <w:tr>
        <w:trPr>
          <w:cantSplit/>
        </w:trPr>
        <w:tc>
          <w:tcPr>
            <w:tcW w:type="dxa" w:w="1800"/>
            <w:tcMar>
              <w:top w:w="80" w:type="dxa"/>
              <w:start w:w="80" w:type="dxa"/>
              <w:bottom w:w="80" w:type="dxa"/>
              <w:end w:w="80" w:type="dxa"/>
            </w:tcMar>
            <w:vAlign w:val="top"/>
          </w:tcPr>
          <w:p>
            <w:pPr>
              <w:spacing w:after="0" w:line="240" w:lineRule="auto"/>
            </w:pPr>
            <w:r>
              <w:rPr>
                <w:sz w:val="17"/>
              </w:rPr>
              <w:t>PASS</w:t>
            </w:r>
          </w:p>
        </w:tc>
        <w:tc>
          <w:tcPr>
            <w:tcW w:type="dxa" w:w="4536"/>
            <w:tcMar>
              <w:top w:w="80" w:type="dxa"/>
              <w:start w:w="80" w:type="dxa"/>
              <w:bottom w:w="80" w:type="dxa"/>
              <w:end w:w="80" w:type="dxa"/>
            </w:tcMar>
            <w:vAlign w:val="top"/>
          </w:tcPr>
          <w:p>
            <w:pPr>
              <w:spacing w:after="0" w:line="240" w:lineRule="auto"/>
            </w:pPr>
            <w:r>
              <w:rPr>
                <w:sz w:val="17"/>
              </w:rPr>
              <w:t>No unresolved engineering or registry condition.</w:t>
            </w:r>
          </w:p>
        </w:tc>
        <w:tc>
          <w:tcPr>
            <w:tcW w:type="dxa" w:w="3312"/>
            <w:tcMar>
              <w:top w:w="80" w:type="dxa"/>
              <w:start w:w="80" w:type="dxa"/>
              <w:bottom w:w="80" w:type="dxa"/>
              <w:end w:w="80" w:type="dxa"/>
            </w:tcMar>
            <w:vAlign w:val="top"/>
          </w:tcPr>
          <w:p>
            <w:pPr>
              <w:spacing w:after="0" w:line="240" w:lineRule="auto"/>
            </w:pPr>
            <w:r>
              <w:rPr>
                <w:sz w:val="17"/>
              </w:rPr>
              <w:t>Writer may proceed if all other assurance gates pass.</w:t>
            </w:r>
          </w:p>
        </w:tc>
      </w:tr>
      <w:tr>
        <w:trPr>
          <w:cantSplit/>
        </w:trPr>
        <w:tc>
          <w:tcPr>
            <w:tcW w:type="dxa" w:w="1800"/>
            <w:shd w:fill="F8FAFC"/>
            <w:tcMar>
              <w:top w:w="80" w:type="dxa"/>
              <w:start w:w="80" w:type="dxa"/>
              <w:bottom w:w="80" w:type="dxa"/>
              <w:end w:w="80" w:type="dxa"/>
            </w:tcMar>
            <w:vAlign w:val="top"/>
          </w:tcPr>
          <w:p>
            <w:pPr>
              <w:spacing w:after="0" w:line="240" w:lineRule="auto"/>
            </w:pPr>
            <w:r>
              <w:rPr>
                <w:sz w:val="17"/>
              </w:rPr>
              <w:t>REVIEW_REQUIRED</w:t>
            </w:r>
          </w:p>
        </w:tc>
        <w:tc>
          <w:tcPr>
            <w:tcW w:type="dxa" w:w="4536"/>
            <w:shd w:fill="F8FAFC"/>
            <w:tcMar>
              <w:top w:w="80" w:type="dxa"/>
              <w:start w:w="80" w:type="dxa"/>
              <w:bottom w:w="80" w:type="dxa"/>
              <w:end w:w="80" w:type="dxa"/>
            </w:tcMar>
            <w:vAlign w:val="top"/>
          </w:tcPr>
          <w:p>
            <w:pPr>
              <w:spacing w:after="0" w:line="240" w:lineRule="auto"/>
            </w:pPr>
            <w:r>
              <w:rPr>
                <w:sz w:val="17"/>
              </w:rPr>
              <w:t>A controlled engineering decision is unresolved, such as split, merge, ambiguous history or line alias.</w:t>
            </w:r>
          </w:p>
        </w:tc>
        <w:tc>
          <w:tcPr>
            <w:tcW w:type="dxa" w:w="3312"/>
            <w:shd w:fill="F8FAFC"/>
            <w:tcMar>
              <w:top w:w="80" w:type="dxa"/>
              <w:start w:w="80" w:type="dxa"/>
              <w:bottom w:w="80" w:type="dxa"/>
              <w:end w:w="80" w:type="dxa"/>
            </w:tcMar>
            <w:vAlign w:val="top"/>
          </w:tcPr>
          <w:p>
            <w:pPr>
              <w:spacing w:after="0" w:line="240" w:lineRule="auto"/>
            </w:pPr>
            <w:r>
              <w:rPr>
                <w:sz w:val="17"/>
              </w:rPr>
              <w:t>Shadow output may be generated; production selection is blocked unless an explicit approved override exists.</w:t>
            </w:r>
          </w:p>
        </w:tc>
      </w:tr>
      <w:tr>
        <w:trPr>
          <w:cantSplit/>
        </w:trPr>
        <w:tc>
          <w:tcPr>
            <w:tcW w:type="dxa" w:w="1800"/>
            <w:tcMar>
              <w:top w:w="80" w:type="dxa"/>
              <w:start w:w="80" w:type="dxa"/>
              <w:bottom w:w="80" w:type="dxa"/>
              <w:end w:w="80" w:type="dxa"/>
            </w:tcMar>
            <w:vAlign w:val="top"/>
          </w:tcPr>
          <w:p>
            <w:pPr>
              <w:spacing w:after="0" w:line="240" w:lineRule="auto"/>
            </w:pPr>
            <w:r>
              <w:rPr>
                <w:sz w:val="17"/>
              </w:rPr>
              <w:t>BLOCKED</w:t>
            </w:r>
          </w:p>
        </w:tc>
        <w:tc>
          <w:tcPr>
            <w:tcW w:type="dxa" w:w="4536"/>
            <w:tcMar>
              <w:top w:w="80" w:type="dxa"/>
              <w:start w:w="80" w:type="dxa"/>
              <w:bottom w:w="80" w:type="dxa"/>
              <w:end w:w="80" w:type="dxa"/>
            </w:tcMar>
            <w:vAlign w:val="top"/>
          </w:tcPr>
          <w:p>
            <w:pPr>
              <w:spacing w:after="0" w:line="240" w:lineRule="auto"/>
            </w:pPr>
            <w:r>
              <w:rPr>
                <w:sz w:val="17"/>
              </w:rPr>
              <w:t>Unsafe or internally inconsistent condition, such as conflicting history collapse, missing allocation or stale registry.</w:t>
            </w:r>
          </w:p>
        </w:tc>
        <w:tc>
          <w:tcPr>
            <w:tcW w:type="dxa" w:w="3312"/>
            <w:tcMar>
              <w:top w:w="80" w:type="dxa"/>
              <w:start w:w="80" w:type="dxa"/>
              <w:bottom w:w="80" w:type="dxa"/>
              <w:end w:w="80" w:type="dxa"/>
            </w:tcMar>
            <w:vAlign w:val="top"/>
          </w:tcPr>
          <w:p>
            <w:pPr>
              <w:spacing w:after="0" w:line="240" w:lineRule="auto"/>
            </w:pPr>
            <w:r>
              <w:rPr>
                <w:sz w:val="17"/>
              </w:rPr>
              <w:t>No production XML generation/selection.</w:t>
            </w:r>
          </w:p>
        </w:tc>
      </w:tr>
    </w:tbl>
    <w:p>
      <w:pPr>
        <w:spacing w:after="0"/>
        <w:widowControl/>
      </w:pPr>
    </w:p>
    <w:p>
      <w:pPr>
        <w:widowControl/>
      </w:pPr>
      <w:r>
        <w:t>Typical classifications: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7416"/>
            <w:shd w:fill="1F3A5F"/>
            <w:tcMar>
              <w:top w:w="80" w:type="dxa"/>
              <w:start w:w="80" w:type="dxa"/>
              <w:bottom w:w="80" w:type="dxa"/>
              <w:end w:w="80" w:type="dxa"/>
            </w:tcMar>
            <w:vAlign w:val="center"/>
          </w:tcPr>
          <w:p>
            <w:pPr>
              <w:jc w:val="center"/>
            </w:pPr>
            <w:r>
              <w:rPr>
                <w:b/>
                <w:color w:val="FFFFFF"/>
                <w:sz w:val="18"/>
              </w:rPr>
              <w:t>Condition</w:t>
            </w:r>
          </w:p>
        </w:tc>
        <w:tc>
          <w:tcPr>
            <w:tcW w:type="dxa" w:w="2232"/>
            <w:shd w:fill="1F3A5F"/>
            <w:tcMar>
              <w:top w:w="80" w:type="dxa"/>
              <w:start w:w="80" w:type="dxa"/>
              <w:bottom w:w="80" w:type="dxa"/>
              <w:end w:w="80" w:type="dxa"/>
            </w:tcMar>
            <w:vAlign w:val="center"/>
          </w:tcPr>
          <w:p>
            <w:pPr>
              <w:jc w:val="center"/>
            </w:pPr>
            <w:r>
              <w:rPr>
                <w:b/>
                <w:color w:val="FFFFFF"/>
                <w:sz w:val="18"/>
              </w:rPr>
              <w:t>Status</w:t>
            </w:r>
          </w:p>
        </w:tc>
      </w:tr>
      <w:tr>
        <w:trPr>
          <w:cantSplit/>
        </w:trPr>
        <w:tc>
          <w:tcPr>
            <w:tcW w:type="dxa" w:w="7416"/>
            <w:tcMar>
              <w:top w:w="80" w:type="dxa"/>
              <w:start w:w="80" w:type="dxa"/>
              <w:bottom w:w="80" w:type="dxa"/>
              <w:end w:w="80" w:type="dxa"/>
            </w:tcMar>
            <w:vAlign w:val="top"/>
          </w:tcPr>
          <w:p>
            <w:pPr>
              <w:spacing w:after="0" w:line="240" w:lineRule="auto"/>
            </w:pPr>
            <w:r>
              <w:rPr>
                <w:sz w:val="18"/>
              </w:rPr>
              <w:t>Unmatched new node with available lease capacity</w:t>
            </w:r>
          </w:p>
        </w:tc>
        <w:tc>
          <w:tcPr>
            <w:tcW w:type="dxa" w:w="2232"/>
            <w:tcMar>
              <w:top w:w="80" w:type="dxa"/>
              <w:start w:w="80" w:type="dxa"/>
              <w:bottom w:w="80" w:type="dxa"/>
              <w:end w:w="80" w:type="dxa"/>
            </w:tcMar>
            <w:vAlign w:val="top"/>
          </w:tcPr>
          <w:p>
            <w:pPr>
              <w:spacing w:after="0" w:line="240" w:lineRule="auto"/>
            </w:pPr>
            <w:r>
              <w:rPr>
                <w:sz w:val="18"/>
              </w:rPr>
              <w:t>PASS</w:t>
            </w:r>
          </w:p>
        </w:tc>
      </w:tr>
      <w:tr>
        <w:trPr>
          <w:cantSplit/>
        </w:trPr>
        <w:tc>
          <w:tcPr>
            <w:tcW w:type="dxa" w:w="7416"/>
            <w:shd w:fill="F8FAFC"/>
            <w:tcMar>
              <w:top w:w="80" w:type="dxa"/>
              <w:start w:w="80" w:type="dxa"/>
              <w:bottom w:w="80" w:type="dxa"/>
              <w:end w:w="80" w:type="dxa"/>
            </w:tcMar>
            <w:vAlign w:val="top"/>
          </w:tcPr>
          <w:p>
            <w:pPr>
              <w:spacing w:after="0" w:line="240" w:lineRule="auto"/>
            </w:pPr>
            <w:r>
              <w:rPr>
                <w:sz w:val="18"/>
              </w:rPr>
              <w:t>Strong, unambiguous history continuation</w:t>
            </w:r>
          </w:p>
        </w:tc>
        <w:tc>
          <w:tcPr>
            <w:tcW w:type="dxa" w:w="2232"/>
            <w:shd w:fill="F8FAFC"/>
            <w:tcMar>
              <w:top w:w="80" w:type="dxa"/>
              <w:start w:w="80" w:type="dxa"/>
              <w:bottom w:w="80" w:type="dxa"/>
              <w:end w:w="80" w:type="dxa"/>
            </w:tcMar>
            <w:vAlign w:val="top"/>
          </w:tcPr>
          <w:p>
            <w:pPr>
              <w:spacing w:after="0" w:line="240" w:lineRule="auto"/>
            </w:pPr>
            <w:r>
              <w:rPr>
                <w:sz w:val="18"/>
              </w:rPr>
              <w:t>PASS</w:t>
            </w:r>
          </w:p>
        </w:tc>
      </w:tr>
      <w:tr>
        <w:trPr>
          <w:cantSplit/>
        </w:trPr>
        <w:tc>
          <w:tcPr>
            <w:tcW w:type="dxa" w:w="7416"/>
            <w:tcMar>
              <w:top w:w="80" w:type="dxa"/>
              <w:start w:w="80" w:type="dxa"/>
              <w:bottom w:w="80" w:type="dxa"/>
              <w:end w:w="80" w:type="dxa"/>
            </w:tcMar>
            <w:vAlign w:val="top"/>
          </w:tcPr>
          <w:p>
            <w:pPr>
              <w:spacing w:after="0" w:line="240" w:lineRule="auto"/>
            </w:pPr>
            <w:r>
              <w:rPr>
                <w:sz w:val="18"/>
              </w:rPr>
              <w:t>Ambiguous historical candidates</w:t>
            </w:r>
          </w:p>
        </w:tc>
        <w:tc>
          <w:tcPr>
            <w:tcW w:type="dxa" w:w="2232"/>
            <w:tcMar>
              <w:top w:w="80" w:type="dxa"/>
              <w:start w:w="80" w:type="dxa"/>
              <w:bottom w:w="80" w:type="dxa"/>
              <w:end w:w="80" w:type="dxa"/>
            </w:tcMar>
            <w:vAlign w:val="top"/>
          </w:tcPr>
          <w:p>
            <w:pPr>
              <w:spacing w:after="0" w:line="240" w:lineRule="auto"/>
            </w:pPr>
            <w:r>
              <w:rPr>
                <w:sz w:val="18"/>
              </w:rPr>
              <w:t>REVIEW_REQUIRED</w:t>
            </w:r>
          </w:p>
        </w:tc>
      </w:tr>
      <w:tr>
        <w:trPr>
          <w:cantSplit/>
        </w:trPr>
        <w:tc>
          <w:tcPr>
            <w:tcW w:type="dxa" w:w="7416"/>
            <w:shd w:fill="F8FAFC"/>
            <w:tcMar>
              <w:top w:w="80" w:type="dxa"/>
              <w:start w:w="80" w:type="dxa"/>
              <w:bottom w:w="80" w:type="dxa"/>
              <w:end w:w="80" w:type="dxa"/>
            </w:tcMar>
            <w:vAlign w:val="top"/>
          </w:tcPr>
          <w:p>
            <w:pPr>
              <w:spacing w:after="0" w:line="240" w:lineRule="auto"/>
            </w:pPr>
            <w:r>
              <w:rPr>
                <w:sz w:val="18"/>
              </w:rPr>
              <w:t>Historical split or merge</w:t>
            </w:r>
          </w:p>
        </w:tc>
        <w:tc>
          <w:tcPr>
            <w:tcW w:type="dxa" w:w="2232"/>
            <w:shd w:fill="F8FAFC"/>
            <w:tcMar>
              <w:top w:w="80" w:type="dxa"/>
              <w:start w:w="80" w:type="dxa"/>
              <w:bottom w:w="80" w:type="dxa"/>
              <w:end w:w="80" w:type="dxa"/>
            </w:tcMar>
            <w:vAlign w:val="top"/>
          </w:tcPr>
          <w:p>
            <w:pPr>
              <w:spacing w:after="0" w:line="240" w:lineRule="auto"/>
            </w:pPr>
            <w:r>
              <w:rPr>
                <w:sz w:val="18"/>
              </w:rPr>
              <w:t>REVIEW_REQUIRED</w:t>
            </w:r>
          </w:p>
        </w:tc>
      </w:tr>
      <w:tr>
        <w:trPr>
          <w:cantSplit/>
        </w:trPr>
        <w:tc>
          <w:tcPr>
            <w:tcW w:type="dxa" w:w="7416"/>
            <w:tcMar>
              <w:top w:w="80" w:type="dxa"/>
              <w:start w:w="80" w:type="dxa"/>
              <w:bottom w:w="80" w:type="dxa"/>
              <w:end w:w="80" w:type="dxa"/>
            </w:tcMar>
            <w:vAlign w:val="top"/>
          </w:tcPr>
          <w:p>
            <w:pPr>
              <w:spacing w:after="0" w:line="240" w:lineRule="auto"/>
            </w:pPr>
            <w:r>
              <w:rPr>
                <w:sz w:val="18"/>
              </w:rPr>
              <w:t>Different historical identities proposed for one micro-cluster</w:t>
            </w:r>
          </w:p>
        </w:tc>
        <w:tc>
          <w:tcPr>
            <w:tcW w:type="dxa" w:w="2232"/>
            <w:tcMar>
              <w:top w:w="80" w:type="dxa"/>
              <w:start w:w="80" w:type="dxa"/>
              <w:bottom w:w="80" w:type="dxa"/>
              <w:end w:w="80" w:type="dxa"/>
            </w:tcMar>
            <w:vAlign w:val="top"/>
          </w:tcPr>
          <w:p>
            <w:pPr>
              <w:spacing w:after="0" w:line="240" w:lineRule="auto"/>
            </w:pPr>
            <w:r>
              <w:rPr>
                <w:sz w:val="18"/>
              </w:rPr>
              <w:t>BLOCKED</w:t>
            </w:r>
          </w:p>
        </w:tc>
      </w:tr>
      <w:tr>
        <w:trPr>
          <w:cantSplit/>
        </w:trPr>
        <w:tc>
          <w:tcPr>
            <w:tcW w:type="dxa" w:w="7416"/>
            <w:shd w:fill="F8FAFC"/>
            <w:tcMar>
              <w:top w:w="80" w:type="dxa"/>
              <w:start w:w="80" w:type="dxa"/>
              <w:bottom w:w="80" w:type="dxa"/>
              <w:end w:w="80" w:type="dxa"/>
            </w:tcMar>
            <w:vAlign w:val="top"/>
          </w:tcPr>
          <w:p>
            <w:pPr>
              <w:spacing w:after="0" w:line="240" w:lineRule="auto"/>
            </w:pPr>
            <w:r>
              <w:rPr>
                <w:sz w:val="18"/>
              </w:rPr>
              <w:t>Coordinate frame incompatible and position is required for matching</w:t>
            </w:r>
          </w:p>
        </w:tc>
        <w:tc>
          <w:tcPr>
            <w:tcW w:type="dxa" w:w="2232"/>
            <w:shd w:fill="F8FAFC"/>
            <w:tcMar>
              <w:top w:w="80" w:type="dxa"/>
              <w:start w:w="80" w:type="dxa"/>
              <w:bottom w:w="80" w:type="dxa"/>
              <w:end w:w="80" w:type="dxa"/>
            </w:tcMar>
            <w:vAlign w:val="top"/>
          </w:tcPr>
          <w:p>
            <w:pPr>
              <w:spacing w:after="0" w:line="240" w:lineRule="auto"/>
            </w:pPr>
            <w:r>
              <w:rPr>
                <w:sz w:val="18"/>
              </w:rPr>
              <w:t>BLOCKED</w:t>
            </w:r>
          </w:p>
        </w:tc>
      </w:tr>
      <w:tr>
        <w:trPr>
          <w:cantSplit/>
        </w:trPr>
        <w:tc>
          <w:tcPr>
            <w:tcW w:type="dxa" w:w="7416"/>
            <w:tcMar>
              <w:top w:w="80" w:type="dxa"/>
              <w:start w:w="80" w:type="dxa"/>
              <w:bottom w:w="80" w:type="dxa"/>
              <w:end w:w="80" w:type="dxa"/>
            </w:tcMar>
            <w:vAlign w:val="top"/>
          </w:tcPr>
          <w:p>
            <w:pPr>
              <w:spacing w:after="0" w:line="240" w:lineRule="auto"/>
            </w:pPr>
            <w:r>
              <w:rPr>
                <w:sz w:val="18"/>
              </w:rPr>
              <w:t>Stale base registry snapshot</w:t>
            </w:r>
          </w:p>
        </w:tc>
        <w:tc>
          <w:tcPr>
            <w:tcW w:type="dxa" w:w="2232"/>
            <w:tcMar>
              <w:top w:w="80" w:type="dxa"/>
              <w:start w:w="80" w:type="dxa"/>
              <w:bottom w:w="80" w:type="dxa"/>
              <w:end w:w="80" w:type="dxa"/>
            </w:tcMar>
            <w:vAlign w:val="top"/>
          </w:tcPr>
          <w:p>
            <w:pPr>
              <w:spacing w:after="0" w:line="240" w:lineRule="auto"/>
            </w:pPr>
            <w:r>
              <w:rPr>
                <w:sz w:val="18"/>
              </w:rPr>
              <w:t>BLOCKED</w:t>
            </w:r>
          </w:p>
        </w:tc>
      </w:tr>
      <w:tr>
        <w:trPr>
          <w:cantSplit/>
        </w:trPr>
        <w:tc>
          <w:tcPr>
            <w:tcW w:type="dxa" w:w="7416"/>
            <w:shd w:fill="F8FAFC"/>
            <w:tcMar>
              <w:top w:w="80" w:type="dxa"/>
              <w:start w:w="80" w:type="dxa"/>
              <w:bottom w:w="80" w:type="dxa"/>
              <w:end w:w="80" w:type="dxa"/>
            </w:tcMar>
            <w:vAlign w:val="top"/>
          </w:tcPr>
          <w:p>
            <w:pPr>
              <w:spacing w:after="0" w:line="240" w:lineRule="auto"/>
            </w:pPr>
            <w:r>
              <w:rPr>
                <w:sz w:val="18"/>
              </w:rPr>
              <w:t>Writer missing an emitted-node mapping</w:t>
            </w:r>
          </w:p>
        </w:tc>
        <w:tc>
          <w:tcPr>
            <w:tcW w:type="dxa" w:w="2232"/>
            <w:shd w:fill="F8FAFC"/>
            <w:tcMar>
              <w:top w:w="80" w:type="dxa"/>
              <w:start w:w="80" w:type="dxa"/>
              <w:bottom w:w="80" w:type="dxa"/>
              <w:end w:w="80" w:type="dxa"/>
            </w:tcMar>
            <w:vAlign w:val="top"/>
          </w:tcPr>
          <w:p>
            <w:pPr>
              <w:spacing w:after="0" w:line="240" w:lineRule="auto"/>
            </w:pPr>
            <w:r>
              <w:rPr>
                <w:sz w:val="18"/>
              </w:rPr>
              <w:t>BLOCKED</w:t>
            </w:r>
          </w:p>
        </w:tc>
      </w:tr>
    </w:tbl>
    <w:p>
      <w:pPr>
        <w:spacing w:after="0"/>
        <w:widowControl/>
      </w:pPr>
    </w:p>
    <w:p>
      <w:pPr>
        <w:pStyle w:val="Heading1"/>
        <w:widowControl/>
      </w:pPr>
      <w:r>
        <w:t>14. Rollout modes and migration</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2088"/>
            <w:shd w:fill="1F3A5F"/>
            <w:tcMar>
              <w:top w:w="80" w:type="dxa"/>
              <w:start w:w="80" w:type="dxa"/>
              <w:bottom w:w="80" w:type="dxa"/>
              <w:end w:w="80" w:type="dxa"/>
            </w:tcMar>
            <w:vAlign w:val="center"/>
          </w:tcPr>
          <w:p>
            <w:pPr>
              <w:jc w:val="center"/>
            </w:pPr>
            <w:r>
              <w:rPr>
                <w:b/>
                <w:color w:val="FFFFFF"/>
                <w:sz w:val="17"/>
              </w:rPr>
              <w:t>Mode</w:t>
            </w:r>
          </w:p>
        </w:tc>
        <w:tc>
          <w:tcPr>
            <w:tcW w:type="dxa" w:w="3672"/>
            <w:shd w:fill="1F3A5F"/>
            <w:tcMar>
              <w:top w:w="80" w:type="dxa"/>
              <w:start w:w="80" w:type="dxa"/>
              <w:bottom w:w="80" w:type="dxa"/>
              <w:end w:w="80" w:type="dxa"/>
            </w:tcMar>
            <w:vAlign w:val="center"/>
          </w:tcPr>
          <w:p>
            <w:pPr>
              <w:jc w:val="center"/>
            </w:pPr>
            <w:r>
              <w:rPr>
                <w:b/>
                <w:color w:val="FFFFFF"/>
                <w:sz w:val="17"/>
              </w:rPr>
              <w:t>Purpose</w:t>
            </w:r>
          </w:p>
        </w:tc>
        <w:tc>
          <w:tcPr>
            <w:tcW w:type="dxa" w:w="3888"/>
            <w:shd w:fill="1F3A5F"/>
            <w:tcMar>
              <w:top w:w="80" w:type="dxa"/>
              <w:start w:w="80" w:type="dxa"/>
              <w:bottom w:w="80" w:type="dxa"/>
              <w:end w:w="80" w:type="dxa"/>
            </w:tcMar>
            <w:vAlign w:val="center"/>
          </w:tcPr>
          <w:p>
            <w:pPr>
              <w:jc w:val="center"/>
            </w:pPr>
            <w:r>
              <w:rPr>
                <w:b/>
                <w:color w:val="FFFFFF"/>
                <w:sz w:val="17"/>
              </w:rPr>
              <w:t>Behaviour</w:t>
            </w:r>
          </w:p>
        </w:tc>
      </w:tr>
      <w:tr>
        <w:trPr>
          <w:cantSplit/>
        </w:trPr>
        <w:tc>
          <w:tcPr>
            <w:tcW w:type="dxa" w:w="2088"/>
            <w:tcMar>
              <w:top w:w="80" w:type="dxa"/>
              <w:start w:w="80" w:type="dxa"/>
              <w:bottom w:w="80" w:type="dxa"/>
              <w:end w:w="80" w:type="dxa"/>
            </w:tcMar>
            <w:vAlign w:val="top"/>
          </w:tcPr>
          <w:p>
            <w:pPr>
              <w:spacing w:after="0" w:line="240" w:lineRule="auto"/>
            </w:pPr>
            <w:r>
              <w:rPr>
                <w:sz w:val="17"/>
              </w:rPr>
              <w:t>BOOTSTRAP_REVIEW</w:t>
            </w:r>
          </w:p>
        </w:tc>
        <w:tc>
          <w:tcPr>
            <w:tcW w:type="dxa" w:w="3672"/>
            <w:tcMar>
              <w:top w:w="80" w:type="dxa"/>
              <w:start w:w="80" w:type="dxa"/>
              <w:bottom w:w="80" w:type="dxa"/>
              <w:end w:w="80" w:type="dxa"/>
            </w:tcMar>
            <w:vAlign w:val="top"/>
          </w:tcPr>
          <w:p>
            <w:pPr>
              <w:spacing w:after="0" w:line="240" w:lineRule="auto"/>
            </w:pPr>
            <w:r>
              <w:rPr>
                <w:sz w:val="17"/>
              </w:rPr>
              <w:t>Create the first approved registry from an existing accepted PSI/CII revision.</w:t>
            </w:r>
          </w:p>
        </w:tc>
        <w:tc>
          <w:tcPr>
            <w:tcW w:type="dxa" w:w="3888"/>
            <w:tcMar>
              <w:top w:w="80" w:type="dxa"/>
              <w:start w:w="80" w:type="dxa"/>
              <w:bottom w:w="80" w:type="dxa"/>
              <w:end w:w="80" w:type="dxa"/>
            </w:tcMar>
            <w:vAlign w:val="top"/>
          </w:tcPr>
          <w:p>
            <w:pPr>
              <w:spacing w:after="0" w:line="240" w:lineRule="auto"/>
            </w:pPr>
            <w:r>
              <w:rPr>
                <w:sz w:val="17"/>
              </w:rPr>
              <w:t>Independent extraction and reconciliation; all identities and leases reviewed before merge.</w:t>
            </w:r>
          </w:p>
        </w:tc>
      </w:tr>
      <w:tr>
        <w:trPr>
          <w:cantSplit/>
        </w:trPr>
        <w:tc>
          <w:tcPr>
            <w:tcW w:type="dxa" w:w="2088"/>
            <w:shd w:fill="F8FAFC"/>
            <w:tcMar>
              <w:top w:w="80" w:type="dxa"/>
              <w:start w:w="80" w:type="dxa"/>
              <w:bottom w:w="80" w:type="dxa"/>
              <w:end w:w="80" w:type="dxa"/>
            </w:tcMar>
            <w:vAlign w:val="top"/>
          </w:tcPr>
          <w:p>
            <w:pPr>
              <w:spacing w:after="0" w:line="240" w:lineRule="auto"/>
            </w:pPr>
            <w:r>
              <w:rPr>
                <w:sz w:val="17"/>
              </w:rPr>
              <w:t>HISTORY_DRY_RUN</w:t>
            </w:r>
          </w:p>
        </w:tc>
        <w:tc>
          <w:tcPr>
            <w:tcW w:type="dxa" w:w="3672"/>
            <w:shd w:fill="F8FAFC"/>
            <w:tcMar>
              <w:top w:w="80" w:type="dxa"/>
              <w:start w:w="80" w:type="dxa"/>
              <w:bottom w:w="80" w:type="dxa"/>
              <w:end w:w="80" w:type="dxa"/>
            </w:tcMar>
            <w:vAlign w:val="top"/>
          </w:tcPr>
          <w:p>
            <w:pPr>
              <w:spacing w:after="0" w:line="240" w:lineRule="auto"/>
            </w:pPr>
            <w:r>
              <w:rPr>
                <w:sz w:val="17"/>
              </w:rPr>
              <w:t>Measure matching and allocation without controlling writer output.</w:t>
            </w:r>
          </w:p>
        </w:tc>
        <w:tc>
          <w:tcPr>
            <w:tcW w:type="dxa" w:w="3888"/>
            <w:shd w:fill="F8FAFC"/>
            <w:tcMar>
              <w:top w:w="80" w:type="dxa"/>
              <w:start w:w="80" w:type="dxa"/>
              <w:bottom w:w="80" w:type="dxa"/>
              <w:end w:w="80" w:type="dxa"/>
            </w:tcMar>
            <w:vAlign w:val="top"/>
          </w:tcPr>
          <w:p>
            <w:pPr>
              <w:spacing w:after="0" w:line="240" w:lineRule="auto"/>
            </w:pPr>
            <w:r>
              <w:rPr>
                <w:sz w:val="17"/>
              </w:rPr>
              <w:t>Produces candidates, proposed reuse and registry patch; legacy output remains authoritative.</w:t>
            </w:r>
          </w:p>
        </w:tc>
      </w:tr>
      <w:tr>
        <w:trPr>
          <w:cantSplit/>
        </w:trPr>
        <w:tc>
          <w:tcPr>
            <w:tcW w:type="dxa" w:w="2088"/>
            <w:tcMar>
              <w:top w:w="80" w:type="dxa"/>
              <w:start w:w="80" w:type="dxa"/>
              <w:bottom w:w="80" w:type="dxa"/>
              <w:end w:w="80" w:type="dxa"/>
            </w:tcMar>
            <w:vAlign w:val="top"/>
          </w:tcPr>
          <w:p>
            <w:pPr>
              <w:spacing w:after="0" w:line="240" w:lineRule="auto"/>
            </w:pPr>
            <w:r>
              <w:rPr>
                <w:sz w:val="17"/>
              </w:rPr>
              <w:t>HISTORY_SHADOW</w:t>
            </w:r>
          </w:p>
        </w:tc>
        <w:tc>
          <w:tcPr>
            <w:tcW w:type="dxa" w:w="3672"/>
            <w:tcMar>
              <w:top w:w="80" w:type="dxa"/>
              <w:start w:w="80" w:type="dxa"/>
              <w:bottom w:w="80" w:type="dxa"/>
              <w:end w:w="80" w:type="dxa"/>
            </w:tcMar>
            <w:vAlign w:val="top"/>
          </w:tcPr>
          <w:p>
            <w:pPr>
              <w:spacing w:after="0" w:line="240" w:lineRule="auto"/>
            </w:pPr>
            <w:r>
              <w:rPr>
                <w:sz w:val="17"/>
              </w:rPr>
              <w:t>Writers consume a node plan in parallel with existing golden fixtures.</w:t>
            </w:r>
          </w:p>
        </w:tc>
        <w:tc>
          <w:tcPr>
            <w:tcW w:type="dxa" w:w="3888"/>
            <w:tcMar>
              <w:top w:w="80" w:type="dxa"/>
              <w:start w:w="80" w:type="dxa"/>
              <w:bottom w:w="80" w:type="dxa"/>
              <w:end w:w="80" w:type="dxa"/>
            </w:tcMar>
            <w:vAlign w:val="top"/>
          </w:tcPr>
          <w:p>
            <w:pPr>
              <w:spacing w:after="0" w:line="240" w:lineRule="auto"/>
            </w:pPr>
            <w:r>
              <w:rPr>
                <w:sz w:val="17"/>
              </w:rPr>
              <w:t>Parity and drift are monitored; no automatic registry merge.</w:t>
            </w:r>
          </w:p>
        </w:tc>
      </w:tr>
      <w:tr>
        <w:trPr>
          <w:cantSplit/>
        </w:trPr>
        <w:tc>
          <w:tcPr>
            <w:tcW w:type="dxa" w:w="2088"/>
            <w:shd w:fill="F8FAFC"/>
            <w:tcMar>
              <w:top w:w="80" w:type="dxa"/>
              <w:start w:w="80" w:type="dxa"/>
              <w:bottom w:w="80" w:type="dxa"/>
              <w:end w:w="80" w:type="dxa"/>
            </w:tcMar>
            <w:vAlign w:val="top"/>
          </w:tcPr>
          <w:p>
            <w:pPr>
              <w:spacing w:after="0" w:line="240" w:lineRule="auto"/>
            </w:pPr>
            <w:r>
              <w:rPr>
                <w:sz w:val="17"/>
              </w:rPr>
              <w:t>HISTORY_ENFORCED</w:t>
            </w:r>
          </w:p>
        </w:tc>
        <w:tc>
          <w:tcPr>
            <w:tcW w:type="dxa" w:w="3672"/>
            <w:shd w:fill="F8FAFC"/>
            <w:tcMar>
              <w:top w:w="80" w:type="dxa"/>
              <w:start w:w="80" w:type="dxa"/>
              <w:bottom w:w="80" w:type="dxa"/>
              <w:end w:w="80" w:type="dxa"/>
            </w:tcMar>
            <w:vAlign w:val="top"/>
          </w:tcPr>
          <w:p>
            <w:pPr>
              <w:spacing w:after="0" w:line="240" w:lineRule="auto"/>
            </w:pPr>
            <w:r>
              <w:rPr>
                <w:sz w:val="17"/>
              </w:rPr>
              <w:t>Node plan controls production output.</w:t>
            </w:r>
          </w:p>
        </w:tc>
        <w:tc>
          <w:tcPr>
            <w:tcW w:type="dxa" w:w="3888"/>
            <w:shd w:fill="F8FAFC"/>
            <w:tcMar>
              <w:top w:w="80" w:type="dxa"/>
              <w:start w:w="80" w:type="dxa"/>
              <w:bottom w:w="80" w:type="dxa"/>
              <w:end w:w="80" w:type="dxa"/>
            </w:tcMar>
            <w:vAlign w:val="top"/>
          </w:tcPr>
          <w:p>
            <w:pPr>
              <w:spacing w:after="0" w:line="240" w:lineRule="auto"/>
            </w:pPr>
            <w:r>
              <w:rPr>
                <w:sz w:val="17"/>
              </w:rPr>
              <w:t>Missing/ambiguous/blocked plans prevent writer selection.</w:t>
            </w:r>
          </w:p>
        </w:tc>
      </w:tr>
    </w:tbl>
    <w:p>
      <w:pPr>
        <w:spacing w:after="0"/>
        <w:widowControl/>
      </w:pPr>
    </w:p>
    <w:p>
      <w:pPr>
        <w:pStyle w:val="Heading2"/>
        <w:widowControl/>
      </w:pPr>
      <w:r>
        <w:t>14.1 Bootstrap strategy</w:t>
      </w:r>
    </w:p>
    <w:p>
      <w:pPr>
        <w:pStyle w:val="CodeBlock"/>
        <w:keepLines/>
        <w:shd w:fill="F2F2F2"/>
        <w:widowControl/>
      </w:pPr>
      <w:r>
        <w:t>Approved historical PSI/CII revision</w:t>
        <w:br/>
        <w:t xml:space="preserve">  → independent node extraction</w:t>
        <w:br/>
        <w:t xml:space="preserve">  → source/topology reconciliation</w:t>
        <w:br/>
        <w:t xml:space="preserve">  → proposed zone registry and line leases</w:t>
        <w:br/>
        <w:t xml:space="preserve">  → engineering review</w:t>
        <w:br/>
        <w:t xml:space="preserve">  → approved bootstrap commit</w:t>
        <w:br/>
        <w:t xml:space="preserve">  → shadow comparison against the next revision</w:t>
      </w:r>
    </w:p>
    <w:p>
      <w:pPr>
        <w:widowControl/>
      </w:pPr>
      <w:r>
        <w:t>Writer-side allocation should not be disabled until the bootstrap proves that the approved historical numbers can be reproduced from the node plan.</w:t>
      </w:r>
    </w:p>
    <w:p>
      <w:pPr>
        <w:pStyle w:val="Heading2"/>
      </w:pPr>
      <w:r>
        <w:t>14.2 Source coverage and retirement authority</w:t>
      </w:r>
    </w:p>
    <w:p>
      <w:pPr>
        <w:pStyle w:val="CodeBlock"/>
      </w:pPr>
      <w:r>
        <w:t>sourceCoverage: {</w:t>
        <w:br/>
        <w:t xml:space="preserve">  scope: "FULL_ZONE | FULL_LINE | PARTIAL_LINE",</w:t>
        <w:br/>
        <w:t xml:space="preserve">  includedMainLineKeys: [],</w:t>
        <w:br/>
        <w:t xml:space="preserve">  excludedMainLineKeys: [],</w:t>
        <w:br/>
        <w:t xml:space="preserve">  authoritativeForRetirement: false</w:t>
        <w:br/>
        <w:t>}</w:t>
      </w:r>
    </w:p>
    <w:p>
      <w:pPr/>
      <w:r>
        <w:t>FULL_ZONE may propose retirement for the declared zone. FULL_LINE may propose retirement only for included lines. PARTIAL_LINE may not propose retirement; absent nodes remain active and the audit records RETIREMENT_SUPPRESSED_PARTIAL_SCOPE.</w:t>
      </w:r>
    </w:p>
    <w:p>
      <w:pPr>
        <w:pStyle w:val="Heading1"/>
        <w:widowControl/>
      </w:pPr>
      <w:r>
        <w:t>15. Implementation sequence</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648"/>
            <w:shd w:fill="1F3A5F"/>
            <w:tcMar>
              <w:top w:w="80" w:type="dxa"/>
              <w:start w:w="80" w:type="dxa"/>
              <w:bottom w:w="80" w:type="dxa"/>
              <w:end w:w="80" w:type="dxa"/>
            </w:tcMar>
            <w:vAlign w:val="center"/>
          </w:tcPr>
          <w:p>
            <w:r/>
            <w:r>
              <w:rPr>
                <w:b/>
              </w:rPr>
              <w:t>Phase</w:t>
            </w:r>
          </w:p>
        </w:tc>
        <w:tc>
          <w:tcPr>
            <w:tcW w:type="dxa" w:w="4176"/>
            <w:shd w:fill="1F3A5F"/>
            <w:tcMar>
              <w:top w:w="80" w:type="dxa"/>
              <w:start w:w="80" w:type="dxa"/>
              <w:bottom w:w="80" w:type="dxa"/>
              <w:end w:w="80" w:type="dxa"/>
            </w:tcMar>
            <w:vAlign w:val="center"/>
          </w:tcPr>
          <w:p>
            <w:r/>
            <w:r>
              <w:rPr>
                <w:b/>
              </w:rPr>
              <w:t>Deliverable</w:t>
            </w:r>
          </w:p>
        </w:tc>
        <w:tc>
          <w:tcPr>
            <w:tcW w:type="dxa" w:w="4824"/>
            <w:shd w:fill="1F3A5F"/>
            <w:tcMar>
              <w:top w:w="80" w:type="dxa"/>
              <w:start w:w="80" w:type="dxa"/>
              <w:bottom w:w="80" w:type="dxa"/>
              <w:end w:w="80" w:type="dxa"/>
            </w:tcMar>
            <w:vAlign w:val="center"/>
          </w:tcPr>
          <w:p>
            <w:r/>
            <w:r>
              <w:rPr>
                <w:b/>
              </w:rPr>
              <w:t>Exit criterion</w:t>
            </w:r>
          </w:p>
        </w:tc>
      </w:tr>
      <w:tr>
        <w:trPr>
          <w:cantSplit/>
        </w:trPr>
        <w:tc>
          <w:tcPr>
            <w:tcW w:type="dxa" w:w="648"/>
            <w:tcMar>
              <w:top w:w="80" w:type="dxa"/>
              <w:start w:w="80" w:type="dxa"/>
              <w:bottom w:w="80" w:type="dxa"/>
              <w:end w:w="80" w:type="dxa"/>
            </w:tcMar>
            <w:vAlign w:val="center"/>
          </w:tcPr>
          <w:p>
            <w:r/>
            <w:r>
              <w:rPr>
                <w:b w:val="0"/>
              </w:rPr>
              <w:t>1</w:t>
            </w:r>
          </w:p>
        </w:tc>
        <w:tc>
          <w:tcPr>
            <w:tcW w:type="dxa" w:w="4176"/>
            <w:tcMar>
              <w:top w:w="80" w:type="dxa"/>
              <w:start w:w="80" w:type="dxa"/>
              <w:bottom w:w="80" w:type="dxa"/>
              <w:end w:w="80" w:type="dxa"/>
            </w:tcMar>
            <w:vAlign w:val="center"/>
          </w:tcPr>
          <w:p>
            <w:r/>
            <w:r>
              <w:rPr>
                <w:b w:val="0"/>
              </w:rPr>
              <w:t>Contracts and current-allocation characterization</w:t>
            </w:r>
          </w:p>
        </w:tc>
        <w:tc>
          <w:tcPr>
            <w:tcW w:type="dxa" w:w="4824"/>
            <w:tcMar>
              <w:top w:w="80" w:type="dxa"/>
              <w:start w:w="80" w:type="dxa"/>
              <w:bottom w:w="80" w:type="dxa"/>
              <w:end w:w="80" w:type="dxa"/>
            </w:tcMar>
            <w:vAlign w:val="center"/>
          </w:tcPr>
          <w:p>
            <w:r/>
            <w:r>
              <w:rPr>
                <w:b w:val="0"/>
              </w:rPr>
              <w:t>All numbering producers, serializer mutations, projection cardinality and 1885 allocations are captured by golden tests.</w:t>
            </w:r>
          </w:p>
        </w:tc>
      </w:tr>
      <w:tr>
        <w:trPr>
          <w:cantSplit/>
        </w:trPr>
        <w:tc>
          <w:tcPr>
            <w:tcW w:type="dxa" w:w="648"/>
            <w:shd w:fill="F8FAFC"/>
            <w:tcMar>
              <w:top w:w="80" w:type="dxa"/>
              <w:start w:w="80" w:type="dxa"/>
              <w:bottom w:w="80" w:type="dxa"/>
              <w:end w:w="80" w:type="dxa"/>
            </w:tcMar>
            <w:vAlign w:val="center"/>
          </w:tcPr>
          <w:p>
            <w:r/>
            <w:r>
              <w:rPr>
                <w:b w:val="0"/>
              </w:rPr>
              <w:t>2</w:t>
            </w:r>
          </w:p>
        </w:tc>
        <w:tc>
          <w:tcPr>
            <w:tcW w:type="dxa" w:w="4176"/>
            <w:shd w:fill="F8FAFC"/>
            <w:tcMar>
              <w:top w:w="80" w:type="dxa"/>
              <w:start w:w="80" w:type="dxa"/>
              <w:bottom w:w="80" w:type="dxa"/>
              <w:end w:w="80" w:type="dxa"/>
            </w:tcMar>
            <w:vAlign w:val="center"/>
          </w:tcPr>
          <w:p>
            <w:r/>
            <w:r>
              <w:rPr>
                <w:b w:val="0"/>
              </w:rPr>
              <w:t>Pure writer-occurrence planner</w:t>
            </w:r>
          </w:p>
        </w:tc>
        <w:tc>
          <w:tcPr>
            <w:tcW w:type="dxa" w:w="4824"/>
            <w:shd w:fill="F8FAFC"/>
            <w:tcMar>
              <w:top w:w="80" w:type="dxa"/>
              <w:start w:w="80" w:type="dxa"/>
              <w:bottom w:w="80" w:type="dxa"/>
              <w:end w:w="80" w:type="dxa"/>
            </w:tcMar>
            <w:vAlign w:val="center"/>
          </w:tcPr>
          <w:p>
            <w:r/>
            <w:r>
              <w:rPr>
                <w:b w:val="0"/>
              </w:rPr>
              <w:t>Exact emitted/reserved occurrences are produced without assigning numbers; component projection fixtures pass.</w:t>
            </w:r>
          </w:p>
        </w:tc>
      </w:tr>
      <w:tr>
        <w:trPr>
          <w:cantSplit/>
        </w:trPr>
        <w:tc>
          <w:tcPr>
            <w:tcW w:type="dxa" w:w="648"/>
            <w:tcMar>
              <w:top w:w="80" w:type="dxa"/>
              <w:start w:w="80" w:type="dxa"/>
              <w:bottom w:w="80" w:type="dxa"/>
              <w:end w:w="80" w:type="dxa"/>
            </w:tcMar>
            <w:vAlign w:val="center"/>
          </w:tcPr>
          <w:p>
            <w:r/>
            <w:r>
              <w:rPr>
                <w:b w:val="0"/>
              </w:rPr>
              <w:t>3</w:t>
            </w:r>
          </w:p>
        </w:tc>
        <w:tc>
          <w:tcPr>
            <w:tcW w:type="dxa" w:w="4176"/>
            <w:tcMar>
              <w:top w:w="80" w:type="dxa"/>
              <w:start w:w="80" w:type="dxa"/>
              <w:bottom w:w="80" w:type="dxa"/>
              <w:end w:w="80" w:type="dxa"/>
            </w:tcMar>
            <w:vAlign w:val="center"/>
          </w:tcPr>
          <w:p>
            <w:r/>
            <w:r>
              <w:rPr>
                <w:b w:val="0"/>
              </w:rPr>
              <w:t>External node-plan shared serializer</w:t>
            </w:r>
          </w:p>
        </w:tc>
        <w:tc>
          <w:tcPr>
            <w:tcW w:type="dxa" w:w="4824"/>
            <w:tcMar>
              <w:top w:w="80" w:type="dxa"/>
              <w:start w:w="80" w:type="dxa"/>
              <w:bottom w:w="80" w:type="dxa"/>
              <w:end w:w="80" w:type="dxa"/>
            </w:tcMar>
            <w:vAlign w:val="center"/>
          </w:tcPr>
          <w:p>
            <w:r/>
            <w:r>
              <w:rPr>
                <w:b w:val="0"/>
              </w:rPr>
              <w:t>Shared serializer has no counter, +10 inference, source mutation, clock access or fallback; coverage is 100%.</w:t>
            </w:r>
          </w:p>
        </w:tc>
      </w:tr>
      <w:tr>
        <w:trPr>
          <w:cantSplit/>
        </w:trPr>
        <w:tc>
          <w:tcPr>
            <w:tcW w:type="dxa" w:w="648"/>
            <w:shd w:fill="F8FAFC"/>
            <w:tcMar>
              <w:top w:w="80" w:type="dxa"/>
              <w:start w:w="80" w:type="dxa"/>
              <w:bottom w:w="80" w:type="dxa"/>
              <w:end w:w="80" w:type="dxa"/>
            </w:tcMar>
            <w:vAlign w:val="center"/>
          </w:tcPr>
          <w:p>
            <w:r/>
            <w:r>
              <w:rPr>
                <w:b w:val="0"/>
              </w:rPr>
              <w:t>4</w:t>
            </w:r>
          </w:p>
        </w:tc>
        <w:tc>
          <w:tcPr>
            <w:tcW w:type="dxa" w:w="4176"/>
            <w:shd w:fill="F8FAFC"/>
            <w:tcMar>
              <w:top w:w="80" w:type="dxa"/>
              <w:start w:w="80" w:type="dxa"/>
              <w:bottom w:w="80" w:type="dxa"/>
              <w:end w:w="80" w:type="dxa"/>
            </w:tcMar>
            <w:vAlign w:val="center"/>
          </w:tcPr>
          <w:p>
            <w:r/>
            <w:r>
              <w:rPr>
                <w:b w:val="0"/>
              </w:rPr>
              <w:t>Registry schemas and deterministic range allocator</w:t>
            </w:r>
          </w:p>
        </w:tc>
        <w:tc>
          <w:tcPr>
            <w:tcW w:type="dxa" w:w="4824"/>
            <w:shd w:fill="F8FAFC"/>
            <w:tcMar>
              <w:top w:w="80" w:type="dxa"/>
              <w:start w:w="80" w:type="dxa"/>
              <w:bottom w:w="80" w:type="dxa"/>
              <w:end w:w="80" w:type="dxa"/>
            </w:tcMar>
            <w:vAlign w:val="center"/>
          </w:tcPr>
          <w:p>
            <w:r/>
            <w:r>
              <w:rPr>
                <w:b w:val="0"/>
              </w:rPr>
              <w:t>Snapshot hashing, reserved ranges, lease ownership, collisions and stale-base rejection pass.</w:t>
            </w:r>
          </w:p>
        </w:tc>
      </w:tr>
      <w:tr>
        <w:trPr>
          <w:cantSplit/>
        </w:trPr>
        <w:tc>
          <w:tcPr>
            <w:tcW w:type="dxa" w:w="648"/>
            <w:tcMar>
              <w:top w:w="80" w:type="dxa"/>
              <w:start w:w="80" w:type="dxa"/>
              <w:bottom w:w="80" w:type="dxa"/>
              <w:end w:w="80" w:type="dxa"/>
            </w:tcMar>
            <w:vAlign w:val="center"/>
          </w:tcPr>
          <w:p>
            <w:r/>
            <w:r>
              <w:rPr>
                <w:b w:val="0"/>
              </w:rPr>
              <w:t>5</w:t>
            </w:r>
          </w:p>
        </w:tc>
        <w:tc>
          <w:tcPr>
            <w:tcW w:type="dxa" w:w="4176"/>
            <w:tcMar>
              <w:top w:w="80" w:type="dxa"/>
              <w:start w:w="80" w:type="dxa"/>
              <w:bottom w:w="80" w:type="dxa"/>
              <w:end w:w="80" w:type="dxa"/>
            </w:tcMar>
            <w:vAlign w:val="center"/>
          </w:tcPr>
          <w:p>
            <w:r/>
            <w:r>
              <w:rPr>
                <w:b w:val="0"/>
              </w:rPr>
              <w:t>Exact and anchor-based history matching</w:t>
            </w:r>
          </w:p>
        </w:tc>
        <w:tc>
          <w:tcPr>
            <w:tcW w:type="dxa" w:w="4824"/>
            <w:tcMar>
              <w:top w:w="80" w:type="dxa"/>
              <w:start w:w="80" w:type="dxa"/>
              <w:bottom w:w="80" w:type="dxa"/>
              <w:end w:w="80" w:type="dxa"/>
            </w:tcMar>
            <w:vAlign w:val="center"/>
          </w:tcPr>
          <w:p>
            <w:r/>
            <w:r>
              <w:rPr>
                <w:b w:val="0"/>
              </w:rPr>
              <w:t>Durable IDs and topology anchors produce order-independent one-to-one matches; ambiguities block reuse.</w:t>
            </w:r>
          </w:p>
        </w:tc>
      </w:tr>
      <w:tr>
        <w:trPr>
          <w:cantSplit/>
        </w:trPr>
        <w:tc>
          <w:tcPr>
            <w:tcW w:type="dxa" w:w="648"/>
            <w:shd w:fill="F8FAFC"/>
            <w:tcMar>
              <w:top w:w="80" w:type="dxa"/>
              <w:start w:w="80" w:type="dxa"/>
              <w:bottom w:w="80" w:type="dxa"/>
              <w:end w:w="80" w:type="dxa"/>
            </w:tcMar>
            <w:vAlign w:val="center"/>
          </w:tcPr>
          <w:p>
            <w:r/>
            <w:r>
              <w:rPr>
                <w:b w:val="0"/>
              </w:rPr>
              <w:t>6</w:t>
            </w:r>
          </w:p>
        </w:tc>
        <w:tc>
          <w:tcPr>
            <w:tcW w:type="dxa" w:w="4176"/>
            <w:shd w:fill="F8FAFC"/>
            <w:tcMar>
              <w:top w:w="80" w:type="dxa"/>
              <w:start w:w="80" w:type="dxa"/>
              <w:bottom w:w="80" w:type="dxa"/>
              <w:end w:w="80" w:type="dxa"/>
            </w:tcMar>
            <w:vAlign w:val="center"/>
          </w:tcPr>
          <w:p>
            <w:r/>
            <w:r>
              <w:rPr>
                <w:b w:val="0"/>
              </w:rPr>
              <w:t>Controlled spatial/topology matching</w:t>
            </w:r>
          </w:p>
        </w:tc>
        <w:tc>
          <w:tcPr>
            <w:tcW w:type="dxa" w:w="4824"/>
            <w:shd w:fill="F8FAFC"/>
            <w:tcMar>
              <w:top w:w="80" w:type="dxa"/>
              <w:start w:w="80" w:type="dxa"/>
              <w:bottom w:w="80" w:type="dxa"/>
              <w:end w:w="80" w:type="dxa"/>
            </w:tcMar>
            <w:vAlign w:val="center"/>
          </w:tcPr>
          <w:p>
            <w:r/>
            <w:r>
              <w:rPr>
                <w:b w:val="0"/>
              </w:rPr>
              <w:t>Registration, score policy and mutation corpus meet approved false-reuse limits in shadow mode.</w:t>
            </w:r>
          </w:p>
        </w:tc>
      </w:tr>
      <w:tr>
        <w:trPr>
          <w:cantSplit/>
        </w:trPr>
        <w:tc>
          <w:tcPr>
            <w:tcW w:type="dxa" w:w="648"/>
            <w:tcMar>
              <w:top w:w="80" w:type="dxa"/>
              <w:start w:w="80" w:type="dxa"/>
              <w:bottom w:w="80" w:type="dxa"/>
              <w:end w:w="80" w:type="dxa"/>
            </w:tcMar>
            <w:vAlign w:val="center"/>
          </w:tcPr>
          <w:p>
            <w:r/>
            <w:r>
              <w:rPr>
                <w:b w:val="0"/>
              </w:rPr>
              <w:t>7</w:t>
            </w:r>
          </w:p>
        </w:tc>
        <w:tc>
          <w:tcPr>
            <w:tcW w:type="dxa" w:w="4176"/>
            <w:tcMar>
              <w:top w:w="80" w:type="dxa"/>
              <w:start w:w="80" w:type="dxa"/>
              <w:bottom w:w="80" w:type="dxa"/>
              <w:end w:w="80" w:type="dxa"/>
            </w:tcMar>
            <w:vAlign w:val="center"/>
          </w:tcPr>
          <w:p>
            <w:r/>
            <w:r>
              <w:rPr>
                <w:b w:val="0"/>
              </w:rPr>
              <w:t>Shared micro-geometry normalization</w:t>
            </w:r>
          </w:p>
        </w:tc>
        <w:tc>
          <w:tcPr>
            <w:tcW w:type="dxa" w:w="4824"/>
            <w:tcMar>
              <w:top w:w="80" w:type="dxa"/>
              <w:start w:w="80" w:type="dxa"/>
              <w:bottom w:w="80" w:type="dxa"/>
              <w:end w:w="80" w:type="dxa"/>
            </w:tcMar>
            <w:vAlign w:val="center"/>
          </w:tcPr>
          <w:p>
            <w:r/>
            <w:r>
              <w:rPr>
                <w:b w:val="0"/>
              </w:rPr>
              <w:t>Only policy-approved synthetic entities auto-consume; complete-link, topology and history-conflict tests pass.</w:t>
            </w:r>
          </w:p>
        </w:tc>
      </w:tr>
      <w:tr>
        <w:trPr>
          <w:cantSplit/>
        </w:trPr>
        <w:tc>
          <w:tcPr>
            <w:tcW w:type="dxa" w:w="648"/>
            <w:shd w:fill="F8FAFC"/>
            <w:tcMar>
              <w:top w:w="80" w:type="dxa"/>
              <w:start w:w="80" w:type="dxa"/>
              <w:bottom w:w="80" w:type="dxa"/>
              <w:end w:w="80" w:type="dxa"/>
            </w:tcMar>
            <w:vAlign w:val="center"/>
          </w:tcPr>
          <w:p>
            <w:r/>
            <w:r>
              <w:rPr>
                <w:b w:val="0"/>
              </w:rPr>
              <w:t>8</w:t>
            </w:r>
          </w:p>
        </w:tc>
        <w:tc>
          <w:tcPr>
            <w:tcW w:type="dxa" w:w="4176"/>
            <w:shd w:fill="F8FAFC"/>
            <w:tcMar>
              <w:top w:w="80" w:type="dxa"/>
              <w:start w:w="80" w:type="dxa"/>
              <w:bottom w:w="80" w:type="dxa"/>
              <w:end w:w="80" w:type="dxa"/>
            </w:tcMar>
            <w:vAlign w:val="center"/>
          </w:tcPr>
          <w:p>
            <w:r/>
            <w:r>
              <w:rPr>
                <w:b w:val="0"/>
              </w:rPr>
              <w:t>Final sequence plan and downstream topology integration</w:t>
            </w:r>
          </w:p>
        </w:tc>
        <w:tc>
          <w:tcPr>
            <w:tcW w:type="dxa" w:w="4824"/>
            <w:shd w:fill="F8FAFC"/>
            <w:tcMar>
              <w:top w:w="80" w:type="dxa"/>
              <w:start w:w="80" w:type="dxa"/>
              <w:bottom w:w="80" w:type="dxa"/>
              <w:end w:w="80" w:type="dxa"/>
            </w:tcMar>
            <w:vAlign w:val="center"/>
          </w:tcPr>
          <w:p>
            <w:r/>
            <w:r>
              <w:rPr>
                <w:b w:val="0"/>
              </w:rPr>
              <w:t>All topology projections consume LogicalPsiGraph.v1 and exact source ancestry/hash parity is proven.</w:t>
            </w:r>
          </w:p>
        </w:tc>
      </w:tr>
      <w:tr>
        <w:trPr>
          <w:cantSplit/>
        </w:trPr>
        <w:tc>
          <w:tcPr>
            <w:tcW w:type="dxa" w:w="648"/>
            <w:tcMar>
              <w:top w:w="80" w:type="dxa"/>
              <w:start w:w="80" w:type="dxa"/>
              <w:bottom w:w="80" w:type="dxa"/>
              <w:end w:w="80" w:type="dxa"/>
            </w:tcMar>
            <w:vAlign w:val="center"/>
          </w:tcPr>
          <w:p>
            <w:r/>
            <w:r>
              <w:rPr>
                <w:b w:val="0"/>
              </w:rPr>
              <w:t>9</w:t>
            </w:r>
          </w:p>
        </w:tc>
        <w:tc>
          <w:tcPr>
            <w:tcW w:type="dxa" w:w="4176"/>
            <w:tcMar>
              <w:top w:w="80" w:type="dxa"/>
              <w:start w:w="80" w:type="dxa"/>
              <w:bottom w:w="80" w:type="dxa"/>
              <w:end w:w="80" w:type="dxa"/>
            </w:tcMar>
            <w:vAlign w:val="center"/>
          </w:tcPr>
          <w:p>
            <w:r/>
            <w:r>
              <w:rPr>
                <w:b w:val="0"/>
              </w:rPr>
              <w:t>History-enforced production gate</w:t>
            </w:r>
          </w:p>
        </w:tc>
        <w:tc>
          <w:tcPr>
            <w:tcW w:type="dxa" w:w="4824"/>
            <w:tcMar>
              <w:top w:w="80" w:type="dxa"/>
              <w:start w:w="80" w:type="dxa"/>
              <w:bottom w:w="80" w:type="dxa"/>
              <w:end w:w="80" w:type="dxa"/>
            </w:tcMar>
            <w:vAlign w:val="center"/>
          </w:tcPr>
          <w:p>
            <w:r/>
            <w:r>
              <w:rPr>
                <w:b w:val="0"/>
              </w:rPr>
              <w:t>Bootstrap registry is approved; canonical/sequential parity is exact; no REVIEW_REQUIRED/BLOCKED run can select production XML.</w:t>
            </w:r>
          </w:p>
        </w:tc>
      </w:tr>
    </w:tbl>
    <w:p>
      <w:pPr>
        <w:spacing w:after="0"/>
        <w:widowControl/>
      </w:pPr>
    </w:p>
    <w:p>
      <w:pPr>
        <w:pStyle w:val="Heading1"/>
        <w:widowControl/>
      </w:pPr>
      <w:r>
        <w:t>16. Testing and acceptance criteria</w:t>
      </w:r>
    </w:p>
    <w:p>
      <w:pPr>
        <w:pStyle w:val="Heading2"/>
        <w:widowControl/>
      </w:pPr>
      <w:r>
        <w:t>16.1 Required fixtures</w:t>
      </w:r>
    </w:p>
    <w:p>
      <w:pPr>
        <w:pStyle w:val="ListBullet"/>
        <w:spacing w:after="40"/>
        <w:widowControl/>
      </w:pPr>
      <w:r>
        <w:t>3 mm allowlisted AUTO_GENERATED_PIPE or SYNTHETIC_BRIDGE between compatible pipe ports;</w:t>
      </w:r>
    </w:p>
    <w:p>
      <w:pPr>
        <w:pStyle w:val="ListBullet"/>
        <w:spacing w:after="40"/>
        <w:widowControl/>
      </w:pPr>
      <w:r>
        <w:t>5 mm endpoint gap between explicitly adjacent components;</w:t>
      </w:r>
    </w:p>
    <w:p>
      <w:pPr>
        <w:pStyle w:val="ListBullet"/>
        <w:spacing w:after="40"/>
        <w:widowControl/>
      </w:pPr>
      <w:r>
        <w:t>A–5 mm–B–5 mm–C transitive-collapse prevention;</w:t>
      </w:r>
    </w:p>
    <w:p>
      <w:pPr>
        <w:pStyle w:val="ListBullet"/>
        <w:spacing w:after="40"/>
        <w:widowControl/>
      </w:pPr>
      <w:r>
        <w:t>short valve/reducer/support that must not be consumed;</w:t>
      </w:r>
    </w:p>
    <w:p>
      <w:pPr>
        <w:pStyle w:val="ListBullet"/>
        <w:spacing w:after="40"/>
        <w:widowControl/>
      </w:pPr>
      <w:r>
        <w:t>two nearby parallel lines in the same zone;</w:t>
      </w:r>
    </w:p>
    <w:p>
      <w:pPr>
        <w:pStyle w:val="ListBullet"/>
        <w:spacing w:after="40"/>
        <w:widowControl/>
      </w:pPr>
      <w:r>
        <w:t>same numeric node series reused in two different zones;</w:t>
      </w:r>
    </w:p>
    <w:p>
      <w:pPr>
        <w:pStyle w:val="ListBullet"/>
        <w:spacing w:after="40"/>
        <w:widowControl/>
      </w:pPr>
      <w:r>
        <w:t>duplicate historical candidates requiring global assignment;</w:t>
      </w:r>
    </w:p>
    <w:p>
      <w:pPr>
        <w:pStyle w:val="ListBullet"/>
        <w:spacing w:after="40"/>
        <w:widowControl/>
      </w:pPr>
      <w:r>
        <w:t>historical split, merge, line rename and zone transfer review cases;</w:t>
      </w:r>
    </w:p>
    <w:p>
      <w:pPr>
        <w:pStyle w:val="ListBullet"/>
        <w:spacing w:after="40"/>
        <w:widowControl/>
      </w:pPr>
      <w:r>
        <w:t>rotated/translated model with valid registration and excessive-residual failure;</w:t>
      </w:r>
    </w:p>
    <w:p>
      <w:pPr>
        <w:pStyle w:val="ListBullet"/>
        <w:spacing w:after="40"/>
        <w:widowControl/>
      </w:pPr>
      <w:r>
        <w:t>concurrent range allocation proposals from the same registry snapshot;</w:t>
      </w:r>
    </w:p>
    <w:p>
      <w:pPr>
        <w:pStyle w:val="ListBullet"/>
        <w:spacing w:after="40"/>
        <w:widowControl/>
      </w:pPr>
      <w:r>
        <w:t>canonical and sequential writer ordering divergence with exact node-number parity.</w:t>
      </w:r>
    </w:p>
    <w:p>
      <w:pPr>
        <w:pStyle w:val="ListBullet"/>
      </w:pPr>
      <w:r>
        <w:t>3 mm gasket remains REVIEW_REQUIRED and is not auto-consumed;</w:t>
      </w:r>
    </w:p>
    <w:p>
      <w:pPr>
        <w:pStyle w:val="ListBullet"/>
      </w:pPr>
      <w:r>
        <w:t>source-path/sourceEntityId change caused by array insertion does not independently break or establish history;</w:t>
      </w:r>
    </w:p>
    <w:p>
      <w:pPr>
        <w:pStyle w:val="ListBullet"/>
      </w:pPr>
      <w:r>
        <w:t>PARTIAL_LINE input suppresses retirement candidates;</w:t>
      </w:r>
    </w:p>
    <w:p>
      <w:pPr>
        <w:pStyle w:val="ListBullet"/>
      </w:pPr>
      <w:r>
        <w:t>deterministic free-slot and overflow-block allocation is independent of input map/array order;</w:t>
      </w:r>
    </w:p>
    <w:p>
      <w:pPr>
        <w:pStyle w:val="ListBullet"/>
      </w:pPr>
      <w:r>
        <w:t>shared logical-node PSI serialization is proven against the production XML-to-CII converter;</w:t>
      </w:r>
    </w:p>
    <w:p>
      <w:pPr>
        <w:pStyle w:val="Heading2"/>
        <w:widowControl/>
      </w:pPr>
      <w:r>
        <w:t>16.2 Acceptance gate</w:t>
      </w:r>
    </w:p>
    <w:p>
      <w:pPr>
        <w:pStyle w:val="ListBullet"/>
        <w:spacing w:after="30"/>
        <w:widowControl/>
      </w:pPr>
      <w:r>
        <w:t>[ ] Every raw source port maps to exactly one logical node.</w:t>
      </w:r>
    </w:p>
    <w:p>
      <w:pPr>
        <w:pStyle w:val="ListBullet"/>
        <w:spacing w:after="30"/>
        <w:widowControl/>
      </w:pPr>
      <w:r>
        <w:t>[ ] Every logical node maps to zero or more exact emitted writer nodes according to a component projection contract.</w:t>
      </w:r>
    </w:p>
    <w:p>
      <w:pPr>
        <w:pStyle w:val="ListBullet"/>
        <w:spacing w:after="30"/>
        <w:widowControl/>
      </w:pPr>
      <w:r>
        <w:t>[ ] No writer assigns or infers a node number.</w:t>
      </w:r>
    </w:p>
    <w:p>
      <w:pPr>
        <w:pStyle w:val="ListBullet"/>
        <w:spacing w:after="30"/>
        <w:widowControl/>
      </w:pPr>
      <w:r>
        <w:t>[ ] Every emitted node number is unique within the project zone.</w:t>
      </w:r>
    </w:p>
    <w:p>
      <w:pPr>
        <w:pStyle w:val="ListBullet"/>
        <w:spacing w:after="30"/>
        <w:widowControl/>
      </w:pPr>
      <w:r>
        <w:t>[ ] Every number belongs to the owning main line lease or an approved shared-node exception.</w:t>
      </w:r>
    </w:p>
    <w:p>
      <w:pPr>
        <w:pStyle w:val="ListBullet"/>
        <w:spacing w:after="30"/>
        <w:widowControl/>
      </w:pPr>
      <w:r>
        <w:t>[ ] No micro-cluster exceeds the configured maximum pairwise source-port distance.</w:t>
      </w:r>
    </w:p>
    <w:p>
      <w:pPr>
        <w:pStyle w:val="ListBullet"/>
        <w:spacing w:after="30"/>
        <w:widowControl/>
      </w:pPr>
      <w:r>
        <w:t>[ ] No non-allowlisted component is automatically consumed.</w:t>
      </w:r>
    </w:p>
    <w:p>
      <w:pPr>
        <w:pStyle w:val="ListBullet"/>
        <w:spacing w:after="30"/>
        <w:widowControl/>
      </w:pPr>
      <w:r>
        <w:t>[ ] No conflicting historical identities are silently merged.</w:t>
      </w:r>
    </w:p>
    <w:p>
      <w:pPr>
        <w:pStyle w:val="ListBullet"/>
        <w:spacing w:after="30"/>
        <w:widowControl/>
      </w:pPr>
      <w:r>
        <w:t>[ ] Historical assignment is independent of source JSON array order.</w:t>
      </w:r>
    </w:p>
    <w:p>
      <w:pPr>
        <w:pStyle w:val="ListBullet"/>
        <w:spacing w:after="30"/>
        <w:widowControl/>
      </w:pPr>
      <w:r>
        <w:t>[ ] Spatial evidence is disabled without valid registration.</w:t>
      </w:r>
    </w:p>
    <w:p>
      <w:pPr>
        <w:pStyle w:val="ListBullet"/>
        <w:spacing w:after="30"/>
        <w:widowControl/>
      </w:pPr>
      <w:r>
        <w:t>[ ] Canonical and sequential outputs expose the same nodePlanHash and exact node-number identity.</w:t>
      </w:r>
    </w:p>
    <w:p>
      <w:pPr>
        <w:pStyle w:val="ListBullet"/>
        <w:spacing w:after="30"/>
        <w:widowControl/>
      </w:pPr>
      <w:r>
        <w:t>[ ] A stale zone snapshot cannot merge.</w:t>
      </w:r>
    </w:p>
    <w:p>
      <w:pPr>
        <w:pStyle w:val="ListBullet"/>
        <w:spacing w:after="30"/>
        <w:widowControl/>
      </w:pPr>
      <w:r>
        <w:t>[ ] The approved bootstrap revision is reproducible.</w:t>
      </w:r>
    </w:p>
    <w:p>
      <w:pPr>
        <w:pStyle w:val="ListBullet"/>
        <w:spacing w:after="30"/>
        <w:widowControl/>
      </w:pPr>
      <w:r>
        <w:t>[ ] All artifacts and hashes are deterministic for identical inputs, policy and registry snapshot.</w:t>
      </w:r>
    </w:p>
    <w:p>
      <w:pPr>
        <w:pStyle w:val="ListBullet"/>
      </w:pPr>
      <w:r>
        <w:t>[ ] LogicalPsiGraph.v1 is consumed by every in-scope topology, SVG/InputXML, PSI and CII projection; no downstream stage repeats normalization.</w:t>
      </w:r>
    </w:p>
    <w:p>
      <w:pPr>
        <w:pStyle w:val="ListBullet"/>
      </w:pPr>
      <w:r>
        <w:t>[ ] Path-derived source IDs are treated as Tier 3 aliases and cannot independently establish historical continuity.</w:t>
      </w:r>
    </w:p>
    <w:p>
      <w:pPr>
        <w:pStyle w:val="ListBullet"/>
      </w:pPr>
      <w:r>
        <w:t>[ ] PARTIAL_LINE runs cannot retire unseen history.</w:t>
      </w:r>
    </w:p>
    <w:p>
      <w:pPr>
        <w:pStyle w:val="ListBullet"/>
      </w:pPr>
      <w:r>
        <w:t>[ ] Writer occurrences and component allocations cover 100% of serialized nodes; unplanned writer nodes are zero.</w:t>
      </w:r>
    </w:p>
    <w:p>
      <w:pPr>
        <w:pStyle w:val="ListBullet"/>
      </w:pPr>
      <w:r>
        <w:t>[ ] The approved PSI shared-node occurrence rule is implemented and regression-tested through XML-to-CII.</w:t>
      </w:r>
    </w:p>
    <w:p>
      <w:pPr>
        <w:pStyle w:val="ListBullet"/>
      </w:pPr>
      <w:r>
        <w:t>[ ] The serializer uses only supplied evaluatedAt and deterministic ordering; system clock, locale and randomness are absent.</w:t>
      </w:r>
    </w:p>
    <w:p>
      <w:pPr>
        <w:pStyle w:val="Heading1"/>
        <w:widowControl/>
      </w:pPr>
      <w:r>
        <w:t>17. Risks and mitigations</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528"/>
            <w:shd w:fill="1F3A5F"/>
            <w:tcMar>
              <w:top w:w="80" w:type="dxa"/>
              <w:start w:w="80" w:type="dxa"/>
              <w:bottom w:w="80" w:type="dxa"/>
              <w:end w:w="80" w:type="dxa"/>
            </w:tcMar>
            <w:vAlign w:val="center"/>
          </w:tcPr>
          <w:p>
            <w:pPr>
              <w:jc w:val="center"/>
            </w:pPr>
            <w:r>
              <w:rPr>
                <w:b/>
                <w:color w:val="FFFFFF"/>
                <w:sz w:val="17"/>
              </w:rPr>
              <w:t>Risk</w:t>
            </w:r>
          </w:p>
        </w:tc>
        <w:tc>
          <w:tcPr>
            <w:tcW w:type="dxa" w:w="5832"/>
            <w:shd w:fill="1F3A5F"/>
            <w:tcMar>
              <w:top w:w="80" w:type="dxa"/>
              <w:start w:w="80" w:type="dxa"/>
              <w:bottom w:w="80" w:type="dxa"/>
              <w:end w:w="80" w:type="dxa"/>
            </w:tcMar>
            <w:vAlign w:val="center"/>
          </w:tcPr>
          <w:p>
            <w:pPr>
              <w:jc w:val="center"/>
            </w:pPr>
            <w:r>
              <w:rPr>
                <w:b/>
                <w:color w:val="FFFFFF"/>
                <w:sz w:val="17"/>
              </w:rPr>
              <w:t>Mitigation</w:t>
            </w:r>
          </w:p>
        </w:tc>
      </w:tr>
      <w:tr>
        <w:trPr>
          <w:cantSplit/>
        </w:trPr>
        <w:tc>
          <w:tcPr>
            <w:tcW w:type="dxa" w:w="3528"/>
            <w:tcMar>
              <w:top w:w="80" w:type="dxa"/>
              <w:start w:w="80" w:type="dxa"/>
              <w:bottom w:w="80" w:type="dxa"/>
              <w:end w:w="80" w:type="dxa"/>
            </w:tcMar>
            <w:vAlign w:val="top"/>
          </w:tcPr>
          <w:p>
            <w:pPr>
              <w:spacing w:after="0" w:line="240" w:lineRule="auto"/>
            </w:pPr>
            <w:r>
              <w:rPr>
                <w:sz w:val="17"/>
              </w:rPr>
              <w:t>Unsafe micro-collapse changes engineering semantics</w:t>
            </w:r>
          </w:p>
        </w:tc>
        <w:tc>
          <w:tcPr>
            <w:tcW w:type="dxa" w:w="5832"/>
            <w:tcMar>
              <w:top w:w="80" w:type="dxa"/>
              <w:start w:w="80" w:type="dxa"/>
              <w:bottom w:w="80" w:type="dxa"/>
              <w:end w:w="80" w:type="dxa"/>
            </w:tcMar>
            <w:vAlign w:val="top"/>
          </w:tcPr>
          <w:p>
            <w:pPr>
              <w:spacing w:after="0" w:line="240" w:lineRule="auto"/>
            </w:pPr>
            <w:r>
              <w:rPr>
                <w:sz w:val="17"/>
              </w:rPr>
              <w:t>Type allowlist, hard topology/engineering filters, complete-link clusters and property dispositions.</w:t>
            </w:r>
          </w:p>
        </w:tc>
      </w:tr>
      <w:tr>
        <w:trPr>
          <w:cantSplit/>
        </w:trPr>
        <w:tc>
          <w:tcPr>
            <w:tcW w:type="dxa" w:w="3528"/>
            <w:shd w:fill="F8FAFC"/>
            <w:tcMar>
              <w:top w:w="80" w:type="dxa"/>
              <w:start w:w="80" w:type="dxa"/>
              <w:bottom w:w="80" w:type="dxa"/>
              <w:end w:w="80" w:type="dxa"/>
            </w:tcMar>
            <w:vAlign w:val="top"/>
          </w:tcPr>
          <w:p>
            <w:pPr>
              <w:spacing w:after="0" w:line="240" w:lineRule="auto"/>
            </w:pPr>
            <w:r>
              <w:rPr>
                <w:sz w:val="17"/>
              </w:rPr>
              <w:t>Historic number assigned to the wrong repeated component</w:t>
            </w:r>
          </w:p>
        </w:tc>
        <w:tc>
          <w:tcPr>
            <w:tcW w:type="dxa" w:w="5832"/>
            <w:shd w:fill="F8FAFC"/>
            <w:tcMar>
              <w:top w:w="80" w:type="dxa"/>
              <w:start w:w="80" w:type="dxa"/>
              <w:bottom w:w="80" w:type="dxa"/>
              <w:end w:w="80" w:type="dxa"/>
            </w:tcMar>
            <w:vAlign w:val="top"/>
          </w:tcPr>
          <w:p>
            <w:pPr>
              <w:spacing w:after="0" w:line="240" w:lineRule="auto"/>
            </w:pPr>
            <w:r>
              <w:rPr>
                <w:sz w:val="17"/>
              </w:rPr>
              <w:t>Stable identity tiers, topology evidence, global assignment and ambiguity review.</w:t>
            </w:r>
          </w:p>
        </w:tc>
      </w:tr>
      <w:tr>
        <w:trPr>
          <w:cantSplit/>
        </w:trPr>
        <w:tc>
          <w:tcPr>
            <w:tcW w:type="dxa" w:w="3528"/>
            <w:tcMar>
              <w:top w:w="80" w:type="dxa"/>
              <w:start w:w="80" w:type="dxa"/>
              <w:bottom w:w="80" w:type="dxa"/>
              <w:end w:w="80" w:type="dxa"/>
            </w:tcMar>
            <w:vAlign w:val="top"/>
          </w:tcPr>
          <w:p>
            <w:pPr>
              <w:spacing w:after="0" w:line="240" w:lineRule="auto"/>
            </w:pPr>
            <w:r>
              <w:rPr>
                <w:sz w:val="17"/>
              </w:rPr>
              <w:t>Writer silently bypasses the plan</w:t>
            </w:r>
          </w:p>
        </w:tc>
        <w:tc>
          <w:tcPr>
            <w:tcW w:type="dxa" w:w="5832"/>
            <w:tcMar>
              <w:top w:w="80" w:type="dxa"/>
              <w:start w:w="80" w:type="dxa"/>
              <w:bottom w:w="80" w:type="dxa"/>
              <w:end w:w="80" w:type="dxa"/>
            </w:tcMar>
            <w:vAlign w:val="top"/>
          </w:tcPr>
          <w:p>
            <w:pPr>
              <w:spacing w:after="0" w:line="240" w:lineRule="auto"/>
            </w:pPr>
            <w:r>
              <w:rPr>
                <w:sz w:val="17"/>
              </w:rPr>
              <w:t>Strict writer API, hard missing-allocation errors and exact parity gate.</w:t>
            </w:r>
          </w:p>
        </w:tc>
      </w:tr>
      <w:tr>
        <w:trPr>
          <w:cantSplit/>
        </w:trPr>
        <w:tc>
          <w:tcPr>
            <w:tcW w:type="dxa" w:w="3528"/>
            <w:shd w:fill="F8FAFC"/>
            <w:tcMar>
              <w:top w:w="80" w:type="dxa"/>
              <w:start w:w="80" w:type="dxa"/>
              <w:bottom w:w="80" w:type="dxa"/>
              <w:end w:w="80" w:type="dxa"/>
            </w:tcMar>
            <w:vAlign w:val="top"/>
          </w:tcPr>
          <w:p>
            <w:pPr>
              <w:spacing w:after="0" w:line="240" w:lineRule="auto"/>
            </w:pPr>
            <w:r>
              <w:rPr>
                <w:sz w:val="17"/>
              </w:rPr>
              <w:t>Zone range collision under concurrent PRs</w:t>
            </w:r>
          </w:p>
        </w:tc>
        <w:tc>
          <w:tcPr>
            <w:tcW w:type="dxa" w:w="5832"/>
            <w:shd w:fill="F8FAFC"/>
            <w:tcMar>
              <w:top w:w="80" w:type="dxa"/>
              <w:start w:w="80" w:type="dxa"/>
              <w:bottom w:w="80" w:type="dxa"/>
              <w:end w:w="80" w:type="dxa"/>
            </w:tcMar>
            <w:vAlign w:val="top"/>
          </w:tcPr>
          <w:p>
            <w:pPr>
              <w:spacing w:after="0" w:line="240" w:lineRule="auto"/>
            </w:pPr>
            <w:r>
              <w:rPr>
                <w:sz w:val="17"/>
              </w:rPr>
              <w:t>Zone snapshot manifest, merge queue/lock and current-target validation.</w:t>
            </w:r>
          </w:p>
        </w:tc>
      </w:tr>
      <w:tr>
        <w:trPr>
          <w:cantSplit/>
        </w:trPr>
        <w:tc>
          <w:tcPr>
            <w:tcW w:type="dxa" w:w="3528"/>
            <w:tcMar>
              <w:top w:w="80" w:type="dxa"/>
              <w:start w:w="80" w:type="dxa"/>
              <w:bottom w:w="80" w:type="dxa"/>
              <w:end w:w="80" w:type="dxa"/>
            </w:tcMar>
            <w:vAlign w:val="top"/>
          </w:tcPr>
          <w:p>
            <w:pPr>
              <w:spacing w:after="0" w:line="240" w:lineRule="auto"/>
            </w:pPr>
            <w:r>
              <w:rPr>
                <w:sz w:val="17"/>
              </w:rPr>
              <w:t>Registration creates false proximity</w:t>
            </w:r>
          </w:p>
        </w:tc>
        <w:tc>
          <w:tcPr>
            <w:tcW w:type="dxa" w:w="5832"/>
            <w:tcMar>
              <w:top w:w="80" w:type="dxa"/>
              <w:start w:w="80" w:type="dxa"/>
              <w:bottom w:w="80" w:type="dxa"/>
              <w:end w:w="80" w:type="dxa"/>
            </w:tcMar>
            <w:vAlign w:val="top"/>
          </w:tcPr>
          <w:p>
            <w:pPr>
              <w:spacing w:after="0" w:line="240" w:lineRule="auto"/>
            </w:pPr>
            <w:r>
              <w:rPr>
                <w:sz w:val="17"/>
              </w:rPr>
              <w:t>Versioned transform contract, anchor/residual thresholds and spatial disablement on failure.</w:t>
            </w:r>
          </w:p>
        </w:tc>
      </w:tr>
      <w:tr>
        <w:trPr>
          <w:cantSplit/>
        </w:trPr>
        <w:tc>
          <w:tcPr>
            <w:tcW w:type="dxa" w:w="3528"/>
            <w:shd w:fill="F8FAFC"/>
            <w:tcMar>
              <w:top w:w="80" w:type="dxa"/>
              <w:start w:w="80" w:type="dxa"/>
              <w:bottom w:w="80" w:type="dxa"/>
              <w:end w:w="80" w:type="dxa"/>
            </w:tcMar>
            <w:vAlign w:val="top"/>
          </w:tcPr>
          <w:p>
            <w:pPr>
              <w:spacing w:after="0" w:line="240" w:lineRule="auto"/>
            </w:pPr>
            <w:r>
              <w:rPr>
                <w:sz w:val="17"/>
              </w:rPr>
              <w:t>Registry becomes difficult to maintain</w:t>
            </w:r>
          </w:p>
        </w:tc>
        <w:tc>
          <w:tcPr>
            <w:tcW w:type="dxa" w:w="5832"/>
            <w:shd w:fill="F8FAFC"/>
            <w:tcMar>
              <w:top w:w="80" w:type="dxa"/>
              <w:start w:w="80" w:type="dxa"/>
              <w:bottom w:w="80" w:type="dxa"/>
              <w:end w:w="80" w:type="dxa"/>
            </w:tcMar>
            <w:vAlign w:val="top"/>
          </w:tcPr>
          <w:p>
            <w:pPr>
              <w:spacing w:after="0" w:line="240" w:lineRule="auto"/>
            </w:pPr>
            <w:r>
              <w:rPr>
                <w:sz w:val="17"/>
              </w:rPr>
              <w:t>Per-zone manifest, per-line files, immutable run files and explicit lifecycle actions.</w:t>
            </w:r>
          </w:p>
        </w:tc>
      </w:tr>
      <w:tr>
        <w:trPr>
          <w:cantSplit/>
        </w:trPr>
        <w:tc>
          <w:tcPr>
            <w:tcW w:type="dxa" w:w="3528"/>
            <w:tcMar>
              <w:top w:w="80" w:type="dxa"/>
              <w:start w:w="80" w:type="dxa"/>
              <w:bottom w:w="80" w:type="dxa"/>
              <w:end w:w="80" w:type="dxa"/>
            </w:tcMar>
            <w:vAlign w:val="top"/>
          </w:tcPr>
          <w:p>
            <w:pPr>
              <w:spacing w:after="0" w:line="240" w:lineRule="auto"/>
            </w:pPr>
            <w:r>
              <w:rPr>
                <w:sz w:val="17"/>
              </w:rPr>
              <w:t>Thresholds overfit one benchmark</w:t>
            </w:r>
          </w:p>
        </w:tc>
        <w:tc>
          <w:tcPr>
            <w:tcW w:type="dxa" w:w="5832"/>
            <w:tcMar>
              <w:top w:w="80" w:type="dxa"/>
              <w:start w:w="80" w:type="dxa"/>
              <w:bottom w:w="80" w:type="dxa"/>
              <w:end w:w="80" w:type="dxa"/>
            </w:tcMar>
            <w:vAlign w:val="top"/>
          </w:tcPr>
          <w:p>
            <w:pPr>
              <w:spacing w:after="0" w:line="240" w:lineRule="auto"/>
            </w:pPr>
            <w:r>
              <w:rPr>
                <w:sz w:val="17"/>
              </w:rPr>
              <w:t>Shadow mode, multiple approved revisions, policy versioning and benchmark calibration.</w:t>
            </w:r>
          </w:p>
        </w:tc>
      </w:tr>
      <w:tr>
        <w:trPr>
          <w:cantSplit/>
        </w:trPr>
        <w:tc>
          <w:tcPr>
            <w:tcW w:type="dxa" w:w="3528"/>
            <w:shd w:fill="F8FAFC"/>
            <w:tcMar>
              <w:top w:w="80" w:type="dxa"/>
              <w:start w:w="80" w:type="dxa"/>
              <w:bottom w:w="80" w:type="dxa"/>
              <w:end w:w="80" w:type="dxa"/>
            </w:tcMar>
            <w:vAlign w:val="top"/>
          </w:tcPr>
          <w:p>
            <w:pPr>
              <w:spacing w:after="0" w:line="240" w:lineRule="auto"/>
            </w:pPr>
            <w:r>
              <w:rPr>
                <w:sz w:val="17"/>
              </w:rPr>
              <w:t>Historical stability conflicts with sequence order</w:t>
            </w:r>
          </w:p>
        </w:tc>
        <w:tc>
          <w:tcPr>
            <w:tcW w:type="dxa" w:w="5832"/>
            <w:shd w:fill="F8FAFC"/>
            <w:tcMar>
              <w:top w:w="80" w:type="dxa"/>
              <w:start w:w="80" w:type="dxa"/>
              <w:bottom w:w="80" w:type="dxa"/>
              <w:end w:w="80" w:type="dxa"/>
            </w:tcMar>
            <w:vAlign w:val="top"/>
          </w:tcPr>
          <w:p>
            <w:pPr>
              <w:spacing w:after="0" w:line="240" w:lineRule="auto"/>
            </w:pPr>
            <w:r>
              <w:rPr>
                <w:sz w:val="17"/>
              </w:rPr>
              <w:t>Explicit policy: historical stability outranks monotonic numbering in V1.</w:t>
            </w:r>
          </w:p>
        </w:tc>
      </w:tr>
    </w:tbl>
    <w:p>
      <w:pPr>
        <w:spacing w:after="0"/>
        <w:widowControl/>
      </w:pPr>
    </w:p>
    <w:p>
      <w:pPr>
        <w:pStyle w:val="Heading1"/>
        <w:widowControl/>
      </w:pPr>
      <w:r>
        <w:t>18. Open decisions for review</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221"/>
        <w:gridCol w:w="3221"/>
        <w:gridCol w:w="3221"/>
      </w:tblGrid>
      <w:tr>
        <w:trPr>
          <w:tblHeader w:val="true"/>
          <w:cantSplit/>
        </w:trPr>
        <w:tc>
          <w:tcPr>
            <w:tcW w:type="dxa" w:w="3816"/>
            <w:shd w:fill="1F3A5F"/>
            <w:tcMar>
              <w:top w:w="80" w:type="dxa"/>
              <w:start w:w="80" w:type="dxa"/>
              <w:bottom w:w="80" w:type="dxa"/>
              <w:end w:w="80" w:type="dxa"/>
            </w:tcMar>
            <w:vAlign w:val="center"/>
          </w:tcPr>
          <w:p>
            <w:pPr>
              <w:jc w:val="center"/>
            </w:pPr>
            <w:r>
              <w:rPr>
                <w:b/>
                <w:color w:val="FFFFFF"/>
                <w:sz w:val="16"/>
              </w:rPr>
              <w:t>Decision</w:t>
            </w:r>
          </w:p>
        </w:tc>
        <w:tc>
          <w:tcPr>
            <w:tcW w:type="dxa" w:w="4680"/>
            <w:shd w:fill="1F3A5F"/>
            <w:tcMar>
              <w:top w:w="80" w:type="dxa"/>
              <w:start w:w="80" w:type="dxa"/>
              <w:bottom w:w="80" w:type="dxa"/>
              <w:end w:w="80" w:type="dxa"/>
            </w:tcMar>
            <w:vAlign w:val="center"/>
          </w:tcPr>
          <w:p>
            <w:pPr>
              <w:jc w:val="center"/>
            </w:pPr>
            <w:r>
              <w:rPr>
                <w:b/>
                <w:color w:val="FFFFFF"/>
                <w:sz w:val="16"/>
              </w:rPr>
              <w:t>Recommended default</w:t>
            </w:r>
          </w:p>
        </w:tc>
        <w:tc>
          <w:tcPr>
            <w:tcW w:type="dxa" w:w="1584"/>
            <w:shd w:fill="1F3A5F"/>
            <w:tcMar>
              <w:top w:w="80" w:type="dxa"/>
              <w:start w:w="80" w:type="dxa"/>
              <w:bottom w:w="80" w:type="dxa"/>
              <w:end w:w="80" w:type="dxa"/>
            </w:tcMar>
            <w:vAlign w:val="center"/>
          </w:tcPr>
          <w:p>
            <w:pPr>
              <w:jc w:val="center"/>
            </w:pPr>
            <w:r>
              <w:rPr>
                <w:b/>
                <w:color w:val="FFFFFF"/>
                <w:sz w:val="16"/>
              </w:rPr>
              <w:t>Reviewer response</w:t>
            </w:r>
          </w:p>
        </w:tc>
      </w:tr>
      <w:tr>
        <w:trPr>
          <w:cantSplit/>
        </w:trPr>
        <w:tc>
          <w:tcPr>
            <w:tcW w:type="dxa" w:w="3816"/>
            <w:tcMar>
              <w:top w:w="80" w:type="dxa"/>
              <w:start w:w="80" w:type="dxa"/>
              <w:bottom w:w="80" w:type="dxa"/>
              <w:end w:w="80" w:type="dxa"/>
            </w:tcMar>
            <w:vAlign w:val="top"/>
          </w:tcPr>
          <w:p>
            <w:pPr>
              <w:spacing w:after="0" w:line="240" w:lineRule="auto"/>
            </w:pPr>
            <w:r>
              <w:rPr>
                <w:sz w:val="16"/>
              </w:rPr>
              <w:t>Zone definition and source authority</w:t>
            </w:r>
          </w:p>
        </w:tc>
        <w:tc>
          <w:tcPr>
            <w:tcW w:type="dxa" w:w="4680"/>
            <w:tcMar>
              <w:top w:w="80" w:type="dxa"/>
              <w:start w:w="80" w:type="dxa"/>
              <w:bottom w:w="80" w:type="dxa"/>
              <w:end w:w="80" w:type="dxa"/>
            </w:tcMar>
            <w:vAlign w:val="top"/>
          </w:tcPr>
          <w:p>
            <w:pPr>
              <w:spacing w:after="0" w:line="240" w:lineRule="auto"/>
            </w:pPr>
            <w:r>
              <w:rPr>
                <w:sz w:val="16"/>
              </w:rPr>
              <w:t>Explicit project configuration; no inference from branch name alone.</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Main-line authority when OWNER and source root disagree</w:t>
            </w:r>
          </w:p>
        </w:tc>
        <w:tc>
          <w:tcPr>
            <w:tcW w:type="dxa" w:w="4680"/>
            <w:shd w:fill="F8FAFC"/>
            <w:tcMar>
              <w:top w:w="80" w:type="dxa"/>
              <w:start w:w="80" w:type="dxa"/>
              <w:bottom w:w="80" w:type="dxa"/>
              <w:end w:w="80" w:type="dxa"/>
            </w:tcMar>
            <w:vAlign w:val="top"/>
          </w:tcPr>
          <w:p>
            <w:pPr>
              <w:spacing w:after="0" w:line="240" w:lineRule="auto"/>
            </w:pPr>
            <w:r>
              <w:rPr>
                <w:sz w:val="16"/>
              </w:rPr>
              <w:t>REVIEW_REQUIRED or BLOCKED.</w:t>
            </w:r>
          </w:p>
        </w:tc>
        <w:tc>
          <w:tcPr>
            <w:tcW w:type="dxa" w:w="1584"/>
            <w:shd w:fill="F8FAFC"/>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tcMar>
              <w:top w:w="80" w:type="dxa"/>
              <w:start w:w="80" w:type="dxa"/>
              <w:bottom w:w="80" w:type="dxa"/>
              <w:end w:w="80" w:type="dxa"/>
            </w:tcMar>
            <w:vAlign w:val="top"/>
          </w:tcPr>
          <w:p>
            <w:pPr>
              <w:spacing w:after="0" w:line="240" w:lineRule="auto"/>
            </w:pPr>
            <w:r>
              <w:rPr>
                <w:sz w:val="16"/>
              </w:rPr>
              <w:t>Micro-component allowlist</w:t>
            </w:r>
          </w:p>
        </w:tc>
        <w:tc>
          <w:tcPr>
            <w:tcW w:type="dxa" w:w="4680"/>
            <w:tcMar>
              <w:top w:w="80" w:type="dxa"/>
              <w:start w:w="80" w:type="dxa"/>
              <w:bottom w:w="80" w:type="dxa"/>
              <w:end w:w="80" w:type="dxa"/>
            </w:tcMar>
            <w:vAlign w:val="top"/>
          </w:tcPr>
          <w:p>
            <w:r>
              <w:t>Only known synthetic/auto-generated placeholders auto-consume. GASKET is REVIEW_REQUIRED in V1.</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Gap snapping across different main lines</w:t>
            </w:r>
          </w:p>
        </w:tc>
        <w:tc>
          <w:tcPr>
            <w:tcW w:type="dxa" w:w="4680"/>
            <w:shd w:fill="F8FAFC"/>
            <w:tcMar>
              <w:top w:w="80" w:type="dxa"/>
              <w:start w:w="80" w:type="dxa"/>
              <w:bottom w:w="80" w:type="dxa"/>
              <w:end w:w="80" w:type="dxa"/>
            </w:tcMar>
            <w:vAlign w:val="top"/>
          </w:tcPr>
          <w:p>
            <w:pPr>
              <w:spacing w:after="0" w:line="240" w:lineRule="auto"/>
            </w:pPr>
            <w:r>
              <w:rPr>
                <w:sz w:val="16"/>
              </w:rPr>
              <w:t>Prohibited without explicit reference/approved shared-node relationship.</w:t>
            </w:r>
          </w:p>
        </w:tc>
        <w:tc>
          <w:tcPr>
            <w:tcW w:type="dxa" w:w="1584"/>
            <w:shd w:fill="F8FAFC"/>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tcMar>
              <w:top w:w="80" w:type="dxa"/>
              <w:start w:w="80" w:type="dxa"/>
              <w:bottom w:w="80" w:type="dxa"/>
              <w:end w:w="80" w:type="dxa"/>
            </w:tcMar>
            <w:vAlign w:val="top"/>
          </w:tcPr>
          <w:p>
            <w:pPr>
              <w:spacing w:after="0" w:line="240" w:lineRule="auto"/>
            </w:pPr>
            <w:r>
              <w:rPr>
                <w:sz w:val="16"/>
              </w:rPr>
              <w:t>Cluster representative coordinate</w:t>
            </w:r>
          </w:p>
        </w:tc>
        <w:tc>
          <w:tcPr>
            <w:tcW w:type="dxa" w:w="4680"/>
            <w:tcMar>
              <w:top w:w="80" w:type="dxa"/>
              <w:start w:w="80" w:type="dxa"/>
              <w:bottom w:w="80" w:type="dxa"/>
              <w:end w:w="80" w:type="dxa"/>
            </w:tcMar>
            <w:vAlign w:val="top"/>
          </w:tcPr>
          <w:p>
            <w:pPr>
              <w:spacing w:after="0" w:line="240" w:lineRule="auto"/>
            </w:pPr>
            <w:r>
              <w:rPr>
                <w:sz w:val="16"/>
              </w:rPr>
              <w:t>Historical coordinate, otherwise deterministic medoid.</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Historical reuse threshold and ambiguity gap</w:t>
            </w:r>
          </w:p>
        </w:tc>
        <w:tc>
          <w:tcPr>
            <w:tcW w:type="dxa" w:w="4680"/>
            <w:shd w:fill="F8FAFC"/>
            <w:tcMar>
              <w:top w:w="80" w:type="dxa"/>
              <w:start w:w="80" w:type="dxa"/>
              <w:bottom w:w="80" w:type="dxa"/>
              <w:end w:w="80" w:type="dxa"/>
            </w:tcMar>
            <w:vAlign w:val="top"/>
          </w:tcPr>
          <w:p>
            <w:pPr>
              <w:spacing w:after="0" w:line="240" w:lineRule="auto"/>
            </w:pPr>
            <w:r>
              <w:rPr>
                <w:sz w:val="16"/>
              </w:rPr>
              <w:t>90 and 8 as shadow defaults only.</w:t>
            </w:r>
          </w:p>
        </w:tc>
        <w:tc>
          <w:tcPr>
            <w:tcW w:type="dxa" w:w="1584"/>
            <w:shd w:fill="F8FAFC"/>
            <w:tcMar>
              <w:top w:w="80" w:type="dxa"/>
              <w:start w:w="80" w:type="dxa"/>
              <w:bottom w:w="80" w:type="dxa"/>
              <w:end w:w="80" w:type="dxa"/>
            </w:tcMar>
            <w:vAlign w:val="top"/>
          </w:tcPr>
          <w:p>
            <w:pPr>
              <w:spacing w:after="0" w:line="240" w:lineRule="auto"/>
            </w:pPr>
            <w:r>
              <w:rPr>
                <w:sz w:val="16"/>
              </w:rPr>
              <w:t>Approve for shadow / propose values</w:t>
            </w:r>
          </w:p>
        </w:tc>
      </w:tr>
      <w:tr>
        <w:trPr>
          <w:cantSplit/>
        </w:trPr>
        <w:tc>
          <w:tcPr>
            <w:tcW w:type="dxa" w:w="3816"/>
            <w:tcMar>
              <w:top w:w="80" w:type="dxa"/>
              <w:start w:w="80" w:type="dxa"/>
              <w:bottom w:w="80" w:type="dxa"/>
              <w:end w:w="80" w:type="dxa"/>
            </w:tcMar>
            <w:vAlign w:val="top"/>
          </w:tcPr>
          <w:p>
            <w:pPr>
              <w:spacing w:after="0" w:line="240" w:lineRule="auto"/>
            </w:pPr>
            <w:r>
              <w:rPr>
                <w:sz w:val="16"/>
              </w:rPr>
              <w:t>Assignment algorithm</w:t>
            </w:r>
          </w:p>
        </w:tc>
        <w:tc>
          <w:tcPr>
            <w:tcW w:type="dxa" w:w="4680"/>
            <w:tcMar>
              <w:top w:w="80" w:type="dxa"/>
              <w:start w:w="80" w:type="dxa"/>
              <w:bottom w:w="80" w:type="dxa"/>
              <w:end w:w="80" w:type="dxa"/>
            </w:tcMar>
            <w:vAlign w:val="top"/>
          </w:tcPr>
          <w:p>
            <w:pPr>
              <w:spacing w:after="0" w:line="240" w:lineRule="auto"/>
            </w:pPr>
            <w:r>
              <w:rPr>
                <w:sz w:val="16"/>
              </w:rPr>
              <w:t>Maximum-weight one-to-one per connected candidate group.</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Numbering order policy</w:t>
            </w:r>
          </w:p>
        </w:tc>
        <w:tc>
          <w:tcPr>
            <w:tcW w:type="dxa" w:w="4680"/>
            <w:shd w:fill="F8FAFC"/>
            <w:tcMar>
              <w:top w:w="80" w:type="dxa"/>
              <w:start w:w="80" w:type="dxa"/>
              <w:bottom w:w="80" w:type="dxa"/>
              <w:end w:w="80" w:type="dxa"/>
            </w:tcMar>
            <w:vAlign w:val="top"/>
          </w:tcPr>
          <w:p>
            <w:pPr>
              <w:spacing w:after="0" w:line="240" w:lineRule="auto"/>
            </w:pPr>
            <w:r>
              <w:rPr>
                <w:sz w:val="16"/>
              </w:rPr>
              <w:t>Historical stability over physical-order monotonicity.</w:t>
            </w:r>
          </w:p>
        </w:tc>
        <w:tc>
          <w:tcPr>
            <w:tcW w:type="dxa" w:w="1584"/>
            <w:shd w:fill="F8FAFC"/>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tcMar>
              <w:top w:w="80" w:type="dxa"/>
              <w:start w:w="80" w:type="dxa"/>
              <w:bottom w:w="80" w:type="dxa"/>
              <w:end w:w="80" w:type="dxa"/>
            </w:tcMar>
            <w:vAlign w:val="top"/>
          </w:tcPr>
          <w:p>
            <w:pPr>
              <w:spacing w:after="0" w:line="240" w:lineRule="auto"/>
            </w:pPr>
            <w:r>
              <w:rPr>
                <w:sz w:val="16"/>
              </w:rPr>
              <w:t>Retired-number reuse</w:t>
            </w:r>
          </w:p>
        </w:tc>
        <w:tc>
          <w:tcPr>
            <w:tcW w:type="dxa" w:w="4680"/>
            <w:tcMar>
              <w:top w:w="80" w:type="dxa"/>
              <w:start w:w="80" w:type="dxa"/>
              <w:bottom w:w="80" w:type="dxa"/>
              <w:end w:w="80" w:type="dxa"/>
            </w:tcMar>
            <w:vAlign w:val="top"/>
          </w:tcPr>
          <w:p>
            <w:pPr>
              <w:spacing w:after="0" w:line="240" w:lineRule="auto"/>
            </w:pPr>
            <w:r>
              <w:rPr>
                <w:sz w:val="16"/>
              </w:rPr>
              <w:t>Disabled.</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Non-contiguous line leases</w:t>
            </w:r>
          </w:p>
        </w:tc>
        <w:tc>
          <w:tcPr>
            <w:tcW w:type="dxa" w:w="4680"/>
            <w:shd w:fill="F8FAFC"/>
            <w:tcMar>
              <w:top w:w="80" w:type="dxa"/>
              <w:start w:w="80" w:type="dxa"/>
              <w:bottom w:w="80" w:type="dxa"/>
              <w:end w:w="80" w:type="dxa"/>
            </w:tcMar>
            <w:vAlign w:val="top"/>
          </w:tcPr>
          <w:p>
            <w:pPr>
              <w:spacing w:after="0" w:line="240" w:lineRule="auto"/>
            </w:pPr>
            <w:r>
              <w:rPr>
                <w:sz w:val="16"/>
              </w:rPr>
              <w:t>Allowed subject to downstream consumer proof.</w:t>
            </w:r>
          </w:p>
        </w:tc>
        <w:tc>
          <w:tcPr>
            <w:tcW w:type="dxa" w:w="1584"/>
            <w:shd w:fill="F8FAFC"/>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tcMar>
              <w:top w:w="80" w:type="dxa"/>
              <w:start w:w="80" w:type="dxa"/>
              <w:bottom w:w="80" w:type="dxa"/>
              <w:end w:w="80" w:type="dxa"/>
            </w:tcMar>
            <w:vAlign w:val="top"/>
          </w:tcPr>
          <w:p>
            <w:pPr>
              <w:spacing w:after="0" w:line="240" w:lineRule="auto"/>
            </w:pPr>
            <w:r>
              <w:rPr>
                <w:sz w:val="16"/>
              </w:rPr>
              <w:t>Split/merge automation</w:t>
            </w:r>
          </w:p>
        </w:tc>
        <w:tc>
          <w:tcPr>
            <w:tcW w:type="dxa" w:w="4680"/>
            <w:tcMar>
              <w:top w:w="80" w:type="dxa"/>
              <w:start w:w="80" w:type="dxa"/>
              <w:bottom w:w="80" w:type="dxa"/>
              <w:end w:w="80" w:type="dxa"/>
            </w:tcMar>
            <w:vAlign w:val="top"/>
          </w:tcPr>
          <w:p>
            <w:pPr>
              <w:spacing w:after="0" w:line="240" w:lineRule="auto"/>
            </w:pPr>
            <w:r>
              <w:rPr>
                <w:sz w:val="16"/>
              </w:rPr>
              <w:t>Review only in V1.</w:t>
            </w:r>
          </w:p>
        </w:tc>
        <w:tc>
          <w:tcPr>
            <w:tcW w:type="dxa" w:w="1584"/>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6"/>
              </w:rPr>
              <w:t>GitHub transaction control</w:t>
            </w:r>
          </w:p>
        </w:tc>
        <w:tc>
          <w:tcPr>
            <w:tcW w:type="dxa" w:w="4680"/>
            <w:shd w:fill="F8FAFC"/>
            <w:tcMar>
              <w:top w:w="80" w:type="dxa"/>
              <w:start w:w="80" w:type="dxa"/>
              <w:bottom w:w="80" w:type="dxa"/>
              <w:end w:w="80" w:type="dxa"/>
            </w:tcMar>
            <w:vAlign w:val="top"/>
          </w:tcPr>
          <w:p>
            <w:pPr>
              <w:spacing w:after="0" w:line="240" w:lineRule="auto"/>
            </w:pPr>
            <w:r>
              <w:rPr>
                <w:sz w:val="16"/>
              </w:rPr>
              <w:t>Zone merge queue/lock with no stale-base override.</w:t>
            </w:r>
          </w:p>
        </w:tc>
        <w:tc>
          <w:tcPr>
            <w:tcW w:type="dxa" w:w="1584"/>
            <w:shd w:fill="F8FAFC"/>
            <w:tcMar>
              <w:top w:w="80" w:type="dxa"/>
              <w:start w:w="80" w:type="dxa"/>
              <w:bottom w:w="80" w:type="dxa"/>
              <w:end w:w="80" w:type="dxa"/>
            </w:tcMar>
            <w:vAlign w:val="top"/>
          </w:tcPr>
          <w:p>
            <w:pPr>
              <w:spacing w:after="0" w:line="240" w:lineRule="auto"/>
            </w:pPr>
            <w:r>
              <w:rPr>
                <w:sz w:val="16"/>
              </w:rPr>
              <w:t>Approve / revise</w:t>
            </w:r>
          </w:p>
        </w:tc>
      </w:tr>
      <w:tr>
        <w:trPr>
          <w:cantSplit/>
        </w:trPr>
        <w:tc>
          <w:tcPr>
            <w:tcW w:type="dxa" w:w="3221"/>
            <w:vAlign w:val="center"/>
          </w:tcPr>
          <w:p>
            <w:r/>
            <w:r>
              <w:rPr>
                <w:b/>
              </w:rPr>
              <w:t>Shared logical-node PSI serialization</w:t>
            </w:r>
          </w:p>
        </w:tc>
        <w:tc>
          <w:tcPr>
            <w:tcW w:type="dxa" w:w="3221"/>
            <w:vAlign w:val="center"/>
          </w:tcPr>
          <w:p>
            <w:r/>
            <w:r>
              <w:rPr>
                <w:b w:val="0"/>
              </w:rPr>
              <w:t>Approve repeated-vs-owning occurrence semantics only after PSI-116 and production XML-to-CII benchmark proof.</w:t>
            </w:r>
          </w:p>
        </w:tc>
        <w:tc>
          <w:tcPr>
            <w:tcW w:type="dxa" w:w="3221"/>
            <w:vAlign w:val="center"/>
          </w:tcPr>
          <w:p>
            <w:r/>
            <w:r>
              <w:rPr>
                <w:b w:val="0"/>
              </w:rPr>
              <w:t>Approve / revise</w:t>
            </w:r>
          </w:p>
        </w:tc>
      </w:tr>
      <w:tr>
        <w:trPr>
          <w:cantSplit/>
        </w:trPr>
        <w:tc>
          <w:tcPr>
            <w:tcW w:type="dxa" w:w="3221"/>
            <w:vAlign w:val="center"/>
          </w:tcPr>
          <w:p>
            <w:r/>
            <w:r>
              <w:rPr>
                <w:b/>
              </w:rPr>
              <w:t>Retirement coverage authority</w:t>
            </w:r>
          </w:p>
        </w:tc>
        <w:tc>
          <w:tcPr>
            <w:tcW w:type="dxa" w:w="3221"/>
            <w:vAlign w:val="center"/>
          </w:tcPr>
          <w:p>
            <w:r/>
            <w:r>
              <w:rPr>
                <w:b w:val="0"/>
              </w:rPr>
              <w:t>FULL_ZONE/FULL_LINE only; PARTIAL_LINE cannot retire.</w:t>
            </w:r>
          </w:p>
        </w:tc>
        <w:tc>
          <w:tcPr>
            <w:tcW w:type="dxa" w:w="3221"/>
            <w:vAlign w:val="center"/>
          </w:tcPr>
          <w:p>
            <w:r/>
            <w:r>
              <w:rPr>
                <w:b w:val="0"/>
              </w:rPr>
              <w:t>Approve / revise</w:t>
            </w:r>
          </w:p>
        </w:tc>
      </w:tr>
      <w:tr>
        <w:trPr>
          <w:cantSplit/>
        </w:trPr>
        <w:tc>
          <w:tcPr>
            <w:tcW w:type="dxa" w:w="3221"/>
            <w:vAlign w:val="center"/>
          </w:tcPr>
          <w:p>
            <w:r/>
            <w:r>
              <w:rPr>
                <w:b/>
              </w:rPr>
              <w:t>In-scope downstream topology projections</w:t>
            </w:r>
          </w:p>
        </w:tc>
        <w:tc>
          <w:tcPr>
            <w:tcW w:type="dxa" w:w="3221"/>
            <w:vAlign w:val="center"/>
          </w:tcPr>
          <w:p>
            <w:r/>
            <w:r>
              <w:rPr>
                <w:b w:val="0"/>
              </w:rPr>
              <w:t>LogicalPsiGraph.v1 must govern component topology, SVG/parity, PSI and CII projections in this workflow.</w:t>
            </w:r>
          </w:p>
        </w:tc>
        <w:tc>
          <w:tcPr>
            <w:tcW w:type="dxa" w:w="3221"/>
            <w:vAlign w:val="center"/>
          </w:tcPr>
          <w:p>
            <w:r/>
            <w:r>
              <w:rPr>
                <w:b w:val="0"/>
              </w:rPr>
              <w:t>Approve / revise</w:t>
            </w:r>
          </w:p>
        </w:tc>
      </w:tr>
    </w:tbl>
    <w:p>
      <w:pPr>
        <w:spacing w:after="0"/>
        <w:widowControl/>
      </w:pPr>
    </w:p>
    <w:tbl>
      <w:tblPr>
        <w:tblW w:type="auto" w:w="0"/>
        <w:jc w:val="center"/>
        <w:tblLayout w:type="autofit"/>
        <w:tblLook w:firstColumn="1" w:firstRow="1" w:lastColumn="0" w:lastRow="0" w:noHBand="0" w:noVBand="1" w:val="04A0"/>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Pr>
      <w:tblGrid>
        <w:gridCol w:w="9663"/>
      </w:tblGrid>
      <w:tr>
        <w:trPr>
          <w:cantSplit/>
        </w:trPr>
        <w:tc>
          <w:tcPr>
            <w:tcW w:type="dxa" w:w="9663"/>
            <w:shd w:fill="E2F0D9"/>
            <w:tcMar>
              <w:top w:w="100" w:type="dxa"/>
              <w:start w:w="140" w:type="dxa"/>
              <w:bottom w:w="100" w:type="dxa"/>
              <w:end w:w="140" w:type="dxa"/>
            </w:tcMar>
          </w:tcPr>
          <w:p>
            <w:r>
              <w:rPr>
                <w:b/>
                <w:color w:val="1F3A5F"/>
                <w:sz w:val="21"/>
              </w:rPr>
              <w:t>Review recommendation</w:t>
            </w:r>
            <w:r>
              <w:br/>
              <w:t>Approve the architecture with the explicit condition that historical matching remains shadow-only until the writer authority migration and approved-registry bootstrap are complete.</w:t>
            </w:r>
          </w:p>
        </w:tc>
      </w:tr>
    </w:tbl>
    <w:p>
      <w:pPr>
        <w:spacing w:after="0"/>
        <w:widowControl/>
      </w:pPr>
    </w:p>
    <w:p>
      <w:pPr>
        <w:pStyle w:val="Heading1"/>
        <w:pageBreakBefore/>
        <w:widowControl/>
      </w:pPr>
      <w:r>
        <w:t>Appendix A. Contract skeletons</w:t>
      </w:r>
    </w:p>
    <w:p>
      <w:pPr>
        <w:pStyle w:val="Heading2"/>
        <w:widowControl/>
      </w:pPr>
      <w:r>
        <w:t>A.1 MicroGeometryNormalization.v1</w:t>
      </w:r>
    </w:p>
    <w:p>
      <w:pPr>
        <w:pStyle w:val="CodeBlock"/>
        <w:keepLines/>
        <w:shd w:fill="F2F2F2"/>
        <w:widowControl/>
      </w:pPr>
      <w:r>
        <w:t>{</w:t>
        <w:br/>
        <w:t xml:space="preserve">  schema: "MicroGeometryNormalization.v1",</w:t>
        <w:br/>
        <w:t xml:space="preserve">  sourceInventoryHash,</w:t>
        <w:br/>
        <w:t xml:space="preserve">  policyId,</w:t>
        <w:br/>
        <w:t xml:space="preserve">  logicalNodes: [],</w:t>
        <w:br/>
        <w:t xml:space="preserve">  logicalEdges: [],</w:t>
        <w:br/>
        <w:t xml:space="preserve">  consumedComponents: [],</w:t>
        <w:br/>
        <w:t xml:space="preserve">  snappedGaps: [],</w:t>
        <w:br/>
        <w:t xml:space="preserve">  rawPortAliases: [],</w:t>
        <w:br/>
        <w:t xml:space="preserve">  blockedCandidates: [],</w:t>
        <w:br/>
        <w:t xml:space="preserve">  reviewItems: [],</w:t>
        <w:br/>
        <w:t xml:space="preserve">  logicalGraphHash</w:t>
        <w:br/>
        <w:t>}</w:t>
      </w:r>
    </w:p>
    <w:p>
      <w:pPr>
        <w:pStyle w:val="Heading2"/>
        <w:widowControl/>
      </w:pPr>
      <w:r>
        <w:t>A.2 NodeHistoryMatchPlan.v1</w:t>
      </w:r>
    </w:p>
    <w:p>
      <w:pPr>
        <w:pStyle w:val="CodeBlock"/>
        <w:keepLines/>
        <w:shd w:fill="F2F2F2"/>
        <w:widowControl/>
      </w:pPr>
      <w:r>
        <w:t>{</w:t>
        <w:br/>
        <w:t xml:space="preserve">  schema: "NodeHistoryMatchPlan.v1",</w:t>
        <w:br/>
        <w:t xml:space="preserve">  matcherPolicyId,</w:t>
        <w:br/>
        <w:t xml:space="preserve">  scoreModelVersion,</w:t>
        <w:br/>
        <w:t xml:space="preserve">  registrationHash,</w:t>
        <w:br/>
        <w:t xml:space="preserve">  candidates: [</w:t>
        <w:br/>
        <w:t xml:space="preserve">    { currentLogicalNodeId, historyNodeId, score, reasons, hardConflicts }</w:t>
        <w:br/>
        <w:t xml:space="preserve">  ],</w:t>
        <w:br/>
        <w:t xml:space="preserve">  assignment: [</w:t>
        <w:br/>
        <w:t xml:space="preserve">    { currentLogicalNodeId, historyNodeId, score, margin, disposition }</w:t>
        <w:br/>
        <w:t xml:space="preserve">  ],</w:t>
        <w:br/>
        <w:t xml:space="preserve">  ambiguities: [],</w:t>
        <w:br/>
        <w:t xml:space="preserve">  lifecycleEvents: [],</w:t>
        <w:br/>
        <w:t xml:space="preserve">  status</w:t>
        <w:br/>
        <w:t>}</w:t>
      </w:r>
    </w:p>
    <w:p>
      <w:pPr>
        <w:pStyle w:val="Heading2"/>
        <w:widowControl/>
      </w:pPr>
      <w:r>
        <w:t>A.3 PsiNodeAllocationPlan.v1</w:t>
      </w:r>
    </w:p>
    <w:p>
      <w:pPr>
        <w:pStyle w:val="CodeBlock"/>
        <w:keepLines/>
        <w:shd w:fill="F2F2F2"/>
        <w:widowControl/>
      </w:pPr>
      <w:r>
        <w:t>{</w:t>
        <w:br/>
        <w:t xml:space="preserve">  schema: "PsiNodeAllocationPlan.v1",</w:t>
        <w:br/>
        <w:t xml:space="preserve">  allocatorPolicyId,</w:t>
        <w:br/>
        <w:t xml:space="preserve">  baseRegistrySnapshotHash,</w:t>
        <w:br/>
        <w:t xml:space="preserve">  zoneId,</w:t>
        <w:br/>
        <w:t xml:space="preserve">  reused: [],</w:t>
        <w:br/>
        <w:t xml:space="preserve">  allocated: [],</w:t>
        <w:br/>
        <w:t xml:space="preserve">  retired: [],</w:t>
        <w:br/>
        <w:t xml:space="preserve">  reactivated: [],</w:t>
        <w:br/>
        <w:t xml:space="preserve">  leaseChanges: [],</w:t>
        <w:br/>
        <w:t xml:space="preserve">  collisions: [],</w:t>
        <w:br/>
        <w:t xml:space="preserve">  proposedRegistrySnapshotHash,</w:t>
        <w:br/>
        <w:t xml:space="preserve">  status</w:t>
        <w:br/>
        <w:t>}</w:t>
      </w:r>
    </w:p>
    <w:p>
      <w:pPr>
        <w:pStyle w:val="Heading2"/>
        <w:widowControl/>
      </w:pPr>
      <w:r>
        <w:t>A.4 Writer decision evidence</w:t>
      </w:r>
    </w:p>
    <w:p>
      <w:pPr>
        <w:pStyle w:val="CodeBlock"/>
        <w:keepLines/>
        <w:shd w:fill="F2F2F2"/>
        <w:widowControl/>
      </w:pPr>
      <w:r>
        <w:t>{</w:t>
        <w:br/>
        <w:t xml:space="preserve">  requestedMode: "sequential",</w:t>
        <w:br/>
        <w:t xml:space="preserve">  effectiveMode: "sequential",</w:t>
        <w:br/>
        <w:t xml:space="preserve">  nodePlanHash: "sha256:...",</w:t>
        <w:br/>
        <w:t xml:space="preserve">  canonicalNodePlanHash: "sha256:...",</w:t>
        <w:br/>
        <w:t xml:space="preserve">  sequentialNodePlanHash: "sha256:...",</w:t>
        <w:br/>
        <w:t xml:space="preserve">  numberingEquivalent: true,</w:t>
        <w:br/>
        <w:t xml:space="preserve">  blockers: [],</w:t>
        <w:br/>
        <w:t xml:space="preserve">  warnings: [],</w:t>
        <w:br/>
        <w:t xml:space="preserve">  status: "PASS"</w:t>
        <w:br/>
        <w:t>}</w:t>
      </w:r>
    </w:p>
    <w:p>
      <w:pPr>
        <w:pStyle w:val="Heading2"/>
      </w:pPr>
      <w:r>
        <w:t>A.5 PsiNodePreprocessResult.v1</w:t>
      </w:r>
    </w:p>
    <w:p>
      <w:pPr>
        <w:pStyle w:val="CodeBlock"/>
      </w:pPr>
      <w:r>
        <w:t>preprocessPsiNodes({</w:t>
        <w:br/>
        <w:t xml:space="preserve">  normalizedLogicalGraph,</w:t>
        <w:br/>
        <w:t xml:space="preserve">  finalSequencePlan,</w:t>
        <w:br/>
        <w:t xml:space="preserve">  previousRegistrySnapshot,</w:t>
        <w:br/>
        <w:t xml:space="preserve">  config,</w:t>
        <w:br/>
        <w:t xml:space="preserve">  sourceHash,</w:t>
        <w:br/>
        <w:t xml:space="preserve">  topologyHash,</w:t>
        <w:br/>
        <w:t xml:space="preserve">  sequencePlanHash,</w:t>
        <w:br/>
        <w:t xml:space="preserve">  registrySnapshotHash,</w:t>
        <w:br/>
        <w:t xml:space="preserve">  evaluatedAt,</w:t>
        <w:br/>
        <w:t xml:space="preserve">  sourceCoverage</w:t>
        <w:br/>
        <w:t>})</w:t>
        <w:br/>
        <w:br/>
        <w:t>returns {</w:t>
        <w:br/>
        <w:t xml:space="preserve">  schema: "PsiNodePreprocessResult.v1",</w:t>
        <w:br/>
        <w:t xml:space="preserve">  chain: {</w:t>
        <w:br/>
        <w:t xml:space="preserve">    sourceHash,</w:t>
        <w:br/>
        <w:t xml:space="preserve">    topologyHash,</w:t>
        <w:br/>
        <w:t xml:space="preserve">    sequencePlanHash,</w:t>
        <w:br/>
        <w:t xml:space="preserve">    baseRegistrySnapshotHash,</w:t>
        <w:br/>
        <w:t xml:space="preserve">    configHash</w:t>
        <w:br/>
        <w:t xml:space="preserve">  },</w:t>
        <w:br/>
        <w:t xml:space="preserve">  nodePlan,</w:t>
        <w:br/>
        <w:t xml:space="preserve">  historyMatchResult,</w:t>
        <w:br/>
        <w:t xml:space="preserve">  allocationResult,</w:t>
        <w:br/>
        <w:t xml:space="preserve">  registryPatch,</w:t>
        <w:br/>
        <w:t xml:space="preserve">  audit,</w:t>
        <w:br/>
        <w:t xml:space="preserve">  validation: {</w:t>
        <w:br/>
        <w:t xml:space="preserve">    status: "PASS | REVIEW_REQUIRED | BLOCKED",</w:t>
        <w:br/>
        <w:t xml:space="preserve">    blockers: [],</w:t>
        <w:br/>
        <w:t xml:space="preserve">    reviewItems: [],</w:t>
        <w:br/>
        <w:t xml:space="preserve">    warnings: []</w:t>
        <w:br/>
        <w:t xml:space="preserve">  }</w:t>
        <w:br/>
        <w:t>}</w:t>
      </w:r>
    </w:p>
    <w:p>
      <w:pPr>
        <w:pStyle w:val="Heading2"/>
      </w:pPr>
      <w:r>
        <w:t>A.6 SourceCoverage.v1</w:t>
      </w:r>
    </w:p>
    <w:p>
      <w:pPr>
        <w:pStyle w:val="CodeBlock"/>
      </w:pPr>
      <w:r>
        <w:t>{</w:t>
        <w:br/>
        <w:t xml:space="preserve">  schema: "SourceCoverage.v1",</w:t>
        <w:br/>
        <w:t xml:space="preserve">  scope: "FULL_ZONE | FULL_LINE | PARTIAL_LINE",</w:t>
        <w:br/>
        <w:t xml:space="preserve">  includedMainLineKeys: [],</w:t>
        <w:br/>
        <w:t xml:space="preserve">  excludedMainLineKeys: [],</w:t>
        <w:br/>
        <w:t xml:space="preserve">  authoritativeForRetirement: false,</w:t>
        <w:br/>
        <w:t xml:space="preserve">  coverageHash: "sha256:..."</w:t>
        <w:br/>
        <w:t>}</w:t>
      </w:r>
    </w:p>
    <w:p>
      <w:pPr>
        <w:pStyle w:val="Heading1"/>
        <w:widowControl/>
      </w:pPr>
      <w:r>
        <w:t>Appendix B. Audit event catalogue</w:t>
      </w:r>
    </w:p>
    <w:tbl>
      <w:tblPr>
        <w:tblStyle w:val="TableGrid"/>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831"/>
        <w:gridCol w:w="4831"/>
      </w:tblGrid>
      <w:tr>
        <w:trPr>
          <w:tblHeader w:val="true"/>
          <w:cantSplit/>
        </w:trPr>
        <w:tc>
          <w:tcPr>
            <w:tcW w:type="dxa" w:w="3816"/>
            <w:shd w:fill="1F3A5F"/>
            <w:tcMar>
              <w:top w:w="80" w:type="dxa"/>
              <w:start w:w="80" w:type="dxa"/>
              <w:bottom w:w="80" w:type="dxa"/>
              <w:end w:w="80" w:type="dxa"/>
            </w:tcMar>
            <w:vAlign w:val="center"/>
          </w:tcPr>
          <w:p>
            <w:pPr>
              <w:jc w:val="center"/>
            </w:pPr>
            <w:r>
              <w:rPr>
                <w:b/>
                <w:color w:val="FFFFFF"/>
                <w:sz w:val="17"/>
              </w:rPr>
              <w:t>Event</w:t>
            </w:r>
          </w:p>
        </w:tc>
        <w:tc>
          <w:tcPr>
            <w:tcW w:type="dxa" w:w="5544"/>
            <w:shd w:fill="1F3A5F"/>
            <w:tcMar>
              <w:top w:w="80" w:type="dxa"/>
              <w:start w:w="80" w:type="dxa"/>
              <w:bottom w:w="80" w:type="dxa"/>
              <w:end w:w="80" w:type="dxa"/>
            </w:tcMar>
            <w:vAlign w:val="center"/>
          </w:tcPr>
          <w:p>
            <w:pPr>
              <w:jc w:val="center"/>
            </w:pPr>
            <w:r>
              <w:rPr>
                <w:b/>
                <w:color w:val="FFFFFF"/>
                <w:sz w:val="17"/>
              </w:rPr>
              <w:t>Meaning</w:t>
            </w:r>
          </w:p>
        </w:tc>
      </w:tr>
      <w:tr>
        <w:trPr>
          <w:cantSplit/>
        </w:trPr>
        <w:tc>
          <w:tcPr>
            <w:tcW w:type="dxa" w:w="3816"/>
            <w:tcMar>
              <w:top w:w="80" w:type="dxa"/>
              <w:start w:w="80" w:type="dxa"/>
              <w:bottom w:w="80" w:type="dxa"/>
              <w:end w:w="80" w:type="dxa"/>
            </w:tcMar>
            <w:vAlign w:val="top"/>
          </w:tcPr>
          <w:p>
            <w:pPr>
              <w:spacing w:after="0" w:line="240" w:lineRule="auto"/>
            </w:pPr>
            <w:r>
              <w:rPr>
                <w:sz w:val="17"/>
              </w:rPr>
              <w:t>MICRO_COMPONENT_CONSUMED</w:t>
            </w:r>
          </w:p>
        </w:tc>
        <w:tc>
          <w:tcPr>
            <w:tcW w:type="dxa" w:w="5544"/>
            <w:tcMar>
              <w:top w:w="80" w:type="dxa"/>
              <w:start w:w="80" w:type="dxa"/>
              <w:bottom w:w="80" w:type="dxa"/>
              <w:end w:w="80" w:type="dxa"/>
            </w:tcMar>
            <w:vAlign w:val="top"/>
          </w:tcPr>
          <w:p>
            <w:pPr>
              <w:spacing w:after="0" w:line="240" w:lineRule="auto"/>
            </w:pPr>
            <w:r>
              <w:rPr>
                <w:sz w:val="17"/>
              </w:rPr>
              <w:t>An allowlisted short component was collapsed under policy.</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MICRO_GAP_SNAPPED</w:t>
            </w:r>
          </w:p>
        </w:tc>
        <w:tc>
          <w:tcPr>
            <w:tcW w:type="dxa" w:w="5544"/>
            <w:shd w:fill="F8FAFC"/>
            <w:tcMar>
              <w:top w:w="80" w:type="dxa"/>
              <w:start w:w="80" w:type="dxa"/>
              <w:bottom w:w="80" w:type="dxa"/>
              <w:end w:w="80" w:type="dxa"/>
            </w:tcMar>
            <w:vAlign w:val="top"/>
          </w:tcPr>
          <w:p>
            <w:pPr>
              <w:spacing w:after="0" w:line="240" w:lineRule="auto"/>
            </w:pPr>
            <w:r>
              <w:rPr>
                <w:sz w:val="17"/>
              </w:rPr>
              <w:t>Two source ports were aliased into one logical node.</w:t>
            </w:r>
          </w:p>
        </w:tc>
      </w:tr>
      <w:tr>
        <w:trPr>
          <w:cantSplit/>
        </w:trPr>
        <w:tc>
          <w:tcPr>
            <w:tcW w:type="dxa" w:w="3816"/>
            <w:tcMar>
              <w:top w:w="80" w:type="dxa"/>
              <w:start w:w="80" w:type="dxa"/>
              <w:bottom w:w="80" w:type="dxa"/>
              <w:end w:w="80" w:type="dxa"/>
            </w:tcMar>
            <w:vAlign w:val="top"/>
          </w:tcPr>
          <w:p>
            <w:pPr>
              <w:spacing w:after="0" w:line="240" w:lineRule="auto"/>
            </w:pPr>
            <w:r>
              <w:rPr>
                <w:sz w:val="17"/>
              </w:rPr>
              <w:t>MICRO_COLLAPSE_BLOCKED</w:t>
            </w:r>
          </w:p>
        </w:tc>
        <w:tc>
          <w:tcPr>
            <w:tcW w:type="dxa" w:w="5544"/>
            <w:tcMar>
              <w:top w:w="80" w:type="dxa"/>
              <w:start w:w="80" w:type="dxa"/>
              <w:bottom w:w="80" w:type="dxa"/>
              <w:end w:w="80" w:type="dxa"/>
            </w:tcMar>
            <w:vAlign w:val="top"/>
          </w:tcPr>
          <w:p>
            <w:pPr>
              <w:spacing w:after="0" w:line="240" w:lineRule="auto"/>
            </w:pPr>
            <w:r>
              <w:rPr>
                <w:sz w:val="17"/>
              </w:rPr>
              <w:t>A candidate collapse failed a hard condition.</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HISTORY_CONTINUED</w:t>
            </w:r>
          </w:p>
        </w:tc>
        <w:tc>
          <w:tcPr>
            <w:tcW w:type="dxa" w:w="5544"/>
            <w:shd w:fill="F8FAFC"/>
            <w:tcMar>
              <w:top w:w="80" w:type="dxa"/>
              <w:start w:w="80" w:type="dxa"/>
              <w:bottom w:w="80" w:type="dxa"/>
              <w:end w:w="80" w:type="dxa"/>
            </w:tcMar>
            <w:vAlign w:val="top"/>
          </w:tcPr>
          <w:p>
            <w:pPr>
              <w:spacing w:after="0" w:line="240" w:lineRule="auto"/>
            </w:pPr>
            <w:r>
              <w:rPr>
                <w:sz w:val="17"/>
              </w:rPr>
              <w:t>A current logical node retained an active historical identity.</w:t>
            </w:r>
          </w:p>
        </w:tc>
      </w:tr>
      <w:tr>
        <w:trPr>
          <w:cantSplit/>
        </w:trPr>
        <w:tc>
          <w:tcPr>
            <w:tcW w:type="dxa" w:w="3816"/>
            <w:tcMar>
              <w:top w:w="80" w:type="dxa"/>
              <w:start w:w="80" w:type="dxa"/>
              <w:bottom w:w="80" w:type="dxa"/>
              <w:end w:w="80" w:type="dxa"/>
            </w:tcMar>
            <w:vAlign w:val="top"/>
          </w:tcPr>
          <w:p>
            <w:pPr>
              <w:spacing w:after="0" w:line="240" w:lineRule="auto"/>
            </w:pPr>
            <w:r>
              <w:rPr>
                <w:sz w:val="17"/>
              </w:rPr>
              <w:t>HISTORY_REACTIVATED</w:t>
            </w:r>
          </w:p>
        </w:tc>
        <w:tc>
          <w:tcPr>
            <w:tcW w:type="dxa" w:w="5544"/>
            <w:tcMar>
              <w:top w:w="80" w:type="dxa"/>
              <w:start w:w="80" w:type="dxa"/>
              <w:bottom w:w="80" w:type="dxa"/>
              <w:end w:w="80" w:type="dxa"/>
            </w:tcMar>
            <w:vAlign w:val="top"/>
          </w:tcPr>
          <w:p>
            <w:pPr>
              <w:spacing w:after="0" w:line="240" w:lineRule="auto"/>
            </w:pPr>
            <w:r>
              <w:rPr>
                <w:sz w:val="17"/>
              </w:rPr>
              <w:t>A retired historical identity returned under approved evidence.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HISTORY_SPLIT_REVIEW_REQUIRED</w:t>
            </w:r>
          </w:p>
        </w:tc>
        <w:tc>
          <w:tcPr>
            <w:tcW w:type="dxa" w:w="5544"/>
            <w:shd w:fill="F8FAFC"/>
            <w:tcMar>
              <w:top w:w="80" w:type="dxa"/>
              <w:start w:w="80" w:type="dxa"/>
              <w:bottom w:w="80" w:type="dxa"/>
              <w:end w:w="80" w:type="dxa"/>
            </w:tcMar>
            <w:vAlign w:val="top"/>
          </w:tcPr>
          <w:p>
            <w:pPr>
              <w:spacing w:after="0" w:line="240" w:lineRule="auto"/>
            </w:pPr>
            <w:r>
              <w:rPr>
                <w:sz w:val="17"/>
              </w:rPr>
              <w:t>One historical node corresponds to multiple current nodes.</w:t>
            </w:r>
          </w:p>
        </w:tc>
      </w:tr>
      <w:tr>
        <w:trPr>
          <w:cantSplit/>
        </w:trPr>
        <w:tc>
          <w:tcPr>
            <w:tcW w:type="dxa" w:w="3816"/>
            <w:tcMar>
              <w:top w:w="80" w:type="dxa"/>
              <w:start w:w="80" w:type="dxa"/>
              <w:bottom w:w="80" w:type="dxa"/>
              <w:end w:w="80" w:type="dxa"/>
            </w:tcMar>
            <w:vAlign w:val="top"/>
          </w:tcPr>
          <w:p>
            <w:pPr>
              <w:spacing w:after="0" w:line="240" w:lineRule="auto"/>
            </w:pPr>
            <w:r>
              <w:rPr>
                <w:sz w:val="17"/>
              </w:rPr>
              <w:t>HISTORY_MERGE_REVIEW_REQUIRED</w:t>
            </w:r>
          </w:p>
        </w:tc>
        <w:tc>
          <w:tcPr>
            <w:tcW w:type="dxa" w:w="5544"/>
            <w:tcMar>
              <w:top w:w="80" w:type="dxa"/>
              <w:start w:w="80" w:type="dxa"/>
              <w:bottom w:w="80" w:type="dxa"/>
              <w:end w:w="80" w:type="dxa"/>
            </w:tcMar>
            <w:vAlign w:val="top"/>
          </w:tcPr>
          <w:p>
            <w:pPr>
              <w:spacing w:after="0" w:line="240" w:lineRule="auto"/>
            </w:pPr>
            <w:r>
              <w:rPr>
                <w:sz w:val="17"/>
              </w:rPr>
              <w:t>Multiple historical nodes correspond to one current node.</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HISTORY_RETIRED</w:t>
            </w:r>
          </w:p>
        </w:tc>
        <w:tc>
          <w:tcPr>
            <w:tcW w:type="dxa" w:w="5544"/>
            <w:shd w:fill="F8FAFC"/>
            <w:tcMar>
              <w:top w:w="80" w:type="dxa"/>
              <w:start w:w="80" w:type="dxa"/>
              <w:bottom w:w="80" w:type="dxa"/>
              <w:end w:w="80" w:type="dxa"/>
            </w:tcMar>
            <w:vAlign w:val="top"/>
          </w:tcPr>
          <w:p>
            <w:pPr>
              <w:spacing w:after="0" w:line="240" w:lineRule="auto"/>
            </w:pPr>
            <w:r>
              <w:rPr>
                <w:sz w:val="17"/>
              </w:rPr>
              <w:t>An active historical node is absent from the current accepted model.</w:t>
            </w:r>
          </w:p>
        </w:tc>
      </w:tr>
      <w:tr>
        <w:trPr>
          <w:cantSplit/>
        </w:trPr>
        <w:tc>
          <w:tcPr>
            <w:tcW w:type="dxa" w:w="3816"/>
            <w:tcMar>
              <w:top w:w="80" w:type="dxa"/>
              <w:start w:w="80" w:type="dxa"/>
              <w:bottom w:w="80" w:type="dxa"/>
              <w:end w:w="80" w:type="dxa"/>
            </w:tcMar>
            <w:vAlign w:val="top"/>
          </w:tcPr>
          <w:p>
            <w:pPr>
              <w:spacing w:after="0" w:line="240" w:lineRule="auto"/>
            </w:pPr>
            <w:r>
              <w:rPr>
                <w:sz w:val="17"/>
              </w:rPr>
              <w:t>LINE_KEY_RENAMED</w:t>
            </w:r>
          </w:p>
        </w:tc>
        <w:tc>
          <w:tcPr>
            <w:tcW w:type="dxa" w:w="5544"/>
            <w:tcMar>
              <w:top w:w="80" w:type="dxa"/>
              <w:start w:w="80" w:type="dxa"/>
              <w:bottom w:w="80" w:type="dxa"/>
              <w:end w:w="80" w:type="dxa"/>
            </w:tcMar>
            <w:vAlign w:val="top"/>
          </w:tcPr>
          <w:p>
            <w:pPr>
              <w:spacing w:after="0" w:line="240" w:lineRule="auto"/>
            </w:pPr>
            <w:r>
              <w:rPr>
                <w:sz w:val="17"/>
              </w:rPr>
              <w:t>An approved main-line alias moved history to a new key.</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ZONE_TRANSFER_REVIEW_REQUIRED</w:t>
            </w:r>
          </w:p>
        </w:tc>
        <w:tc>
          <w:tcPr>
            <w:tcW w:type="dxa" w:w="5544"/>
            <w:shd w:fill="F8FAFC"/>
            <w:tcMar>
              <w:top w:w="80" w:type="dxa"/>
              <w:start w:w="80" w:type="dxa"/>
              <w:bottom w:w="80" w:type="dxa"/>
              <w:end w:w="80" w:type="dxa"/>
            </w:tcMar>
            <w:vAlign w:val="top"/>
          </w:tcPr>
          <w:p>
            <w:pPr>
              <w:spacing w:after="0" w:line="240" w:lineRule="auto"/>
            </w:pPr>
            <w:r>
              <w:rPr>
                <w:sz w:val="17"/>
              </w:rPr>
              <w:t>A historical identity appears in another project zone.</w:t>
            </w:r>
          </w:p>
        </w:tc>
      </w:tr>
      <w:tr>
        <w:trPr>
          <w:cantSplit/>
        </w:trPr>
        <w:tc>
          <w:tcPr>
            <w:tcW w:type="dxa" w:w="3816"/>
            <w:tcMar>
              <w:top w:w="80" w:type="dxa"/>
              <w:start w:w="80" w:type="dxa"/>
              <w:bottom w:w="80" w:type="dxa"/>
              <w:end w:w="80" w:type="dxa"/>
            </w:tcMar>
            <w:vAlign w:val="top"/>
          </w:tcPr>
          <w:p>
            <w:pPr>
              <w:spacing w:after="0" w:line="240" w:lineRule="auto"/>
            </w:pPr>
            <w:r>
              <w:rPr>
                <w:sz w:val="17"/>
              </w:rPr>
              <w:t>NODE_NUMBER_REUSED</w:t>
            </w:r>
          </w:p>
        </w:tc>
        <w:tc>
          <w:tcPr>
            <w:tcW w:type="dxa" w:w="5544"/>
            <w:tcMar>
              <w:top w:w="80" w:type="dxa"/>
              <w:start w:w="80" w:type="dxa"/>
              <w:bottom w:w="80" w:type="dxa"/>
              <w:end w:w="80" w:type="dxa"/>
            </w:tcMar>
            <w:vAlign w:val="top"/>
          </w:tcPr>
          <w:p>
            <w:pPr>
              <w:spacing w:after="0" w:line="240" w:lineRule="auto"/>
            </w:pPr>
            <w:r>
              <w:rPr>
                <w:sz w:val="17"/>
              </w:rPr>
              <w:t>An accepted history assignment reused its engineering number.</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NODE_NUMBER_ALLOCATED</w:t>
            </w:r>
          </w:p>
        </w:tc>
        <w:tc>
          <w:tcPr>
            <w:tcW w:type="dxa" w:w="5544"/>
            <w:shd w:fill="F8FAFC"/>
            <w:tcMar>
              <w:top w:w="80" w:type="dxa"/>
              <w:start w:w="80" w:type="dxa"/>
              <w:bottom w:w="80" w:type="dxa"/>
              <w:end w:w="80" w:type="dxa"/>
            </w:tcMar>
            <w:vAlign w:val="top"/>
          </w:tcPr>
          <w:p>
            <w:pPr>
              <w:spacing w:after="0" w:line="240" w:lineRule="auto"/>
            </w:pPr>
            <w:r>
              <w:rPr>
                <w:sz w:val="17"/>
              </w:rPr>
              <w:t>A new historical identity received a free leased number.</w:t>
            </w:r>
          </w:p>
        </w:tc>
      </w:tr>
      <w:tr>
        <w:trPr>
          <w:cantSplit/>
        </w:trPr>
        <w:tc>
          <w:tcPr>
            <w:tcW w:type="dxa" w:w="3816"/>
            <w:tcMar>
              <w:top w:w="80" w:type="dxa"/>
              <w:start w:w="80" w:type="dxa"/>
              <w:bottom w:w="80" w:type="dxa"/>
              <w:end w:w="80" w:type="dxa"/>
            </w:tcMar>
            <w:vAlign w:val="top"/>
          </w:tcPr>
          <w:p>
            <w:pPr>
              <w:spacing w:after="0" w:line="240" w:lineRule="auto"/>
            </w:pPr>
            <w:r>
              <w:rPr>
                <w:sz w:val="17"/>
              </w:rPr>
              <w:t>LEASE_EXTENDED</w:t>
            </w:r>
          </w:p>
        </w:tc>
        <w:tc>
          <w:tcPr>
            <w:tcW w:type="dxa" w:w="5544"/>
            <w:tcMar>
              <w:top w:w="80" w:type="dxa"/>
              <w:start w:w="80" w:type="dxa"/>
              <w:bottom w:w="80" w:type="dxa"/>
              <w:end w:w="80" w:type="dxa"/>
            </w:tcMar>
            <w:vAlign w:val="top"/>
          </w:tcPr>
          <w:p>
            <w:pPr>
              <w:spacing w:after="0" w:line="240" w:lineRule="auto"/>
            </w:pPr>
            <w:r>
              <w:rPr>
                <w:sz w:val="17"/>
              </w:rPr>
              <w:t>A main line received additional zone capacity.</w:t>
            </w:r>
          </w:p>
        </w:tc>
      </w:tr>
      <w:tr>
        <w:trPr>
          <w:cantSplit/>
        </w:trPr>
        <w:tc>
          <w:tcPr>
            <w:tcW w:type="dxa" w:w="3816"/>
            <w:shd w:fill="F8FAFC"/>
            <w:tcMar>
              <w:top w:w="80" w:type="dxa"/>
              <w:start w:w="80" w:type="dxa"/>
              <w:bottom w:w="80" w:type="dxa"/>
              <w:end w:w="80" w:type="dxa"/>
            </w:tcMar>
            <w:vAlign w:val="top"/>
          </w:tcPr>
          <w:p>
            <w:pPr>
              <w:spacing w:after="0" w:line="240" w:lineRule="auto"/>
            </w:pPr>
            <w:r>
              <w:rPr>
                <w:sz w:val="17"/>
              </w:rPr>
              <w:t>REGISTRY_STALE_BASE</w:t>
            </w:r>
          </w:p>
        </w:tc>
        <w:tc>
          <w:tcPr>
            <w:tcW w:type="dxa" w:w="5544"/>
            <w:shd w:fill="F8FAFC"/>
            <w:tcMar>
              <w:top w:w="80" w:type="dxa"/>
              <w:start w:w="80" w:type="dxa"/>
              <w:bottom w:w="80" w:type="dxa"/>
              <w:end w:w="80" w:type="dxa"/>
            </w:tcMar>
            <w:vAlign w:val="top"/>
          </w:tcPr>
          <w:p>
            <w:pPr>
              <w:spacing w:after="0" w:line="240" w:lineRule="auto"/>
            </w:pPr>
            <w:r>
              <w:rPr>
                <w:sz w:val="17"/>
              </w:rPr>
              <w:t>The proposed transaction no longer matches the current zone snapshot.</w:t>
            </w:r>
          </w:p>
        </w:tc>
      </w:tr>
      <w:tr>
        <w:trPr>
          <w:cantSplit/>
        </w:trPr>
        <w:tc>
          <w:tcPr>
            <w:tcW w:type="dxa" w:w="3816"/>
            <w:tcMar>
              <w:top w:w="80" w:type="dxa"/>
              <w:start w:w="80" w:type="dxa"/>
              <w:bottom w:w="80" w:type="dxa"/>
              <w:end w:w="80" w:type="dxa"/>
            </w:tcMar>
            <w:vAlign w:val="top"/>
          </w:tcPr>
          <w:p>
            <w:pPr>
              <w:spacing w:after="0" w:line="240" w:lineRule="auto"/>
            </w:pPr>
            <w:r>
              <w:rPr>
                <w:sz w:val="17"/>
              </w:rPr>
              <w:t>WRITER_PLAN_MISMATCH</w:t>
            </w:r>
          </w:p>
        </w:tc>
        <w:tc>
          <w:tcPr>
            <w:tcW w:type="dxa" w:w="5544"/>
            <w:tcMar>
              <w:top w:w="80" w:type="dxa"/>
              <w:start w:w="80" w:type="dxa"/>
              <w:bottom w:w="80" w:type="dxa"/>
              <w:end w:w="80" w:type="dxa"/>
            </w:tcMar>
            <w:vAlign w:val="top"/>
          </w:tcPr>
          <w:p>
            <w:pPr>
              <w:spacing w:after="0" w:line="240" w:lineRule="auto"/>
            </w:pPr>
            <w:r>
              <w:rPr>
                <w:sz w:val="17"/>
              </w:rPr>
              <w:t>A writer output did not correspond exactly to the approved node plan.</w:t>
            </w:r>
          </w:p>
        </w:tc>
      </w:tr>
      <w:tr>
        <w:trPr>
          <w:cantSplit/>
        </w:trPr>
        <w:tc>
          <w:tcPr>
            <w:tcW w:type="dxa" w:w="4831"/>
            <w:vAlign w:val="center"/>
          </w:tcPr>
          <w:p>
            <w:r/>
            <w:r>
              <w:rPr>
                <w:b/>
              </w:rPr>
              <w:t>RETIREMENT_SUPPRESSED_PARTIAL_SCOPE</w:t>
            </w:r>
          </w:p>
        </w:tc>
        <w:tc>
          <w:tcPr>
            <w:tcW w:type="dxa" w:w="4831"/>
            <w:vAlign w:val="center"/>
          </w:tcPr>
          <w:p>
            <w:r/>
            <w:r>
              <w:rPr>
                <w:b w:val="0"/>
              </w:rPr>
              <w:t>A partial source scope omitted a historical node; retirement was prohibited.</w:t>
            </w:r>
          </w:p>
        </w:tc>
      </w:tr>
      <w:tr>
        <w:trPr>
          <w:cantSplit/>
        </w:trPr>
        <w:tc>
          <w:tcPr>
            <w:tcW w:type="dxa" w:w="4831"/>
            <w:vAlign w:val="center"/>
          </w:tcPr>
          <w:p>
            <w:r/>
            <w:r>
              <w:rPr>
                <w:b/>
              </w:rPr>
              <w:t>SOURCE_ID_ALIAS_ONLY</w:t>
            </w:r>
          </w:p>
        </w:tc>
        <w:tc>
          <w:tcPr>
            <w:tcW w:type="dxa" w:w="4831"/>
            <w:vAlign w:val="center"/>
          </w:tcPr>
          <w:p>
            <w:r/>
            <w:r>
              <w:rPr>
                <w:b w:val="0"/>
              </w:rPr>
              <w:t>A path-derived sourceEntityId/sourcePath contributed Tier 3 evidence only.</w:t>
            </w:r>
          </w:p>
        </w:tc>
      </w:tr>
      <w:tr>
        <w:trPr>
          <w:cantSplit/>
        </w:trPr>
        <w:tc>
          <w:tcPr>
            <w:tcW w:type="dxa" w:w="4831"/>
            <w:vAlign w:val="center"/>
          </w:tcPr>
          <w:p>
            <w:r/>
            <w:r>
              <w:rPr>
                <w:b/>
              </w:rPr>
              <w:t>UNPLANNED_WRITER_NODE</w:t>
            </w:r>
          </w:p>
        </w:tc>
        <w:tc>
          <w:tcPr>
            <w:tcW w:type="dxa" w:w="4831"/>
            <w:vAlign w:val="center"/>
          </w:tcPr>
          <w:p>
            <w:r/>
            <w:r>
              <w:rPr>
                <w:b w:val="0"/>
              </w:rPr>
              <w:t>The serializer attempted to emit a node occurrence absent from PsiNodePlan.v1.</w:t>
            </w:r>
          </w:p>
        </w:tc>
      </w:tr>
      <w:tr>
        <w:trPr>
          <w:cantSplit/>
        </w:trPr>
        <w:tc>
          <w:tcPr>
            <w:tcW w:type="dxa" w:w="4831"/>
            <w:vAlign w:val="center"/>
          </w:tcPr>
          <w:p>
            <w:r/>
            <w:r>
              <w:rPr>
                <w:b/>
              </w:rPr>
              <w:t>SHARED_NODE_SERIALIZATION_BLOCKED</w:t>
            </w:r>
          </w:p>
        </w:tc>
        <w:tc>
          <w:tcPr>
            <w:tcW w:type="dxa" w:w="4831"/>
            <w:vAlign w:val="center"/>
          </w:tcPr>
          <w:p>
            <w:r/>
            <w:r>
              <w:rPr>
                <w:b w:val="0"/>
              </w:rPr>
              <w:t>Repeated-versus-owning PSI occurrence semantics were not yet approved.</w:t>
            </w:r>
          </w:p>
        </w:tc>
      </w:tr>
      <w:tr>
        <w:trPr>
          <w:cantSplit/>
        </w:trPr>
        <w:tc>
          <w:tcPr>
            <w:tcW w:type="dxa" w:w="4831"/>
            <w:vAlign w:val="center"/>
          </w:tcPr>
          <w:p>
            <w:r/>
            <w:r>
              <w:rPr>
                <w:b/>
              </w:rPr>
              <w:t>WRITER_NONDETERMINISM_DETECTED</w:t>
            </w:r>
          </w:p>
        </w:tc>
        <w:tc>
          <w:tcPr>
            <w:tcW w:type="dxa" w:w="4831"/>
            <w:vAlign w:val="center"/>
          </w:tcPr>
          <w:p>
            <w:r/>
            <w:r>
              <w:rPr>
                <w:b w:val="0"/>
              </w:rPr>
              <w:t>Equivalent inputs produced different serialized output or hash evidence.</w:t>
            </w:r>
          </w:p>
        </w:tc>
      </w:tr>
    </w:tbl>
    <w:p>
      <w:pPr>
        <w:spacing w:after="0"/>
        <w:widowControl/>
      </w:pPr>
    </w:p>
    <w:p>
      <w:pPr>
        <w:pStyle w:val="Heading1"/>
        <w:pageBreakBefore/>
      </w:pPr>
      <w:r>
        <w:t>Appendix C. Phase-wise implementation and minimum test addendum</w:t>
      </w:r>
    </w:p>
    <w:p>
      <w:pPr/>
      <w:r>
        <w:t>This addendum converts the concept into controlled implementation phases. Each phase has a deliberately small minimum test gate. Additional repository regression suites may be required, but no phase may exit without the tests listed here.</w:t>
      </w:r>
    </w:p>
    <w:tbl>
      <w:tblPr>
        <w:tblStyle w:val="TableGrid"/>
        <w:tblW w:type="auto" w:w="0"/>
        <w:jc w:val="center"/>
        <w:tblLook w:firstColumn="1" w:firstRow="1" w:lastColumn="0" w:lastRow="0" w:noHBand="0" w:noVBand="1" w:val="04A0"/>
      </w:tblPr>
      <w:tblGrid>
        <w:gridCol w:w="3221"/>
        <w:gridCol w:w="3221"/>
        <w:gridCol w:w="3221"/>
      </w:tblGrid>
      <w:tr>
        <w:trPr>
          <w:cantSplit/>
        </w:trPr>
        <w:tc>
          <w:tcPr>
            <w:tcW w:type="dxa" w:w="864"/>
            <w:vAlign w:val="center"/>
          </w:tcPr>
          <w:p>
            <w:r/>
            <w:r>
              <w:rPr>
                <w:b/>
              </w:rPr>
              <w:t>Phase</w:t>
            </w:r>
          </w:p>
        </w:tc>
        <w:tc>
          <w:tcPr>
            <w:tcW w:type="dxa" w:w="4752"/>
            <w:vAlign w:val="center"/>
          </w:tcPr>
          <w:p>
            <w:r/>
            <w:r>
              <w:rPr>
                <w:b/>
              </w:rPr>
              <w:t>Objective</w:t>
            </w:r>
          </w:p>
        </w:tc>
        <w:tc>
          <w:tcPr>
            <w:tcW w:type="dxa" w:w="3024"/>
            <w:vAlign w:val="center"/>
          </w:tcPr>
          <w:p>
            <w:r/>
            <w:r>
              <w:rPr>
                <w:b/>
              </w:rPr>
              <w:t>Operating mode</w:t>
            </w:r>
          </w:p>
        </w:tc>
      </w:tr>
      <w:tr>
        <w:trPr>
          <w:cantSplit/>
        </w:trPr>
        <w:tc>
          <w:tcPr>
            <w:tcW w:type="dxa" w:w="864"/>
            <w:vAlign w:val="center"/>
          </w:tcPr>
          <w:p>
            <w:r/>
            <w:r>
              <w:rPr>
                <w:b w:val="0"/>
              </w:rPr>
              <w:t>0</w:t>
            </w:r>
          </w:p>
        </w:tc>
        <w:tc>
          <w:tcPr>
            <w:tcW w:type="dxa" w:w="4752"/>
            <w:vAlign w:val="center"/>
          </w:tcPr>
          <w:p>
            <w:r/>
            <w:r>
              <w:rPr>
                <w:b w:val="0"/>
              </w:rPr>
              <w:t>Characterize and freeze current behaviour</w:t>
            </w:r>
          </w:p>
        </w:tc>
        <w:tc>
          <w:tcPr>
            <w:tcW w:type="dxa" w:w="3024"/>
            <w:vAlign w:val="center"/>
          </w:tcPr>
          <w:p>
            <w:r/>
            <w:r>
              <w:rPr>
                <w:b w:val="0"/>
              </w:rPr>
              <w:t>No production change</w:t>
            </w:r>
          </w:p>
        </w:tc>
      </w:tr>
      <w:tr>
        <w:trPr>
          <w:cantSplit/>
        </w:trPr>
        <w:tc>
          <w:tcPr>
            <w:tcW w:type="dxa" w:w="864"/>
            <w:vAlign w:val="center"/>
          </w:tcPr>
          <w:p>
            <w:r/>
            <w:r>
              <w:rPr>
                <w:b w:val="0"/>
              </w:rPr>
              <w:t>1</w:t>
            </w:r>
          </w:p>
        </w:tc>
        <w:tc>
          <w:tcPr>
            <w:tcW w:type="dxa" w:w="4752"/>
            <w:vAlign w:val="center"/>
          </w:tcPr>
          <w:p>
            <w:r/>
            <w:r>
              <w:rPr>
                <w:b w:val="0"/>
              </w:rPr>
              <w:t>Define contracts and occurrence planning</w:t>
            </w:r>
          </w:p>
        </w:tc>
        <w:tc>
          <w:tcPr>
            <w:tcW w:type="dxa" w:w="3024"/>
            <w:vAlign w:val="center"/>
          </w:tcPr>
          <w:p>
            <w:r/>
            <w:r>
              <w:rPr>
                <w:b w:val="0"/>
              </w:rPr>
              <w:t>No numbering authority change</w:t>
            </w:r>
          </w:p>
        </w:tc>
      </w:tr>
      <w:tr>
        <w:trPr>
          <w:cantSplit/>
        </w:trPr>
        <w:tc>
          <w:tcPr>
            <w:tcW w:type="dxa" w:w="864"/>
            <w:vAlign w:val="center"/>
          </w:tcPr>
          <w:p>
            <w:r/>
            <w:r>
              <w:rPr>
                <w:b w:val="0"/>
              </w:rPr>
              <w:t>2</w:t>
            </w:r>
          </w:p>
        </w:tc>
        <w:tc>
          <w:tcPr>
            <w:tcW w:type="dxa" w:w="4752"/>
            <w:vAlign w:val="center"/>
          </w:tcPr>
          <w:p>
            <w:r/>
            <w:r>
              <w:rPr>
                <w:b w:val="0"/>
              </w:rPr>
              <w:t>Make the shared serializer a strict plan consumer</w:t>
            </w:r>
          </w:p>
        </w:tc>
        <w:tc>
          <w:tcPr>
            <w:tcW w:type="dxa" w:w="3024"/>
            <w:vAlign w:val="center"/>
          </w:tcPr>
          <w:p>
            <w:r/>
            <w:r>
              <w:rPr>
                <w:b w:val="0"/>
              </w:rPr>
              <w:t>Compatibility mode only</w:t>
            </w:r>
          </w:p>
        </w:tc>
      </w:tr>
      <w:tr>
        <w:trPr>
          <w:cantSplit/>
        </w:trPr>
        <w:tc>
          <w:tcPr>
            <w:tcW w:type="dxa" w:w="864"/>
            <w:vAlign w:val="center"/>
          </w:tcPr>
          <w:p>
            <w:r/>
            <w:r>
              <w:rPr>
                <w:b w:val="0"/>
              </w:rPr>
              <w:t>3</w:t>
            </w:r>
          </w:p>
        </w:tc>
        <w:tc>
          <w:tcPr>
            <w:tcW w:type="dxa" w:w="4752"/>
            <w:vAlign w:val="center"/>
          </w:tcPr>
          <w:p>
            <w:r/>
            <w:r>
              <w:rPr>
                <w:b w:val="0"/>
              </w:rPr>
              <w:t>Create registry and deterministic allocator</w:t>
            </w:r>
          </w:p>
        </w:tc>
        <w:tc>
          <w:tcPr>
            <w:tcW w:type="dxa" w:w="3024"/>
            <w:vAlign w:val="center"/>
          </w:tcPr>
          <w:p>
            <w:r/>
            <w:r>
              <w:rPr>
                <w:b w:val="0"/>
              </w:rPr>
              <w:t>Offline/shadow</w:t>
            </w:r>
          </w:p>
        </w:tc>
      </w:tr>
      <w:tr>
        <w:trPr>
          <w:cantSplit/>
        </w:trPr>
        <w:tc>
          <w:tcPr>
            <w:tcW w:type="dxa" w:w="864"/>
            <w:vAlign w:val="center"/>
          </w:tcPr>
          <w:p>
            <w:r/>
            <w:r>
              <w:rPr>
                <w:b w:val="0"/>
              </w:rPr>
              <w:t>4</w:t>
            </w:r>
          </w:p>
        </w:tc>
        <w:tc>
          <w:tcPr>
            <w:tcW w:type="dxa" w:w="4752"/>
            <w:vAlign w:val="center"/>
          </w:tcPr>
          <w:p>
            <w:r/>
            <w:r>
              <w:rPr>
                <w:b w:val="0"/>
              </w:rPr>
              <w:t>Add exact and topology-anchor history matching</w:t>
            </w:r>
          </w:p>
        </w:tc>
        <w:tc>
          <w:tcPr>
            <w:tcW w:type="dxa" w:w="3024"/>
            <w:vAlign w:val="center"/>
          </w:tcPr>
          <w:p>
            <w:r/>
            <w:r>
              <w:rPr>
                <w:b w:val="0"/>
              </w:rPr>
              <w:t>Shadow</w:t>
            </w:r>
          </w:p>
        </w:tc>
      </w:tr>
      <w:tr>
        <w:trPr>
          <w:cantSplit/>
        </w:trPr>
        <w:tc>
          <w:tcPr>
            <w:tcW w:type="dxa" w:w="864"/>
            <w:vAlign w:val="center"/>
          </w:tcPr>
          <w:p>
            <w:r/>
            <w:r>
              <w:rPr>
                <w:b w:val="0"/>
              </w:rPr>
              <w:t>5</w:t>
            </w:r>
          </w:p>
        </w:tc>
        <w:tc>
          <w:tcPr>
            <w:tcW w:type="dxa" w:w="4752"/>
            <w:vAlign w:val="center"/>
          </w:tcPr>
          <w:p>
            <w:r/>
            <w:r>
              <w:rPr>
                <w:b w:val="0"/>
              </w:rPr>
              <w:t>Add registered spatial scoring</w:t>
            </w:r>
          </w:p>
        </w:tc>
        <w:tc>
          <w:tcPr>
            <w:tcW w:type="dxa" w:w="3024"/>
            <w:vAlign w:val="center"/>
          </w:tcPr>
          <w:p>
            <w:r/>
            <w:r>
              <w:rPr>
                <w:b w:val="0"/>
              </w:rPr>
              <w:t>Shadow and benchmark-gated</w:t>
            </w:r>
          </w:p>
        </w:tc>
      </w:tr>
      <w:tr>
        <w:trPr>
          <w:cantSplit/>
        </w:trPr>
        <w:tc>
          <w:tcPr>
            <w:tcW w:type="dxa" w:w="864"/>
            <w:vAlign w:val="center"/>
          </w:tcPr>
          <w:p>
            <w:r/>
            <w:r>
              <w:rPr>
                <w:b w:val="0"/>
              </w:rPr>
              <w:t>6</w:t>
            </w:r>
          </w:p>
        </w:tc>
        <w:tc>
          <w:tcPr>
            <w:tcW w:type="dxa" w:w="4752"/>
            <w:vAlign w:val="center"/>
          </w:tcPr>
          <w:p>
            <w:r/>
            <w:r>
              <w:rPr>
                <w:b w:val="0"/>
              </w:rPr>
              <w:t>Add shared micro-geometry normalization</w:t>
            </w:r>
          </w:p>
        </w:tc>
        <w:tc>
          <w:tcPr>
            <w:tcW w:type="dxa" w:w="3024"/>
            <w:vAlign w:val="center"/>
          </w:tcPr>
          <w:p>
            <w:r/>
            <w:r>
              <w:rPr>
                <w:b w:val="0"/>
              </w:rPr>
              <w:t>Audit-only, then shadow</w:t>
            </w:r>
          </w:p>
        </w:tc>
      </w:tr>
      <w:tr>
        <w:trPr>
          <w:cantSplit/>
        </w:trPr>
        <w:tc>
          <w:tcPr>
            <w:tcW w:type="dxa" w:w="864"/>
            <w:vAlign w:val="center"/>
          </w:tcPr>
          <w:p>
            <w:r/>
            <w:r>
              <w:rPr>
                <w:b w:val="0"/>
              </w:rPr>
              <w:t>7</w:t>
            </w:r>
          </w:p>
        </w:tc>
        <w:tc>
          <w:tcPr>
            <w:tcW w:type="dxa" w:w="4752"/>
            <w:vAlign w:val="center"/>
          </w:tcPr>
          <w:p>
            <w:r/>
            <w:r>
              <w:rPr>
                <w:b w:val="0"/>
              </w:rPr>
              <w:t>Integrate final sequence and downstream projections</w:t>
            </w:r>
          </w:p>
        </w:tc>
        <w:tc>
          <w:tcPr>
            <w:tcW w:type="dxa" w:w="3024"/>
            <w:vAlign w:val="center"/>
          </w:tcPr>
          <w:p>
            <w:r/>
            <w:r>
              <w:rPr>
                <w:b w:val="0"/>
              </w:rPr>
              <w:t>Full parity shadow</w:t>
            </w:r>
          </w:p>
        </w:tc>
      </w:tr>
      <w:tr>
        <w:trPr>
          <w:cantSplit/>
        </w:trPr>
        <w:tc>
          <w:tcPr>
            <w:tcW w:type="dxa" w:w="864"/>
            <w:vAlign w:val="center"/>
          </w:tcPr>
          <w:p>
            <w:r/>
            <w:r>
              <w:rPr>
                <w:b w:val="0"/>
              </w:rPr>
              <w:t>8</w:t>
            </w:r>
          </w:p>
        </w:tc>
        <w:tc>
          <w:tcPr>
            <w:tcW w:type="dxa" w:w="4752"/>
            <w:vAlign w:val="center"/>
          </w:tcPr>
          <w:p>
            <w:r/>
            <w:r>
              <w:rPr>
                <w:b w:val="0"/>
              </w:rPr>
              <w:t>Bootstrap and enforce production gate</w:t>
            </w:r>
          </w:p>
        </w:tc>
        <w:tc>
          <w:tcPr>
            <w:tcW w:type="dxa" w:w="3024"/>
            <w:vAlign w:val="center"/>
          </w:tcPr>
          <w:p>
            <w:r/>
            <w:r>
              <w:rPr>
                <w:b w:val="0"/>
              </w:rPr>
              <w:t>Controlled production</w:t>
            </w:r>
          </w:p>
        </w:tc>
      </w:tr>
    </w:tbl>
    <w:p>
      <w:pPr>
        <w:pStyle w:val="Heading2"/>
      </w:pPr>
      <w:r>
        <w:t>C.1 Phase 0 - Current allocation characterization</w:t>
      </w:r>
    </w:p>
    <w:p>
      <w:pPr>
        <w:pStyle w:val="Heading3"/>
      </w:pPr>
      <w:r>
        <w:t>Scope</w:t>
      </w:r>
    </w:p>
    <w:p>
      <w:pPr>
        <w:pStyle w:val="ListBullet"/>
      </w:pPr>
      <w:r>
        <w:t>Inventory every node-number producer, +10 offset, record mutation and serializer timestamp source.</w:t>
      </w:r>
    </w:p>
    <w:p>
      <w:pPr>
        <w:pStyle w:val="ListBullet"/>
      </w:pPr>
      <w:r>
        <w:t>Capture approved benchmark allocations, especially the 1885 fixture and canonical/sequential ordering divergence.</w:t>
      </w:r>
    </w:p>
    <w:p>
      <w:pPr>
        <w:pStyle w:val="Heading3"/>
      </w:pPr>
      <w:r>
        <w:t>Minimum tests</w:t>
      </w:r>
    </w:p>
    <w:p>
      <w:pPr>
        <w:pStyle w:val="ListBullet"/>
      </w:pPr>
      <w:r>
        <w:t>Golden snapshot: current canonical XML node occurrences and numbers.</w:t>
      </w:r>
    </w:p>
    <w:p>
      <w:pPr>
        <w:pStyle w:val="ListBullet"/>
      </w:pPr>
      <w:r>
        <w:t>Golden snapshot: current sequential XML node occurrences and numbers.</w:t>
      </w:r>
    </w:p>
    <w:p>
      <w:pPr>
        <w:pStyle w:val="ListBullet"/>
      </w:pPr>
      <w:r>
        <w:t>Static/source test proving every known counter, offset and mutation location is inventoried.</w:t>
      </w:r>
    </w:p>
    <w:p>
      <w:pPr>
        <w:pStyle w:val="ListBullet"/>
      </w:pPr>
      <w:r>
        <w:t>Determinism baseline demonstrating the current clock-dependent difference, where applicable.</w:t>
      </w:r>
    </w:p>
    <w:p>
      <w:pPr>
        <w:pStyle w:val="Heading3"/>
      </w:pPr>
      <w:r>
        <w:t>Exit gate</w:t>
      </w:r>
    </w:p>
    <w:p>
      <w:r>
        <w:t>Inventory is signed off; golden outputs are reproducible and checked into tests. No production behaviour changes.</w:t>
      </w:r>
    </w:p>
    <w:p>
      <w:pPr>
        <w:pStyle w:val="Heading2"/>
      </w:pPr>
      <w:r>
        <w:t>C.2 Phase 1 - Contracts and writer-occurrence planner</w:t>
      </w:r>
    </w:p>
    <w:p>
      <w:pPr>
        <w:pStyle w:val="Heading3"/>
      </w:pPr>
      <w:r>
        <w:t>Scope</w:t>
      </w:r>
    </w:p>
    <w:p>
      <w:pPr>
        <w:pStyle w:val="ListBullet"/>
      </w:pPr>
      <w:r>
        <w:t>Define LogicalPsiGraph.v1, PsiNodePlan.v1, writerOccurrences, componentAllocations, SourceCoverage.v1 and hash-chain schemas.</w:t>
      </w:r>
    </w:p>
    <w:p>
      <w:pPr>
        <w:pStyle w:val="ListBullet"/>
      </w:pPr>
      <w:r>
        <w:t>Extract component projection cardinality into a pure occurrence planner without assigning numbers.</w:t>
      </w:r>
    </w:p>
    <w:p>
      <w:pPr>
        <w:pStyle w:val="Heading3"/>
      </w:pPr>
      <w:r>
        <w:t>Minimum tests</w:t>
      </w:r>
    </w:p>
    <w:p>
      <w:pPr>
        <w:pStyle w:val="ListBullet"/>
      </w:pPr>
      <w:r>
        <w:t>Schema validation for complete and intentionally incomplete plans.</w:t>
      </w:r>
    </w:p>
    <w:p>
      <w:pPr>
        <w:pStyle w:val="ListBullet"/>
      </w:pPr>
      <w:r>
        <w:t>Component fixtures for PIPE/generic boundary, ELBO, TEE, REDU, support/rigid and reserved-slot behaviour.</w:t>
      </w:r>
    </w:p>
    <w:p>
      <w:pPr>
        <w:pStyle w:val="ListBullet"/>
      </w:pPr>
      <w:r>
        <w:t>Stable occurrence IDs and ordering under repeated execution.</w:t>
      </w:r>
    </w:p>
    <w:p>
      <w:pPr>
        <w:pStyle w:val="ListBullet"/>
      </w:pPr>
      <w:r>
        <w:t>Missing component projection produces COMPONENT_ALLOCATION_MISSING.</w:t>
      </w:r>
    </w:p>
    <w:p>
      <w:pPr>
        <w:pStyle w:val="Heading3"/>
      </w:pPr>
      <w:r>
        <w:t>Exit gate</w:t>
      </w:r>
    </w:p>
    <w:p>
      <w:r>
        <w:t>Every current serializer node occurrence is described by the occurrence planner with no engineering number assigned.</w:t>
      </w:r>
    </w:p>
    <w:p>
      <w:pPr>
        <w:pStyle w:val="Heading2"/>
      </w:pPr>
      <w:r>
        <w:t>C.3 Phase 2 - External node-plan shared serializer</w:t>
      </w:r>
    </w:p>
    <w:p>
      <w:pPr>
        <w:pStyle w:val="Heading3"/>
      </w:pPr>
      <w:r>
        <w:t>Scope</w:t>
      </w:r>
    </w:p>
    <w:p>
      <w:pPr>
        <w:pStyle w:val="ListBullet"/>
      </w:pPr>
      <w:r>
        <w:t>Route canonical and sequential branch projections into one shared serializer.</w:t>
      </w:r>
    </w:p>
    <w:p>
      <w:pPr>
        <w:pStyle w:val="ListBullet"/>
      </w:pPr>
      <w:r>
        <w:t>Remove counters, start-plus-offset inference, source mutation, clock access and fallback allocation in strict mode.</w:t>
      </w:r>
    </w:p>
    <w:p>
      <w:pPr>
        <w:pStyle w:val="Heading3"/>
      </w:pPr>
      <w:r>
        <w:t>Minimum tests</w:t>
      </w:r>
    </w:p>
    <w:p>
      <w:pPr>
        <w:pStyle w:val="ListBullet"/>
      </w:pPr>
      <w:r>
        <w:t>Strict serializer rejects a missing writer occurrence.</w:t>
      </w:r>
    </w:p>
    <w:p>
      <w:pPr>
        <w:pStyle w:val="ListBullet"/>
      </w:pPr>
      <w:r>
        <w:t>Strict serializer rejects an unplanned node and node-plan hash mismatch.</w:t>
      </w:r>
    </w:p>
    <w:p>
      <w:pPr>
        <w:pStyle w:val="ListBullet"/>
      </w:pPr>
      <w:r>
        <w:t>Canonical and sequential projections achieve 100% node-plan coverage and identical engineering numbers.</w:t>
      </w:r>
    </w:p>
    <w:p>
      <w:pPr>
        <w:pStyle w:val="ListBullet"/>
      </w:pPr>
      <w:r>
        <w:t>Byte-identical output for identical branch projection, node plan, config and evaluatedAt.</w:t>
      </w:r>
    </w:p>
    <w:p>
      <w:pPr>
        <w:pStyle w:val="ListBullet"/>
      </w:pPr>
      <w:r>
        <w:t>Static test: no new Date(), locale formatter, random ID, nodeCounter or xmlNodeNum mutation in the strict serializer path.</w:t>
      </w:r>
    </w:p>
    <w:p>
      <w:pPr>
        <w:pStyle w:val="Heading3"/>
      </w:pPr>
      <w:r>
        <w:t>Exit gate</w:t>
      </w:r>
    </w:p>
    <w:p>
      <w:r>
        <w:t>Strict mode has zero writer-side allocations and exact canonical/sequential numbering parity. Compatibility mode remains isolated.</w:t>
      </w:r>
    </w:p>
    <w:p>
      <w:pPr>
        <w:pStyle w:val="Heading2"/>
      </w:pPr>
      <w:r>
        <w:t>C.4 Phase 3 - Registry and deterministic allocator</w:t>
      </w:r>
    </w:p>
    <w:p>
      <w:pPr>
        <w:pStyle w:val="Heading3"/>
      </w:pPr>
      <w:r>
        <w:t>Scope</w:t>
      </w:r>
    </w:p>
    <w:p>
      <w:pPr>
        <w:pStyle w:val="ListBullet"/>
      </w:pPr>
      <w:r>
        <w:t>Implement zone manifest, line history, leases, reserved ranges, lifecycle records and complete snapshot hashing.</w:t>
      </w:r>
    </w:p>
    <w:p>
      <w:pPr>
        <w:pStyle w:val="ListBullet"/>
      </w:pPr>
      <w:r>
        <w:t>Implement deterministic free-slot and overflow-block selection.</w:t>
      </w:r>
    </w:p>
    <w:p>
      <w:pPr>
        <w:pStyle w:val="Heading3"/>
      </w:pPr>
      <w:r>
        <w:t>Minimum tests</w:t>
      </w:r>
    </w:p>
    <w:p>
      <w:pPr>
        <w:pStyle w:val="ListBullet"/>
      </w:pPr>
      <w:r>
        <w:t>Zone-wide duplicate active node number is rejected.</w:t>
      </w:r>
    </w:p>
    <w:p>
      <w:pPr>
        <w:pStyle w:val="ListBullet"/>
      </w:pPr>
      <w:r>
        <w:t>Number outside lease, reserved range, min/max or step alignment is rejected.</w:t>
      </w:r>
    </w:p>
    <w:p>
      <w:pPr>
        <w:pStyle w:val="ListBullet"/>
      </w:pPr>
      <w:r>
        <w:t>Existing owned free slots are selected in ascending order.</w:t>
      </w:r>
    </w:p>
    <w:p>
      <w:pPr>
        <w:pStyle w:val="ListBullet"/>
      </w:pPr>
      <w:r>
        <w:t>Adjacent free block is selected before the lowest non-adjacent block.</w:t>
      </w:r>
    </w:p>
    <w:p>
      <w:pPr>
        <w:pStyle w:val="ListBullet"/>
      </w:pPr>
      <w:r>
        <w:t>Same base snapshot concurrent proposals collide and stale proposal is rejected at current-target validation.</w:t>
      </w:r>
    </w:p>
    <w:p>
      <w:pPr>
        <w:pStyle w:val="ListBullet"/>
      </w:pPr>
      <w:r>
        <w:t>Equivalent unordered JSON/maps produce the same proposed snapshot hash.</w:t>
      </w:r>
    </w:p>
    <w:p>
      <w:pPr>
        <w:pStyle w:val="Heading3"/>
      </w:pPr>
      <w:r>
        <w:t>Exit gate</w:t>
      </w:r>
    </w:p>
    <w:p>
      <w:r>
        <w:t>Allocator and registry patch are deterministic, collision-free and merge-time stale-base safe.</w:t>
      </w:r>
    </w:p>
    <w:p>
      <w:pPr>
        <w:pStyle w:val="Heading2"/>
      </w:pPr>
      <w:r>
        <w:t>C.5 Phase 4 - Exact and topology-anchor history matching</w:t>
      </w:r>
    </w:p>
    <w:p>
      <w:pPr>
        <w:pStyle w:val="Heading3"/>
      </w:pPr>
      <w:r>
        <w:t>Scope</w:t>
      </w:r>
    </w:p>
    <w:p>
      <w:pPr>
        <w:pStyle w:val="ListBullet"/>
      </w:pPr>
      <w:r>
        <w:t>Match durable engineering identities and confirmed topology anchors only.</w:t>
      </w:r>
    </w:p>
    <w:p>
      <w:pPr>
        <w:pStyle w:val="ListBullet"/>
      </w:pPr>
      <w:r>
        <w:t>Treat sourceEntityId/sourcePath as Tier 3 aliases; enforce global one-to-one assignment and lifecycle review states.</w:t>
      </w:r>
    </w:p>
    <w:p>
      <w:pPr>
        <w:pStyle w:val="Heading3"/>
      </w:pPr>
      <w:r>
        <w:t>Minimum tests</w:t>
      </w:r>
    </w:p>
    <w:p>
      <w:pPr>
        <w:pStyle w:val="ListBullet"/>
      </w:pPr>
      <w:r>
        <w:t>Exact persistent REF/GUID/tag continuation reuses the approved history number.</w:t>
      </w:r>
    </w:p>
    <w:p>
      <w:pPr>
        <w:pStyle w:val="ListBullet"/>
      </w:pPr>
      <w:r>
        <w:t>Array insertion/path change does not independently create or break history continuity.</w:t>
      </w:r>
    </w:p>
    <w:p>
      <w:pPr>
        <w:pStyle w:val="ListBullet"/>
      </w:pPr>
      <w:r>
        <w:t>Competing current nodes for one historic node produce one-to-one assignment or REVIEW_REQUIRED.</w:t>
      </w:r>
    </w:p>
    <w:p>
      <w:pPr>
        <w:pStyle w:val="ListBullet"/>
      </w:pPr>
      <w:r>
        <w:t>Input array order does not change assignment.</w:t>
      </w:r>
    </w:p>
    <w:p>
      <w:pPr>
        <w:pStyle w:val="ListBullet"/>
      </w:pPr>
      <w:r>
        <w:t>Historical split and merge are REVIEW_REQUIRED, not auto-resolved.</w:t>
      </w:r>
    </w:p>
    <w:p>
      <w:pPr>
        <w:pStyle w:val="ListBullet"/>
      </w:pPr>
      <w:r>
        <w:t>PARTIAL_LINE coverage suppresses retirement; FULL_LINE retires only within the included line.</w:t>
      </w:r>
    </w:p>
    <w:p>
      <w:pPr>
        <w:pStyle w:val="Heading3"/>
      </w:pPr>
      <w:r>
        <w:t>Exit gate</w:t>
      </w:r>
    </w:p>
    <w:p>
      <w:r>
        <w:t>Exact/anchor matching is order-independent and produces no unsupported automatic reuse or retirement.</w:t>
      </w:r>
    </w:p>
    <w:p>
      <w:pPr>
        <w:pStyle w:val="Heading2"/>
      </w:pPr>
      <w:r>
        <w:t>C.6 Phase 5 - Registered spatial and scored matching</w:t>
      </w:r>
    </w:p>
    <w:p>
      <w:pPr>
        <w:pStyle w:val="Heading3"/>
      </w:pPr>
      <w:r>
        <w:t>Scope</w:t>
      </w:r>
    </w:p>
    <w:p>
      <w:pPr>
        <w:pStyle w:val="ListBullet"/>
      </w:pPr>
      <w:r>
        <w:t>Add rigid registration evidence, versioned scoring, ambiguity margin and benchmark calibration.</w:t>
      </w:r>
    </w:p>
    <w:p>
      <w:pPr>
        <w:pStyle w:val="ListBullet"/>
      </w:pPr>
      <w:r>
        <w:t>Keep proximity as supporting evidence only.</w:t>
      </w:r>
    </w:p>
    <w:p>
      <w:pPr>
        <w:pStyle w:val="Heading3"/>
      </w:pPr>
      <w:r>
        <w:t>Minimum tests</w:t>
      </w:r>
    </w:p>
    <w:p>
      <w:pPr>
        <w:pStyle w:val="ListBullet"/>
      </w:pPr>
      <w:r>
        <w:t>Translated/rotated approved revision matches after valid registration.</w:t>
      </w:r>
    </w:p>
    <w:p>
      <w:pPr>
        <w:pStyle w:val="ListBullet"/>
      </w:pPr>
      <w:r>
        <w:t>Insufficient anchors, mirror/scale conflict or excessive residual disables spatial scoring.</w:t>
      </w:r>
    </w:p>
    <w:p>
      <w:pPr>
        <w:pStyle w:val="ListBullet"/>
      </w:pPr>
      <w:r>
        <w:t>Two nearby parallel lines do not cross-match.</w:t>
      </w:r>
    </w:p>
    <w:p>
      <w:pPr>
        <w:pStyle w:val="ListBullet"/>
      </w:pPr>
      <w:r>
        <w:t>Score threshold and gap boundaries produce PASS versus REVIEW_REQUIRED exactly.</w:t>
      </w:r>
    </w:p>
    <w:p>
      <w:pPr>
        <w:pStyle w:val="ListBullet"/>
      </w:pPr>
      <w:r>
        <w:t>Mutation corpus records false-reuse and false-new rates for engineering approval.</w:t>
      </w:r>
    </w:p>
    <w:p>
      <w:pPr>
        <w:pStyle w:val="Heading3"/>
      </w:pPr>
      <w:r>
        <w:t>Exit gate</w:t>
      </w:r>
    </w:p>
    <w:p>
      <w:r>
        <w:t>Policy version and benchmark results are approved for shadow use; no production enforcement yet.</w:t>
      </w:r>
    </w:p>
    <w:p>
      <w:pPr>
        <w:pStyle w:val="Heading2"/>
      </w:pPr>
      <w:r>
        <w:t>C.7 Phase 6 - Shared micro-geometry normalization</w:t>
      </w:r>
    </w:p>
    <w:p>
      <w:pPr>
        <w:pStyle w:val="Heading3"/>
      </w:pPr>
      <w:r>
        <w:t>Scope</w:t>
      </w:r>
    </w:p>
    <w:p>
      <w:pPr>
        <w:pStyle w:val="ListBullet"/>
      </w:pPr>
      <w:r>
        <w:t>Implement policy-gated synthetic micro-component consumption and explicit micro-gap snapping in the shared topology stage.</w:t>
      </w:r>
    </w:p>
    <w:p>
      <w:pPr>
        <w:pStyle w:val="ListBullet"/>
      </w:pPr>
      <w:r>
        <w:t>Retain aliases, engineering dispositions, complete-link cluster evidence and history conflicts.</w:t>
      </w:r>
    </w:p>
    <w:p>
      <w:pPr>
        <w:pStyle w:val="Heading3"/>
      </w:pPr>
      <w:r>
        <w:t>Minimum tests</w:t>
      </w:r>
    </w:p>
    <w:p>
      <w:pPr>
        <w:pStyle w:val="ListBullet"/>
      </w:pPr>
      <w:r>
        <w:t>Allowlisted 3 mm synthetic placeholder auto-consumes with complete audit.</w:t>
      </w:r>
    </w:p>
    <w:p>
      <w:pPr>
        <w:pStyle w:val="ListBullet"/>
      </w:pPr>
      <w:r>
        <w:t>3 mm gasket is REVIEW_REQUIRED; short flange/valve/reducer/tee/support never auto-consume.</w:t>
      </w:r>
    </w:p>
    <w:p>
      <w:pPr>
        <w:pStyle w:val="ListBullet"/>
      </w:pPr>
      <w:r>
        <w:t>A-5 mm-B-5 mm-C cannot become one cluster when A-C exceeds tolerance.</w:t>
      </w:r>
    </w:p>
    <w:p>
      <w:pPr>
        <w:pStyle w:val="ListBullet"/>
      </w:pPr>
      <w:r>
        <w:t>Different historical identities block collapse.</w:t>
      </w:r>
    </w:p>
    <w:p>
      <w:pPr>
        <w:pStyle w:val="ListBullet"/>
      </w:pPr>
      <w:r>
        <w:t>Unrelated nearby endpoints and different carriers/main lines do not snap.</w:t>
      </w:r>
    </w:p>
    <w:p>
      <w:pPr>
        <w:pStyle w:val="ListBullet"/>
      </w:pPr>
      <w:r>
        <w:t>Logical graph, SVG/topology projection and PSI source sequence consume the same normalization hash.</w:t>
      </w:r>
    </w:p>
    <w:p>
      <w:pPr>
        <w:pStyle w:val="Heading3"/>
      </w:pPr>
      <w:r>
        <w:t>Exit gate</w:t>
      </w:r>
    </w:p>
    <w:p>
      <w:r>
        <w:t>No normalization decision is PSI-only; all in-scope downstream projections agree on logical topology and ancestry.</w:t>
      </w:r>
    </w:p>
    <w:p>
      <w:pPr>
        <w:pStyle w:val="Heading2"/>
      </w:pPr>
      <w:r>
        <w:t>C.8 Phase 7 - Final sequence and end-to-end parity</w:t>
      </w:r>
    </w:p>
    <w:p>
      <w:pPr>
        <w:pStyle w:val="Heading3"/>
      </w:pPr>
      <w:r>
        <w:t>Scope</w:t>
      </w:r>
    </w:p>
    <w:p>
      <w:pPr>
        <w:pStyle w:val="ListBullet"/>
      </w:pPr>
      <w:r>
        <w:t>Build the final sequence plan over LogicalPsiGraph.v1 and connect all downstream topology projections.</w:t>
      </w:r>
    </w:p>
    <w:p>
      <w:pPr>
        <w:pStyle w:val="ListBullet"/>
      </w:pPr>
      <w:r>
        <w:t>Prove shared-node PSI occurrence semantics through the production XML-to-CII converter.</w:t>
      </w:r>
    </w:p>
    <w:p>
      <w:pPr>
        <w:pStyle w:val="Heading3"/>
      </w:pPr>
      <w:r>
        <w:t>Minimum tests</w:t>
      </w:r>
    </w:p>
    <w:p>
      <w:pPr>
        <w:pStyle w:val="ListBullet"/>
      </w:pPr>
      <w:r>
        <w:t>Sequence-plan source/topology hashes reject stale source or stale normalization.</w:t>
      </w:r>
    </w:p>
    <w:p>
      <w:pPr>
        <w:pStyle w:val="ListBullet"/>
      </w:pPr>
      <w:r>
        <w:t>Canonical and sequential modes serialize exact node numbers and component allocations.</w:t>
      </w:r>
    </w:p>
    <w:p>
      <w:pPr>
        <w:pStyle w:val="ListBullet"/>
      </w:pPr>
      <w:r>
        <w:t>Repeated-versus-owning shared logical-node occurrence fixture passes PSI parse and production XML-to-CII conversion.</w:t>
      </w:r>
    </w:p>
    <w:p>
      <w:pPr>
        <w:pStyle w:val="ListBullet"/>
      </w:pPr>
      <w:r>
        <w:t>Independent CII reparse preserves node/component topology for canonical and sequential selections.</w:t>
      </w:r>
    </w:p>
    <w:p>
      <w:pPr>
        <w:pStyle w:val="ListBullet"/>
      </w:pPr>
      <w:r>
        <w:t>1885 benchmark reproduces approved allocation and selected-output CII proof.</w:t>
      </w:r>
    </w:p>
    <w:p>
      <w:pPr>
        <w:pStyle w:val="Heading3"/>
      </w:pPr>
      <w:r>
        <w:t>Exit gate</w:t>
      </w:r>
    </w:p>
    <w:p>
      <w:r>
        <w:t>PSI_SHARED_NODE_SERIALIZATION_UNRESOLVED is closed and full selected-output parity passes.</w:t>
      </w:r>
    </w:p>
    <w:p>
      <w:pPr>
        <w:pStyle w:val="Heading2"/>
      </w:pPr>
      <w:r>
        <w:t>C.9 Phase 8 - Bootstrap and production enforcement</w:t>
      </w:r>
    </w:p>
    <w:p>
      <w:pPr>
        <w:pStyle w:val="Heading3"/>
      </w:pPr>
      <w:r>
        <w:t>Scope</w:t>
      </w:r>
    </w:p>
    <w:p>
      <w:pPr>
        <w:pStyle w:val="ListBullet"/>
      </w:pPr>
      <w:r>
        <w:t>Bootstrap the authoritative registry from an approved historical model, run at least one revision in shadow, then enable HISTORY_ENFORCED.</w:t>
      </w:r>
    </w:p>
    <w:p>
      <w:pPr>
        <w:pStyle w:val="ListBullet"/>
      </w:pPr>
      <w:r>
        <w:t>Connect the GitHub merge transaction and production writer decision gate.</w:t>
      </w:r>
    </w:p>
    <w:p>
      <w:pPr>
        <w:pStyle w:val="Heading3"/>
      </w:pPr>
      <w:r>
        <w:t>Minimum tests</w:t>
      </w:r>
    </w:p>
    <w:p>
      <w:pPr>
        <w:pStyle w:val="ListBullet"/>
      </w:pPr>
      <w:r>
        <w:t>Approved bootstrap revision reproduces every in-scope historic node number.</w:t>
      </w:r>
    </w:p>
    <w:p>
      <w:pPr>
        <w:pStyle w:val="ListBullet"/>
      </w:pPr>
      <w:r>
        <w:t>Registry PR validates against current target branch and merges atomically.</w:t>
      </w:r>
    </w:p>
    <w:p>
      <w:pPr>
        <w:pStyle w:val="ListBullet"/>
      </w:pPr>
      <w:r>
        <w:t>REVIEW_REQUIRED or BLOCKED preprocessing cannot select production XML.</w:t>
      </w:r>
    </w:p>
    <w:p>
      <w:pPr>
        <w:pStyle w:val="ListBullet"/>
      </w:pPr>
      <w:r>
        <w:t>No silent fallback from requested sequential to canonical mode.</w:t>
      </w:r>
    </w:p>
    <w:p>
      <w:pPr>
        <w:pStyle w:val="ListBullet"/>
      </w:pPr>
      <w:r>
        <w:t>Canonical and sequential selected outputs expose the same nodePlanHash and pass downstream assurance.</w:t>
      </w:r>
    </w:p>
    <w:p>
      <w:pPr>
        <w:pStyle w:val="ListBullet"/>
      </w:pPr>
      <w:r>
        <w:t>Rollback to the last approved registry snapshot is documented and tested.</w:t>
      </w:r>
    </w:p>
    <w:p>
      <w:pPr>
        <w:pStyle w:val="Heading3"/>
      </w:pPr>
      <w:r>
        <w:t>Exit gate</w:t>
      </w:r>
    </w:p>
    <w:p>
      <w:r>
        <w:t>Engineering owner approves enforcement; production selection is impossible without PASS node plan, current registry snapshot and complete downstream proof.</w:t>
      </w:r>
    </w:p>
    <w:p>
      <w:pPr>
        <w:pStyle w:val="Heading2"/>
      </w:pPr>
      <w:r>
        <w:t>C.10 Minimum CI suite by enforcement state</w:t>
      </w:r>
    </w:p>
    <w:tbl>
      <w:tblPr>
        <w:tblStyle w:val="TableGrid"/>
        <w:tblW w:type="auto" w:w="0"/>
        <w:jc w:val="center"/>
        <w:tblLook w:firstColumn="1" w:firstRow="1" w:lastColumn="0" w:lastRow="0" w:noHBand="0" w:noVBand="1" w:val="04A0"/>
      </w:tblPr>
      <w:tblGrid>
        <w:gridCol w:w="4831"/>
        <w:gridCol w:w="4831"/>
      </w:tblGrid>
      <w:tr>
        <w:trPr>
          <w:cantSplit/>
        </w:trPr>
        <w:tc>
          <w:tcPr>
            <w:tcW w:type="dxa" w:w="2880"/>
            <w:vAlign w:val="center"/>
          </w:tcPr>
          <w:p>
            <w:r/>
            <w:r>
              <w:rPr>
                <w:b/>
              </w:rPr>
              <w:t>State</w:t>
            </w:r>
          </w:p>
        </w:tc>
        <w:tc>
          <w:tcPr>
            <w:tcW w:type="dxa" w:w="6048"/>
            <w:vAlign w:val="center"/>
          </w:tcPr>
          <w:p>
            <w:r/>
            <w:r>
              <w:rPr>
                <w:b/>
              </w:rPr>
              <w:t>Minimum required CI</w:t>
            </w:r>
          </w:p>
        </w:tc>
      </w:tr>
      <w:tr>
        <w:trPr>
          <w:cantSplit/>
        </w:trPr>
        <w:tc>
          <w:tcPr>
            <w:tcW w:type="dxa" w:w="2880"/>
            <w:vAlign w:val="center"/>
          </w:tcPr>
          <w:p>
            <w:r/>
            <w:r>
              <w:rPr>
                <w:b w:val="0"/>
              </w:rPr>
              <w:t>Characterization/contract phases</w:t>
            </w:r>
          </w:p>
        </w:tc>
        <w:tc>
          <w:tcPr>
            <w:tcW w:type="dxa" w:w="6048"/>
            <w:vAlign w:val="center"/>
          </w:tcPr>
          <w:p>
            <w:r/>
            <w:r>
              <w:rPr>
                <w:b w:val="0"/>
              </w:rPr>
              <w:t>Schema + occurrence planner + golden allocation snapshots</w:t>
            </w:r>
          </w:p>
        </w:tc>
      </w:tr>
      <w:tr>
        <w:trPr>
          <w:cantSplit/>
        </w:trPr>
        <w:tc>
          <w:tcPr>
            <w:tcW w:type="dxa" w:w="2880"/>
            <w:vAlign w:val="center"/>
          </w:tcPr>
          <w:p>
            <w:r/>
            <w:r>
              <w:rPr>
                <w:b w:val="0"/>
              </w:rPr>
              <w:t>Shadow matching phases</w:t>
            </w:r>
          </w:p>
        </w:tc>
        <w:tc>
          <w:tcPr>
            <w:tcW w:type="dxa" w:w="6048"/>
            <w:vAlign w:val="center"/>
          </w:tcPr>
          <w:p>
            <w:r/>
            <w:r>
              <w:rPr>
                <w:b w:val="0"/>
              </w:rPr>
              <w:t>All above + exact/global assignment + coverage + registration benchmark tests</w:t>
            </w:r>
          </w:p>
        </w:tc>
      </w:tr>
      <w:tr>
        <w:trPr>
          <w:cantSplit/>
        </w:trPr>
        <w:tc>
          <w:tcPr>
            <w:tcW w:type="dxa" w:w="2880"/>
            <w:vAlign w:val="center"/>
          </w:tcPr>
          <w:p>
            <w:r/>
            <w:r>
              <w:rPr>
                <w:b w:val="0"/>
              </w:rPr>
              <w:t>Micro-normalization shadow</w:t>
            </w:r>
          </w:p>
        </w:tc>
        <w:tc>
          <w:tcPr>
            <w:tcW w:type="dxa" w:w="6048"/>
            <w:vAlign w:val="center"/>
          </w:tcPr>
          <w:p>
            <w:r/>
            <w:r>
              <w:rPr>
                <w:b w:val="0"/>
              </w:rPr>
              <w:t>All above + policy allow/block + complete-link + cross-projection topology hash tests</w:t>
            </w:r>
          </w:p>
        </w:tc>
      </w:tr>
      <w:tr>
        <w:trPr>
          <w:cantSplit/>
        </w:trPr>
        <w:tc>
          <w:tcPr>
            <w:tcW w:type="dxa" w:w="2880"/>
            <w:vAlign w:val="center"/>
          </w:tcPr>
          <w:p>
            <w:r/>
            <w:r>
              <w:rPr>
                <w:b w:val="0"/>
              </w:rPr>
              <w:t>History enforced</w:t>
            </w:r>
          </w:p>
        </w:tc>
        <w:tc>
          <w:tcPr>
            <w:tcW w:type="dxa" w:w="6048"/>
            <w:vAlign w:val="center"/>
          </w:tcPr>
          <w:p>
            <w:r/>
            <w:r>
              <w:rPr>
                <w:b w:val="0"/>
              </w:rPr>
              <w:t>All above + shared serializer strict tests + registry merge gate + selected XML-to-CII end-to-end proof</w:t>
            </w:r>
          </w:p>
        </w:tc>
      </w:tr>
    </w:tbl>
    <w:p>
      <w:pPr>
        <w:pStyle w:val="Heading1"/>
        <w:pageBreakBefore/>
      </w:pPr>
      <w:r>
        <w:t>Appendix D. Three-level PSI context and topology-index contract</w:t>
      </w:r>
    </w:p>
    <w:p>
      <w:r>
        <w:t>This appendix is normative for the concept. It does not replace the architecture in Sections 5-12; it finalizes how that architecture is represented at Pipe, Branch and Node level and how it links to the existing source-port, canonical-node, canonical-edge, junction, boundary, support-attachment and PSI endpoint concepts.</w:t>
      </w:r>
    </w:p>
    <w:p>
      <w:pPr>
        <w:pStyle w:val="Heading2"/>
      </w:pPr>
      <w:r>
        <w:t>D.1 Revision decision</w:t>
      </w:r>
    </w:p>
    <w:p>
      <w:r>
        <w:t>The existing concept requires revision because the three-level block structure changes the contract surface consumed by the writer, validator, registry and audit tooling. A separate document would create two competing architecture baselines. Appendix D therefore extends Revision 3 of this concept and is authoritative where earlier examples are less specific.</w:t>
      </w:r>
    </w:p>
    <w:p>
      <w:pPr>
        <w:pStyle w:val="ListBullet"/>
      </w:pPr>
      <w:r>
        <w:t>PipeContext owns document-wide hashes, policies, coordinate-frame identity and registry references.</w:t>
      </w:r>
    </w:p>
    <w:p>
      <w:pPr>
        <w:pStyle w:val="ListBullet"/>
      </w:pPr>
      <w:r>
        <w:t>BranchContext owns zone, canonical main-line identity, branch traversal identity, coverage and lease reference.</w:t>
      </w:r>
    </w:p>
    <w:p>
      <w:pPr>
        <w:pStyle w:val="ListBullet"/>
      </w:pPr>
      <w:r>
        <w:t>NodeContext binds canonical topology identity, historical identity, engineering number and PSI writer occurrence.</w:t>
      </w:r>
    </w:p>
    <w:p>
      <w:pPr>
        <w:pStyle w:val="ListBullet"/>
      </w:pPr>
      <w:r>
        <w:t>PsiTopologyIndex.v1 owns edges, neighbours, junctions, boundaries, attachments and sequence occurrences; Node blocks only reference these objects.</w:t>
      </w:r>
    </w:p>
    <w:p>
      <w:pPr>
        <w:pStyle w:val="Heading2"/>
      </w:pPr>
      <w:r>
        <w:t>D.2 Three-level impact model</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1440"/>
            <w:vAlign w:val="center"/>
            <w:shd w:fill="D9EAF7"/>
          </w:tcPr>
          <w:p>
            <w:pPr>
              <w:spacing w:after="0"/>
            </w:pPr>
            <w:r/>
            <w:r>
              <w:rPr>
                <w:b/>
              </w:rPr>
              <w:t>Level</w:t>
            </w:r>
          </w:p>
        </w:tc>
        <w:tc>
          <w:tcPr>
            <w:tcW w:type="dxa" w:w="6192"/>
            <w:vAlign w:val="center"/>
            <w:shd w:fill="D9EAF7"/>
          </w:tcPr>
          <w:p>
            <w:pPr>
              <w:spacing w:after="0"/>
            </w:pPr>
            <w:r/>
            <w:r>
              <w:rPr>
                <w:b/>
              </w:rPr>
              <w:t>Authoritative impact</w:t>
            </w:r>
          </w:p>
        </w:tc>
        <w:tc>
          <w:tcPr>
            <w:tcW w:type="dxa" w:w="2592"/>
            <w:vAlign w:val="center"/>
            <w:shd w:fill="D9EAF7"/>
          </w:tcPr>
          <w:p>
            <w:pPr>
              <w:spacing w:after="0"/>
            </w:pPr>
            <w:r/>
            <w:r>
              <w:rPr>
                <w:b/>
              </w:rPr>
              <w:t>Failure scope</w:t>
            </w:r>
          </w:p>
        </w:tc>
      </w:tr>
      <w:tr>
        <w:tc>
          <w:tcPr>
            <w:tcW w:type="dxa" w:w="1440"/>
            <w:vAlign w:val="center"/>
          </w:tcPr>
          <w:p>
            <w:pPr>
              <w:spacing w:after="0"/>
            </w:pPr>
            <w:r/>
            <w:r>
              <w:rPr>
                <w:b w:val="0"/>
              </w:rPr>
              <w:t>Pipe</w:t>
            </w:r>
          </w:p>
        </w:tc>
        <w:tc>
          <w:tcPr>
            <w:tcW w:type="dxa" w:w="6192"/>
            <w:vAlign w:val="center"/>
          </w:tcPr>
          <w:p>
            <w:pPr>
              <w:spacing w:after="0"/>
            </w:pPr>
            <w:r/>
            <w:r>
              <w:rPr>
                <w:b w:val="0"/>
              </w:rPr>
              <w:t>Source revision, coordinate frame, topology/sequence/node-plan hashes, policy versions, writer decision and registry snapshots.</w:t>
            </w:r>
          </w:p>
        </w:tc>
        <w:tc>
          <w:tcPr>
            <w:tcW w:type="dxa" w:w="2592"/>
            <w:vAlign w:val="center"/>
          </w:tcPr>
          <w:p>
            <w:pPr>
              <w:spacing w:after="0"/>
            </w:pPr>
            <w:r/>
            <w:r>
              <w:rPr>
                <w:b w:val="0"/>
              </w:rPr>
              <w:t>Invalidates the complete generated artifact.</w:t>
            </w:r>
          </w:p>
        </w:tc>
      </w:tr>
      <w:tr>
        <w:tc>
          <w:tcPr>
            <w:tcW w:type="dxa" w:w="1440"/>
            <w:vAlign w:val="center"/>
          </w:tcPr>
          <w:p>
            <w:pPr>
              <w:spacing w:after="0"/>
            </w:pPr>
            <w:r/>
            <w:r>
              <w:rPr>
                <w:b w:val="0"/>
              </w:rPr>
              <w:t>Branch</w:t>
            </w:r>
          </w:p>
        </w:tc>
        <w:tc>
          <w:tcPr>
            <w:tcW w:type="dxa" w:w="6192"/>
            <w:vAlign w:val="center"/>
          </w:tcPr>
          <w:p>
            <w:pPr>
              <w:spacing w:after="0"/>
            </w:pPr>
            <w:r/>
            <w:r>
              <w:rPr>
                <w:b w:val="0"/>
              </w:rPr>
              <w:t>Zone ownership, canonical main line, /B# traversal, coverage, lease ownership, head/tail references and connected component.</w:t>
            </w:r>
          </w:p>
        </w:tc>
        <w:tc>
          <w:tcPr>
            <w:tcW w:type="dxa" w:w="2592"/>
            <w:vAlign w:val="center"/>
          </w:tcPr>
          <w:p>
            <w:pPr>
              <w:spacing w:after="0"/>
            </w:pPr>
            <w:r/>
            <w:r>
              <w:rPr>
                <w:b w:val="0"/>
              </w:rPr>
              <w:t>Blocks the affected branch family or main line.</w:t>
            </w:r>
          </w:p>
        </w:tc>
      </w:tr>
      <w:tr>
        <w:tc>
          <w:tcPr>
            <w:tcW w:type="dxa" w:w="1440"/>
            <w:vAlign w:val="center"/>
          </w:tcPr>
          <w:p>
            <w:pPr>
              <w:spacing w:after="0"/>
            </w:pPr>
            <w:r/>
            <w:r>
              <w:rPr>
                <w:b w:val="0"/>
              </w:rPr>
              <w:t>Node</w:t>
            </w:r>
          </w:p>
        </w:tc>
        <w:tc>
          <w:tcPr>
            <w:tcW w:type="dxa" w:w="6192"/>
            <w:vAlign w:val="center"/>
          </w:tcPr>
          <w:p>
            <w:pPr>
              <w:spacing w:after="0"/>
            </w:pPr>
            <w:r/>
            <w:r>
              <w:rPr>
                <w:b w:val="0"/>
              </w:rPr>
              <w:t>Canonical identity, history continuity, engineering number, PSI occurrence, position authority, topology/attachment references and normalization evidence.</w:t>
            </w:r>
          </w:p>
        </w:tc>
        <w:tc>
          <w:tcPr>
            <w:tcW w:type="dxa" w:w="2592"/>
            <w:vAlign w:val="center"/>
          </w:tcPr>
          <w:p>
            <w:pPr>
              <w:spacing w:after="0"/>
            </w:pPr>
            <w:r/>
            <w:r>
              <w:rPr>
                <w:b w:val="0"/>
              </w:rPr>
              <w:t>Blocks the node occurrence and normally writer selection.</w:t>
            </w:r>
          </w:p>
        </w:tc>
      </w:tr>
    </w:tbl>
    <w:p/>
    <w:p>
      <w:r>
        <w:t>The authority chain is:</w:t>
      </w:r>
    </w:p>
    <w:p>
      <w:pPr>
        <w:pStyle w:val="CodeBlock"/>
        <w:keepLines/>
        <w:spacing w:after="120"/>
      </w:pPr>
      <w:r>
        <w:rPr>
          <w:rFonts w:ascii="Consolas" w:hAnsi="Consolas"/>
          <w:sz w:val="16"/>
        </w:rPr>
        <w:t>source entity / source port</w:t>
        <w:br/>
        <w:t xml:space="preserve">  -&gt; normalization decision</w:t>
        <w:br/>
        <w:t xml:space="preserve">  -&gt; canonical node / edge / junction / boundary</w:t>
        <w:br/>
        <w:t xml:space="preserve">  -&gt; historyNodeId</w:t>
        <w:br/>
        <w:t xml:space="preserve">  -&gt; engineering node number</w:t>
        <w:br/>
        <w:t xml:space="preserve">  -&gt; writer occurrence</w:t>
        <w:br/>
        <w:t xml:space="preserve">  -&gt; PSI XML / InputXML / CII projection</w:t>
      </w:r>
    </w:p>
    <w:p>
      <w:pPr>
        <w:pStyle w:val="Heading2"/>
      </w:pPr>
      <w:r>
        <w:t>D.3 Transport profiles and namespace rule</w:t>
      </w:r>
    </w:p>
    <w:p>
      <w:r>
        <w:t>The default production profile remains strict PSI-116. History and topology context are stored in deterministic sidecars referenced by hashes. An inline audit profile may use a foreign namespace only after XSD and XML-to-CII compatibility are proven.</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3221"/>
            <w:vAlign w:val="center"/>
            <w:shd w:fill="D9EAF7"/>
          </w:tcPr>
          <w:p>
            <w:pPr>
              <w:spacing w:after="0"/>
            </w:pPr>
            <w:r/>
            <w:r>
              <w:rPr>
                <w:b/>
              </w:rPr>
              <w:t>Profile</w:t>
            </w:r>
          </w:p>
        </w:tc>
        <w:tc>
          <w:tcPr>
            <w:tcW w:type="dxa" w:w="3221"/>
            <w:vAlign w:val="center"/>
            <w:shd w:fill="D9EAF7"/>
          </w:tcPr>
          <w:p>
            <w:pPr>
              <w:spacing w:after="0"/>
            </w:pPr>
            <w:r/>
            <w:r>
              <w:rPr>
                <w:b/>
              </w:rPr>
              <w:t>XML content</w:t>
            </w:r>
          </w:p>
        </w:tc>
        <w:tc>
          <w:tcPr>
            <w:tcW w:type="dxa" w:w="3221"/>
            <w:vAlign w:val="center"/>
            <w:shd w:fill="D9EAF7"/>
          </w:tcPr>
          <w:p>
            <w:pPr>
              <w:spacing w:after="0"/>
            </w:pPr>
            <w:r/>
            <w:r>
              <w:rPr>
                <w:b/>
              </w:rPr>
              <w:t>Use</w:t>
            </w:r>
          </w:p>
        </w:tc>
      </w:tr>
      <w:tr>
        <w:tc>
          <w:tcPr>
            <w:tcW w:type="dxa" w:w="3221"/>
            <w:vAlign w:val="center"/>
          </w:tcPr>
          <w:p>
            <w:pPr>
              <w:spacing w:after="0"/>
            </w:pPr>
            <w:r/>
            <w:r>
              <w:rPr>
                <w:b w:val="0"/>
              </w:rPr>
              <w:t>PSI116_STRICT</w:t>
            </w:r>
          </w:p>
        </w:tc>
        <w:tc>
          <w:tcPr>
            <w:tcW w:type="dxa" w:w="3221"/>
            <w:vAlign w:val="center"/>
          </w:tcPr>
          <w:p>
            <w:pPr>
              <w:spacing w:after="0"/>
            </w:pPr>
            <w:r/>
            <w:r>
              <w:rPr>
                <w:b w:val="0"/>
              </w:rPr>
              <w:t>Only schema-approved PSI fields. Context is in sidecars and manifest hashes.</w:t>
            </w:r>
          </w:p>
        </w:tc>
        <w:tc>
          <w:tcPr>
            <w:tcW w:type="dxa" w:w="3221"/>
            <w:vAlign w:val="center"/>
          </w:tcPr>
          <w:p>
            <w:pPr>
              <w:spacing w:after="0"/>
            </w:pPr>
            <w:r/>
            <w:r>
              <w:rPr>
                <w:b w:val="0"/>
              </w:rPr>
              <w:t>Production default.</w:t>
            </w:r>
          </w:p>
        </w:tc>
      </w:tr>
      <w:tr>
        <w:tc>
          <w:tcPr>
            <w:tcW w:type="dxa" w:w="3221"/>
            <w:vAlign w:val="center"/>
          </w:tcPr>
          <w:p>
            <w:pPr>
              <w:spacing w:after="0"/>
            </w:pPr>
            <w:r/>
            <w:r>
              <w:rPr>
                <w:b w:val="0"/>
              </w:rPr>
              <w:t>PSI116_AUDIT_EXTENDED</w:t>
            </w:r>
          </w:p>
        </w:tc>
        <w:tc>
          <w:tcPr>
            <w:tcW w:type="dxa" w:w="3221"/>
            <w:vAlign w:val="center"/>
          </w:tcPr>
          <w:p>
            <w:pPr>
              <w:spacing w:after="0"/>
            </w:pPr>
            <w:r/>
            <w:r>
              <w:rPr>
                <w:b w:val="0"/>
              </w:rPr>
              <w:t>Adds hx:* context blocks under a dedicated namespace.</w:t>
            </w:r>
          </w:p>
        </w:tc>
        <w:tc>
          <w:tcPr>
            <w:tcW w:type="dxa" w:w="3221"/>
            <w:vAlign w:val="center"/>
          </w:tcPr>
          <w:p>
            <w:pPr>
              <w:spacing w:after="0"/>
            </w:pPr>
            <w:r/>
            <w:r>
              <w:rPr>
                <w:b w:val="0"/>
              </w:rPr>
              <w:t>Optional review/debug profile after compatibility proof.</w:t>
            </w:r>
          </w:p>
        </w:tc>
      </w:tr>
    </w:tbl>
    <w:p/>
    <w:p>
      <w:pPr>
        <w:pStyle w:val="CodeBlock"/>
        <w:keepLines/>
        <w:spacing w:after="120"/>
      </w:pPr>
      <w:r>
        <w:rPr>
          <w:rFonts w:ascii="Consolas" w:hAnsi="Consolas"/>
          <w:sz w:val="16"/>
        </w:rPr>
        <w:t>xmlns:hx="urn:xml-compare:psi-history:v1"</w:t>
      </w:r>
    </w:p>
    <w:p>
      <w:r>
        <w:t>No hx:* element is permitted in production merely because the browser parser tolerates it. The authoritative XSD profile and the production XML-to-CII converter must both pass.</w:t>
      </w:r>
    </w:p>
    <w:p>
      <w:pPr>
        <w:pStyle w:val="Heading2"/>
      </w:pPr>
      <w:r>
        <w:t>D.4 Pipe-level contract</w:t>
      </w:r>
    </w:p>
    <w:p>
      <w:r>
        <w:t>PipeContext carries values inherited by every Branch and Node. Zone-specific values are referenced as a collection because one model may contain multiple zones.</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Field</w:t>
            </w:r>
          </w:p>
        </w:tc>
        <w:tc>
          <w:tcPr>
            <w:tcW w:type="dxa" w:w="4831"/>
            <w:vAlign w:val="center"/>
            <w:shd w:fill="D9EAF7"/>
          </w:tcPr>
          <w:p>
            <w:pPr>
              <w:spacing w:after="0"/>
            </w:pPr>
            <w:r/>
            <w:r>
              <w:rPr>
                <w:b/>
              </w:rPr>
              <w:t>Requirement</w:t>
            </w:r>
          </w:p>
        </w:tc>
      </w:tr>
      <w:tr>
        <w:tc>
          <w:tcPr>
            <w:tcW w:type="dxa" w:w="4831"/>
            <w:vAlign w:val="center"/>
          </w:tcPr>
          <w:p>
            <w:pPr>
              <w:spacing w:after="0"/>
            </w:pPr>
            <w:r/>
            <w:r>
              <w:rPr>
                <w:b w:val="0"/>
              </w:rPr>
              <w:t>SchemaVersion</w:t>
            </w:r>
          </w:p>
        </w:tc>
        <w:tc>
          <w:tcPr>
            <w:tcW w:type="dxa" w:w="4831"/>
            <w:vAlign w:val="center"/>
          </w:tcPr>
          <w:p>
            <w:pPr>
              <w:spacing w:after="0"/>
            </w:pPr>
            <w:r/>
            <w:r>
              <w:rPr>
                <w:b w:val="0"/>
              </w:rPr>
              <w:t>Version of the context contract.</w:t>
            </w:r>
          </w:p>
        </w:tc>
      </w:tr>
      <w:tr>
        <w:tc>
          <w:tcPr>
            <w:tcW w:type="dxa" w:w="4831"/>
            <w:vAlign w:val="center"/>
          </w:tcPr>
          <w:p>
            <w:pPr>
              <w:spacing w:after="0"/>
            </w:pPr>
            <w:r/>
            <w:r>
              <w:rPr>
                <w:b w:val="0"/>
              </w:rPr>
              <w:t>ProjectId / ModelId / ModelRevisionId</w:t>
            </w:r>
          </w:p>
        </w:tc>
        <w:tc>
          <w:tcPr>
            <w:tcW w:type="dxa" w:w="4831"/>
            <w:vAlign w:val="center"/>
          </w:tcPr>
          <w:p>
            <w:pPr>
              <w:spacing w:after="0"/>
            </w:pPr>
            <w:r/>
            <w:r>
              <w:rPr>
                <w:b w:val="0"/>
              </w:rPr>
              <w:t>Registry namespace and revision identity.</w:t>
            </w:r>
          </w:p>
        </w:tc>
      </w:tr>
      <w:tr>
        <w:tc>
          <w:tcPr>
            <w:tcW w:type="dxa" w:w="4831"/>
            <w:vAlign w:val="center"/>
          </w:tcPr>
          <w:p>
            <w:pPr>
              <w:spacing w:after="0"/>
            </w:pPr>
            <w:r/>
            <w:r>
              <w:rPr>
                <w:b w:val="0"/>
              </w:rPr>
              <w:t>SourceSchema / SourceHash</w:t>
            </w:r>
          </w:p>
        </w:tc>
        <w:tc>
          <w:tcPr>
            <w:tcW w:type="dxa" w:w="4831"/>
            <w:vAlign w:val="center"/>
          </w:tcPr>
          <w:p>
            <w:pPr>
              <w:spacing w:after="0"/>
            </w:pPr>
            <w:r/>
            <w:r>
              <w:rPr>
                <w:b w:val="0"/>
              </w:rPr>
              <w:t>Exact upstream artifact identity.</w:t>
            </w:r>
          </w:p>
        </w:tc>
      </w:tr>
      <w:tr>
        <w:tc>
          <w:tcPr>
            <w:tcW w:type="dxa" w:w="4831"/>
            <w:vAlign w:val="center"/>
          </w:tcPr>
          <w:p>
            <w:pPr>
              <w:spacing w:after="0"/>
            </w:pPr>
            <w:r/>
            <w:r>
              <w:rPr>
                <w:b w:val="0"/>
              </w:rPr>
              <w:t>CoordinateFrameId / units / axes / handedness</w:t>
            </w:r>
          </w:p>
        </w:tc>
        <w:tc>
          <w:tcPr>
            <w:tcW w:type="dxa" w:w="4831"/>
            <w:vAlign w:val="center"/>
          </w:tcPr>
          <w:p>
            <w:pPr>
              <w:spacing w:after="0"/>
            </w:pPr>
            <w:r/>
            <w:r>
              <w:rPr>
                <w:b w:val="0"/>
              </w:rPr>
              <w:t>Geometry interpretation and registration compatibility.</w:t>
            </w:r>
          </w:p>
        </w:tc>
      </w:tr>
      <w:tr>
        <w:tc>
          <w:tcPr>
            <w:tcW w:type="dxa" w:w="4831"/>
            <w:vAlign w:val="center"/>
          </w:tcPr>
          <w:p>
            <w:pPr>
              <w:spacing w:after="0"/>
            </w:pPr>
            <w:r/>
            <w:r>
              <w:rPr>
                <w:b w:val="0"/>
              </w:rPr>
              <w:t>TopologyHash</w:t>
            </w:r>
          </w:p>
        </w:tc>
        <w:tc>
          <w:tcPr>
            <w:tcW w:type="dxa" w:w="4831"/>
            <w:vAlign w:val="center"/>
          </w:tcPr>
          <w:p>
            <w:pPr>
              <w:spacing w:after="0"/>
            </w:pPr>
            <w:r/>
            <w:r>
              <w:rPr>
                <w:b w:val="0"/>
              </w:rPr>
              <w:t>Canonical connectivity authority.</w:t>
            </w:r>
          </w:p>
        </w:tc>
      </w:tr>
      <w:tr>
        <w:tc>
          <w:tcPr>
            <w:tcW w:type="dxa" w:w="4831"/>
            <w:vAlign w:val="center"/>
          </w:tcPr>
          <w:p>
            <w:pPr>
              <w:spacing w:after="0"/>
            </w:pPr>
            <w:r/>
            <w:r>
              <w:rPr>
                <w:b w:val="0"/>
              </w:rPr>
              <w:t>SequencePlanHash</w:t>
            </w:r>
          </w:p>
        </w:tc>
        <w:tc>
          <w:tcPr>
            <w:tcW w:type="dxa" w:w="4831"/>
            <w:vAlign w:val="center"/>
          </w:tcPr>
          <w:p>
            <w:pPr>
              <w:spacing w:after="0"/>
            </w:pPr>
            <w:r/>
            <w:r>
              <w:rPr>
                <w:b w:val="0"/>
              </w:rPr>
              <w:t>Final traversal authority.</w:t>
            </w:r>
          </w:p>
        </w:tc>
      </w:tr>
      <w:tr>
        <w:tc>
          <w:tcPr>
            <w:tcW w:type="dxa" w:w="4831"/>
            <w:vAlign w:val="center"/>
          </w:tcPr>
          <w:p>
            <w:pPr>
              <w:spacing w:after="0"/>
            </w:pPr>
            <w:r/>
            <w:r>
              <w:rPr>
                <w:b w:val="0"/>
              </w:rPr>
              <w:t>NodePlanHash</w:t>
            </w:r>
          </w:p>
        </w:tc>
        <w:tc>
          <w:tcPr>
            <w:tcW w:type="dxa" w:w="4831"/>
            <w:vAlign w:val="center"/>
          </w:tcPr>
          <w:p>
            <w:pPr>
              <w:spacing w:after="0"/>
            </w:pPr>
            <w:r/>
            <w:r>
              <w:rPr>
                <w:b w:val="0"/>
              </w:rPr>
              <w:t>Sole emitted engineering-number authority.</w:t>
            </w:r>
          </w:p>
        </w:tc>
      </w:tr>
      <w:tr>
        <w:tc>
          <w:tcPr>
            <w:tcW w:type="dxa" w:w="4831"/>
            <w:vAlign w:val="center"/>
          </w:tcPr>
          <w:p>
            <w:pPr>
              <w:spacing w:after="0"/>
            </w:pPr>
            <w:r/>
            <w:r>
              <w:rPr>
                <w:b w:val="0"/>
              </w:rPr>
              <w:t>NormalizationPolicyId / HistoryPolicyId / NumberingPolicyId</w:t>
            </w:r>
          </w:p>
        </w:tc>
        <w:tc>
          <w:tcPr>
            <w:tcW w:type="dxa" w:w="4831"/>
            <w:vAlign w:val="center"/>
          </w:tcPr>
          <w:p>
            <w:pPr>
              <w:spacing w:after="0"/>
            </w:pPr>
            <w:r/>
            <w:r>
              <w:rPr>
                <w:b w:val="0"/>
              </w:rPr>
              <w:t>Reproducibility and policy versioning.</w:t>
            </w:r>
          </w:p>
        </w:tc>
      </w:tr>
      <w:tr>
        <w:tc>
          <w:tcPr>
            <w:tcW w:type="dxa" w:w="4831"/>
            <w:vAlign w:val="center"/>
          </w:tcPr>
          <w:p>
            <w:pPr>
              <w:spacing w:after="0"/>
            </w:pPr>
            <w:r/>
            <w:r>
              <w:rPr>
                <w:b w:val="0"/>
              </w:rPr>
              <w:t>RequestedWriterMode / EffectiveWriterMode / WriterDecisionRef</w:t>
            </w:r>
          </w:p>
        </w:tc>
        <w:tc>
          <w:tcPr>
            <w:tcW w:type="dxa" w:w="4831"/>
            <w:vAlign w:val="center"/>
          </w:tcPr>
          <w:p>
            <w:pPr>
              <w:spacing w:after="0"/>
            </w:pPr>
            <w:r/>
            <w:r>
              <w:rPr>
                <w:b w:val="0"/>
              </w:rPr>
              <w:t>Writer selection and fallback evidence.</w:t>
            </w:r>
          </w:p>
        </w:tc>
      </w:tr>
      <w:tr>
        <w:tc>
          <w:tcPr>
            <w:tcW w:type="dxa" w:w="4831"/>
            <w:vAlign w:val="center"/>
          </w:tcPr>
          <w:p>
            <w:pPr>
              <w:spacing w:after="0"/>
            </w:pPr>
            <w:r/>
            <w:r>
              <w:rPr>
                <w:b w:val="0"/>
              </w:rPr>
              <w:t>EvaluatedAt</w:t>
            </w:r>
          </w:p>
        </w:tc>
        <w:tc>
          <w:tcPr>
            <w:tcW w:type="dxa" w:w="4831"/>
            <w:vAlign w:val="center"/>
          </w:tcPr>
          <w:p>
            <w:pPr>
              <w:spacing w:after="0"/>
            </w:pPr>
            <w:r/>
            <w:r>
              <w:rPr>
                <w:b w:val="0"/>
              </w:rPr>
              <w:t>Externally supplied deterministic timestamp.</w:t>
            </w:r>
          </w:p>
        </w:tc>
      </w:tr>
      <w:tr>
        <w:tc>
          <w:tcPr>
            <w:tcW w:type="dxa" w:w="4831"/>
            <w:vAlign w:val="center"/>
          </w:tcPr>
          <w:p>
            <w:pPr>
              <w:spacing w:after="0"/>
            </w:pPr>
            <w:r/>
            <w:r>
              <w:rPr>
                <w:b w:val="0"/>
              </w:rPr>
              <w:t>ZoneRegistryRef[]</w:t>
            </w:r>
          </w:p>
        </w:tc>
        <w:tc>
          <w:tcPr>
            <w:tcW w:type="dxa" w:w="4831"/>
            <w:vAlign w:val="center"/>
          </w:tcPr>
          <w:p>
            <w:pPr>
              <w:spacing w:after="0"/>
            </w:pPr>
            <w:r/>
            <w:r>
              <w:rPr>
                <w:b w:val="0"/>
              </w:rPr>
              <w:t>Zone snapshot hashes used by the allocation plan.</w:t>
            </w:r>
          </w:p>
        </w:tc>
      </w:tr>
      <w:tr>
        <w:tc>
          <w:tcPr>
            <w:tcW w:type="dxa" w:w="4831"/>
            <w:vAlign w:val="center"/>
          </w:tcPr>
          <w:p>
            <w:pPr>
              <w:spacing w:after="0"/>
            </w:pPr>
            <w:r/>
            <w:r>
              <w:rPr>
                <w:b w:val="0"/>
              </w:rPr>
              <w:t>TopologyIndexRef</w:t>
            </w:r>
          </w:p>
        </w:tc>
        <w:tc>
          <w:tcPr>
            <w:tcW w:type="dxa" w:w="4831"/>
            <w:vAlign w:val="center"/>
          </w:tcPr>
          <w:p>
            <w:pPr>
              <w:spacing w:after="0"/>
            </w:pPr>
            <w:r/>
            <w:r>
              <w:rPr>
                <w:b w:val="0"/>
              </w:rPr>
              <w:t>Hash-bound sidecar containing topology and adjacency indexes.</w:t>
            </w:r>
          </w:p>
        </w:tc>
      </w:tr>
    </w:tbl>
    <w:p/>
    <w:p>
      <w:pPr>
        <w:pStyle w:val="CodeBlock"/>
        <w:keepLines/>
        <w:spacing w:after="120"/>
      </w:pPr>
      <w:r>
        <w:rPr>
          <w:rFonts w:ascii="Consolas" w:hAnsi="Consolas"/>
          <w:sz w:val="16"/>
        </w:rPr>
        <w:t>&lt;hx:PipeContext&gt;</w:t>
        <w:br/>
        <w:t xml:space="preserve">  &lt;hx:SchemaVersion&gt;1&lt;/hx:SchemaVersion&gt;</w:t>
        <w:br/>
        <w:t xml:space="preserve">  &lt;hx:ProjectId&gt;PROJECT-1885&lt;/hx:ProjectId&gt;</w:t>
        <w:br/>
        <w:t xml:space="preserve">  &lt;hx:ModelId&gt;GH-TYP-04-STEAM-MDF&lt;/hx:ModelId&gt;</w:t>
        <w:br/>
        <w:t xml:space="preserve">  &lt;hx:ModelRevisionId&gt;REV-2026-07-19&lt;/hx:ModelRevisionId&gt;</w:t>
        <w:br/>
        <w:t xml:space="preserve">  &lt;hx:SourceSchema&gt;StagedJSON&lt;/hx:SourceSchema&gt;</w:t>
        <w:br/>
        <w:t xml:space="preserve">  &lt;hx:SourceHash&gt;sha256:...&lt;/hx:SourceHash&gt;</w:t>
        <w:br/>
        <w:t xml:space="preserve">  &lt;hx:CoordinateFrameId&gt;AVEVA-SITE-GRID-01&lt;/hx:CoordinateFrameId&gt;</w:t>
        <w:br/>
        <w:t xml:space="preserve">  &lt;hx:TopologyHash&gt;sha256:...&lt;/hx:TopologyHash&gt;</w:t>
        <w:br/>
        <w:t xml:space="preserve">  &lt;hx:SequencePlanHash&gt;sha256:...&lt;/hx:SequencePlanHash&gt;</w:t>
        <w:br/>
        <w:t xml:space="preserve">  &lt;hx:NodePlanHash&gt;sha256:...&lt;/hx:NodePlanHash&gt;</w:t>
        <w:br/>
        <w:t xml:space="preserve">  &lt;hx:ZoneRegistryRef zoneId="ZONE-A" snapshotHash="sha256:..."/&gt;</w:t>
        <w:br/>
        <w:t xml:space="preserve">  &lt;hx:TopologyIndexRef href="PROJECT-1885-topology-index.json" hash="sha256:..."/&gt;</w:t>
        <w:br/>
        <w:t>&lt;/hx:PipeContext&gt;</w:t>
      </w:r>
    </w:p>
    <w:p>
      <w:pPr>
        <w:pStyle w:val="Heading2"/>
      </w:pPr>
      <w:r>
        <w:t>D.5 Branch-level contract</w:t>
      </w:r>
    </w:p>
    <w:p>
      <w:r>
        <w:t>BranchContext separates the exact source branch from the canonical main-line identity and the /B# traversal. The canonical main-line key must come from the existing branch-identity authority rather than a new suffix parser.</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Field</w:t>
            </w:r>
          </w:p>
        </w:tc>
        <w:tc>
          <w:tcPr>
            <w:tcW w:type="dxa" w:w="4831"/>
            <w:vAlign w:val="center"/>
            <w:shd w:fill="D9EAF7"/>
          </w:tcPr>
          <w:p>
            <w:pPr>
              <w:spacing w:after="0"/>
            </w:pPr>
            <w:r/>
            <w:r>
              <w:rPr>
                <w:b/>
              </w:rPr>
              <w:t>Requirement</w:t>
            </w:r>
          </w:p>
        </w:tc>
      </w:tr>
      <w:tr>
        <w:tc>
          <w:tcPr>
            <w:tcW w:type="dxa" w:w="4831"/>
            <w:vAlign w:val="center"/>
          </w:tcPr>
          <w:p>
            <w:pPr>
              <w:spacing w:after="0"/>
            </w:pPr>
            <w:r/>
            <w:r>
              <w:rPr>
                <w:b w:val="0"/>
              </w:rPr>
              <w:t>BranchHistoryId</w:t>
            </w:r>
          </w:p>
        </w:tc>
        <w:tc>
          <w:tcPr>
            <w:tcW w:type="dxa" w:w="4831"/>
            <w:vAlign w:val="center"/>
          </w:tcPr>
          <w:p>
            <w:pPr>
              <w:spacing w:after="0"/>
            </w:pPr>
            <w:r/>
            <w:r>
              <w:rPr>
                <w:b w:val="0"/>
              </w:rPr>
              <w:t>Permanent branch-history identity; survives approved renames.</w:t>
            </w:r>
          </w:p>
        </w:tc>
      </w:tr>
      <w:tr>
        <w:tc>
          <w:tcPr>
            <w:tcW w:type="dxa" w:w="4831"/>
            <w:vAlign w:val="center"/>
          </w:tcPr>
          <w:p>
            <w:pPr>
              <w:spacing w:after="0"/>
            </w:pPr>
            <w:r/>
            <w:r>
              <w:rPr>
                <w:b w:val="0"/>
              </w:rPr>
              <w:t>SourceBranchName</w:t>
            </w:r>
          </w:p>
        </w:tc>
        <w:tc>
          <w:tcPr>
            <w:tcW w:type="dxa" w:w="4831"/>
            <w:vAlign w:val="center"/>
          </w:tcPr>
          <w:p>
            <w:pPr>
              <w:spacing w:after="0"/>
            </w:pPr>
            <w:r/>
            <w:r>
              <w:rPr>
                <w:b w:val="0"/>
              </w:rPr>
              <w:t>Exact source value.</w:t>
            </w:r>
          </w:p>
        </w:tc>
      </w:tr>
      <w:tr>
        <w:tc>
          <w:tcPr>
            <w:tcW w:type="dxa" w:w="4831"/>
            <w:vAlign w:val="center"/>
          </w:tcPr>
          <w:p>
            <w:pPr>
              <w:spacing w:after="0"/>
            </w:pPr>
            <w:r/>
            <w:r>
              <w:rPr>
                <w:b w:val="0"/>
              </w:rPr>
              <w:t>CanonicalBranchName</w:t>
            </w:r>
          </w:p>
        </w:tc>
        <w:tc>
          <w:tcPr>
            <w:tcW w:type="dxa" w:w="4831"/>
            <w:vAlign w:val="center"/>
          </w:tcPr>
          <w:p>
            <w:pPr>
              <w:spacing w:after="0"/>
            </w:pPr>
            <w:r/>
            <w:r>
              <w:rPr>
                <w:b w:val="0"/>
              </w:rPr>
              <w:t>Existing canonical branch identity result.</w:t>
            </w:r>
          </w:p>
        </w:tc>
      </w:tr>
      <w:tr>
        <w:tc>
          <w:tcPr>
            <w:tcW w:type="dxa" w:w="4831"/>
            <w:vAlign w:val="center"/>
          </w:tcPr>
          <w:p>
            <w:pPr>
              <w:spacing w:after="0"/>
            </w:pPr>
            <w:r/>
            <w:r>
              <w:rPr>
                <w:b w:val="0"/>
              </w:rPr>
              <w:t>BranchSuffix</w:t>
            </w:r>
          </w:p>
        </w:tc>
        <w:tc>
          <w:tcPr>
            <w:tcW w:type="dxa" w:w="4831"/>
            <w:vAlign w:val="center"/>
          </w:tcPr>
          <w:p>
            <w:pPr>
              <w:spacing w:after="0"/>
            </w:pPr>
            <w:r/>
            <w:r>
              <w:rPr>
                <w:b w:val="0"/>
              </w:rPr>
              <w:t>Traversal suffix such as /B1.</w:t>
            </w:r>
          </w:p>
        </w:tc>
      </w:tr>
      <w:tr>
        <w:tc>
          <w:tcPr>
            <w:tcW w:type="dxa" w:w="4831"/>
            <w:vAlign w:val="center"/>
          </w:tcPr>
          <w:p>
            <w:pPr>
              <w:spacing w:after="0"/>
            </w:pPr>
            <w:r/>
            <w:r>
              <w:rPr>
                <w:b w:val="0"/>
              </w:rPr>
              <w:t>MainLineKey</w:t>
            </w:r>
          </w:p>
        </w:tc>
        <w:tc>
          <w:tcPr>
            <w:tcW w:type="dxa" w:w="4831"/>
            <w:vAlign w:val="center"/>
          </w:tcPr>
          <w:p>
            <w:pPr>
              <w:spacing w:after="0"/>
            </w:pPr>
            <w:r/>
            <w:r>
              <w:rPr>
                <w:b w:val="0"/>
              </w:rPr>
              <w:t>Equal to the effective canonical branch name.</w:t>
            </w:r>
          </w:p>
        </w:tc>
      </w:tr>
      <w:tr>
        <w:tc>
          <w:tcPr>
            <w:tcW w:type="dxa" w:w="4831"/>
            <w:vAlign w:val="center"/>
          </w:tcPr>
          <w:p>
            <w:pPr>
              <w:spacing w:after="0"/>
            </w:pPr>
            <w:r/>
            <w:r>
              <w:rPr>
                <w:b w:val="0"/>
              </w:rPr>
              <w:t>BranchIdentityAuthority / status</w:t>
            </w:r>
          </w:p>
        </w:tc>
        <w:tc>
          <w:tcPr>
            <w:tcW w:type="dxa" w:w="4831"/>
            <w:vAlign w:val="center"/>
          </w:tcPr>
          <w:p>
            <w:pPr>
              <w:spacing w:after="0"/>
            </w:pPr>
            <w:r/>
            <w:r>
              <w:rPr>
                <w:b w:val="0"/>
              </w:rPr>
              <w:t>Explains owner/source agreement, alias, conflict or malformed identity.</w:t>
            </w:r>
          </w:p>
        </w:tc>
      </w:tr>
      <w:tr>
        <w:tc>
          <w:tcPr>
            <w:tcW w:type="dxa" w:w="4831"/>
            <w:vAlign w:val="center"/>
          </w:tcPr>
          <w:p>
            <w:pPr>
              <w:spacing w:after="0"/>
            </w:pPr>
            <w:r/>
            <w:r>
              <w:rPr>
                <w:b w:val="0"/>
              </w:rPr>
              <w:t>ZoneId</w:t>
            </w:r>
          </w:p>
        </w:tc>
        <w:tc>
          <w:tcPr>
            <w:tcW w:type="dxa" w:w="4831"/>
            <w:vAlign w:val="center"/>
          </w:tcPr>
          <w:p>
            <w:pPr>
              <w:spacing w:after="0"/>
            </w:pPr>
            <w:r/>
            <w:r>
              <w:rPr>
                <w:b w:val="0"/>
              </w:rPr>
              <w:t>Required zone scope; one branch projection belongs to one zone in V1.</w:t>
            </w:r>
          </w:p>
        </w:tc>
      </w:tr>
      <w:tr>
        <w:tc>
          <w:tcPr>
            <w:tcW w:type="dxa" w:w="4831"/>
            <w:vAlign w:val="center"/>
          </w:tcPr>
          <w:p>
            <w:pPr>
              <w:spacing w:after="0"/>
            </w:pPr>
            <w:r/>
            <w:r>
              <w:rPr>
                <w:b w:val="0"/>
              </w:rPr>
              <w:t>NodeLeaseRef</w:t>
            </w:r>
          </w:p>
        </w:tc>
        <w:tc>
          <w:tcPr>
            <w:tcW w:type="dxa" w:w="4831"/>
            <w:vAlign w:val="center"/>
          </w:tcPr>
          <w:p>
            <w:pPr>
              <w:spacing w:after="0"/>
            </w:pPr>
            <w:r/>
            <w:r>
              <w:rPr>
                <w:b w:val="0"/>
              </w:rPr>
              <w:t>Reference to the zone registry lease owned by the canonical main line.</w:t>
            </w:r>
          </w:p>
        </w:tc>
      </w:tr>
      <w:tr>
        <w:tc>
          <w:tcPr>
            <w:tcW w:type="dxa" w:w="4831"/>
            <w:vAlign w:val="center"/>
          </w:tcPr>
          <w:p>
            <w:pPr>
              <w:spacing w:after="0"/>
            </w:pPr>
            <w:r/>
            <w:r>
              <w:rPr>
                <w:b w:val="0"/>
              </w:rPr>
              <w:t>SequencePathId / SequenceOrder</w:t>
            </w:r>
          </w:p>
        </w:tc>
        <w:tc>
          <w:tcPr>
            <w:tcW w:type="dxa" w:w="4831"/>
            <w:vAlign w:val="center"/>
          </w:tcPr>
          <w:p>
            <w:pPr>
              <w:spacing w:after="0"/>
            </w:pPr>
            <w:r/>
            <w:r>
              <w:rPr>
                <w:b w:val="0"/>
              </w:rPr>
              <w:t>Final post-normalization traversal identity.</w:t>
            </w:r>
          </w:p>
        </w:tc>
      </w:tr>
      <w:tr>
        <w:tc>
          <w:tcPr>
            <w:tcW w:type="dxa" w:w="4831"/>
            <w:vAlign w:val="center"/>
          </w:tcPr>
          <w:p>
            <w:pPr>
              <w:spacing w:after="0"/>
            </w:pPr>
            <w:r/>
            <w:r>
              <w:rPr>
                <w:b w:val="0"/>
              </w:rPr>
              <w:t>SourceCoverage / AuthoritativeForRetirement</w:t>
            </w:r>
          </w:p>
        </w:tc>
        <w:tc>
          <w:tcPr>
            <w:tcW w:type="dxa" w:w="4831"/>
            <w:vAlign w:val="center"/>
          </w:tcPr>
          <w:p>
            <w:pPr>
              <w:spacing w:after="0"/>
            </w:pPr>
            <w:r/>
            <w:r>
              <w:rPr>
                <w:b w:val="0"/>
              </w:rPr>
              <w:t>Controls whether missing history may be retired.</w:t>
            </w:r>
          </w:p>
        </w:tc>
      </w:tr>
      <w:tr>
        <w:tc>
          <w:tcPr>
            <w:tcW w:type="dxa" w:w="4831"/>
            <w:vAlign w:val="center"/>
          </w:tcPr>
          <w:p>
            <w:pPr>
              <w:spacing w:after="0"/>
            </w:pPr>
            <w:r/>
            <w:r>
              <w:rPr>
                <w:b w:val="0"/>
              </w:rPr>
              <w:t>HeadReference / TailReference</w:t>
            </w:r>
          </w:p>
        </w:tc>
        <w:tc>
          <w:tcPr>
            <w:tcW w:type="dxa" w:w="4831"/>
            <w:vAlign w:val="center"/>
          </w:tcPr>
          <w:p>
            <w:pPr>
              <w:spacing w:after="0"/>
            </w:pPr>
            <w:r/>
            <w:r>
              <w:rPr>
                <w:b w:val="0"/>
              </w:rPr>
              <w:t>Exact source references.</w:t>
            </w:r>
          </w:p>
        </w:tc>
      </w:tr>
      <w:tr>
        <w:tc>
          <w:tcPr>
            <w:tcW w:type="dxa" w:w="4831"/>
            <w:vAlign w:val="center"/>
          </w:tcPr>
          <w:p>
            <w:pPr>
              <w:spacing w:after="0"/>
            </w:pPr>
            <w:r/>
            <w:r>
              <w:rPr>
                <w:b w:val="0"/>
              </w:rPr>
              <w:t>HeadBoundaryRef / TailBoundaryRef</w:t>
            </w:r>
          </w:p>
        </w:tc>
        <w:tc>
          <w:tcPr>
            <w:tcW w:type="dxa" w:w="4831"/>
            <w:vAlign w:val="center"/>
          </w:tcPr>
          <w:p>
            <w:pPr>
              <w:spacing w:after="0"/>
            </w:pPr>
            <w:r/>
            <w:r>
              <w:rPr>
                <w:b w:val="0"/>
              </w:rPr>
              <w:t>Canonical boundary linkage.</w:t>
            </w:r>
          </w:p>
        </w:tc>
      </w:tr>
      <w:tr>
        <w:tc>
          <w:tcPr>
            <w:tcW w:type="dxa" w:w="4831"/>
            <w:vAlign w:val="center"/>
          </w:tcPr>
          <w:p>
            <w:pPr>
              <w:spacing w:after="0"/>
            </w:pPr>
            <w:r/>
            <w:r>
              <w:rPr>
                <w:b w:val="0"/>
              </w:rPr>
              <w:t>ConnectedComponentId</w:t>
            </w:r>
          </w:p>
        </w:tc>
        <w:tc>
          <w:tcPr>
            <w:tcW w:type="dxa" w:w="4831"/>
            <w:vAlign w:val="center"/>
          </w:tcPr>
          <w:p>
            <w:pPr>
              <w:spacing w:after="0"/>
            </w:pPr>
            <w:r/>
            <w:r>
              <w:rPr>
                <w:b w:val="0"/>
              </w:rPr>
              <w:t>Canonical connected-component ownership.</w:t>
            </w:r>
          </w:p>
        </w:tc>
      </w:tr>
    </w:tbl>
    <w:p/>
    <w:p>
      <w:pPr>
        <w:pStyle w:val="CodeBlock"/>
        <w:keepLines/>
        <w:spacing w:after="120"/>
      </w:pPr>
      <w:r>
        <w:rPr>
          <w:rFonts w:ascii="Consolas" w:hAnsi="Consolas"/>
          <w:sz w:val="16"/>
        </w:rPr>
        <w:t>&lt;hx:BranchContext&gt;</w:t>
        <w:br/>
        <w:t xml:space="preserve">  &lt;hx:BranchHistoryId&gt;BH-7f38a1&lt;/hx:BranchHistoryId&gt;</w:t>
        <w:br/>
        <w:t xml:space="preserve">  &lt;hx:SourceBranchName&gt;/ASIM-1885-8&amp;quot;-S8810103-91261M7-HC/B1&lt;/hx:SourceBranchName&gt;</w:t>
        <w:br/>
        <w:t xml:space="preserve">  &lt;hx:CanonicalBranchName&gt;/ASIM-1885-8&amp;quot;-S8810103-91261M7-HC&lt;/hx:CanonicalBranchName&gt;</w:t>
        <w:br/>
        <w:t xml:space="preserve">  &lt;hx:BranchSuffix&gt;/B1&lt;/hx:BranchSuffix&gt;</w:t>
        <w:br/>
        <w:t xml:space="preserve">  &lt;hx:MainLineKey&gt;/ASIM-1885-8&amp;quot;-S8810103-91261M7-HC&lt;/hx:MainLineKey&gt;</w:t>
        <w:br/>
        <w:t xml:space="preserve">  &lt;hx:BranchIdentityAuthority&gt;OWNER_CONFIRMED_BY_SOURCE_ROOT&lt;/hx:BranchIdentityAuthority&gt;</w:t>
        <w:br/>
        <w:t xml:space="preserve">  &lt;hx:ZoneId&gt;ZONE-A&lt;/hx:ZoneId&gt;</w:t>
        <w:br/>
        <w:t xml:space="preserve">  &lt;hx:NodeLeaseRef&gt;LEASE-ZONE-A-LINE-044&lt;/hx:NodeLeaseRef&gt;</w:t>
        <w:br/>
        <w:t xml:space="preserve">  &lt;hx:SequencePathId&gt;SEQ-BH-7f38a1-B1&lt;/hx:SequencePathId&gt;</w:t>
        <w:br/>
        <w:t xml:space="preserve">  &lt;hx:SourceCoverage&gt;FULL_LINE&lt;/hx:SourceCoverage&gt;</w:t>
        <w:br/>
        <w:t xml:space="preserve">  &lt;hx:AuthoritativeForRetirement&gt;true&lt;/hx:AuthoritativeForRetirement&gt;</w:t>
        <w:br/>
        <w:t>&lt;/hx:BranchContext&gt;</w:t>
      </w:r>
    </w:p>
    <w:p>
      <w:r>
        <w:t>A source branch crossing zones must be split into zone-scoped branch projections or blocked as CROSS_ZONE_BRANCH_UNRESOLVED. Individual Node blocks must not silently override BranchContext.ZoneId.</w:t>
      </w:r>
    </w:p>
    <w:p>
      <w:pPr>
        <w:pStyle w:val="Heading2"/>
      </w:pPr>
      <w:r>
        <w:t>D.6 Node-level contract</w:t>
      </w:r>
    </w:p>
    <w:p>
      <w:r>
        <w:t>NodeContext does not replace the PSI Node block. It binds the PSI occurrence to canonical topology, history and allocation evidence. NodeNumber remains the emitted engineering number.</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Field</w:t>
            </w:r>
          </w:p>
        </w:tc>
        <w:tc>
          <w:tcPr>
            <w:tcW w:type="dxa" w:w="4831"/>
            <w:vAlign w:val="center"/>
            <w:shd w:fill="D9EAF7"/>
          </w:tcPr>
          <w:p>
            <w:pPr>
              <w:spacing w:after="0"/>
            </w:pPr>
            <w:r/>
            <w:r>
              <w:rPr>
                <w:b/>
              </w:rPr>
              <w:t>Requirement</w:t>
            </w:r>
          </w:p>
        </w:tc>
      </w:tr>
      <w:tr>
        <w:tc>
          <w:tcPr>
            <w:tcW w:type="dxa" w:w="4831"/>
            <w:vAlign w:val="center"/>
          </w:tcPr>
          <w:p>
            <w:pPr>
              <w:spacing w:after="0"/>
            </w:pPr>
            <w:r/>
            <w:r>
              <w:rPr>
                <w:b w:val="0"/>
              </w:rPr>
              <w:t>NodePlanEntryId</w:t>
            </w:r>
          </w:p>
        </w:tc>
        <w:tc>
          <w:tcPr>
            <w:tcW w:type="dxa" w:w="4831"/>
            <w:vAlign w:val="center"/>
          </w:tcPr>
          <w:p>
            <w:pPr>
              <w:spacing w:after="0"/>
            </w:pPr>
            <w:r/>
            <w:r>
              <w:rPr>
                <w:b w:val="0"/>
              </w:rPr>
              <w:t>Stable entry in PsiNodePlan.v1.</w:t>
            </w:r>
          </w:p>
        </w:tc>
      </w:tr>
      <w:tr>
        <w:tc>
          <w:tcPr>
            <w:tcW w:type="dxa" w:w="4831"/>
            <w:vAlign w:val="center"/>
          </w:tcPr>
          <w:p>
            <w:pPr>
              <w:spacing w:after="0"/>
            </w:pPr>
            <w:r/>
            <w:r>
              <w:rPr>
                <w:b w:val="0"/>
              </w:rPr>
              <w:t>WriterOccurrenceId</w:t>
            </w:r>
          </w:p>
        </w:tc>
        <w:tc>
          <w:tcPr>
            <w:tcW w:type="dxa" w:w="4831"/>
            <w:vAlign w:val="center"/>
          </w:tcPr>
          <w:p>
            <w:pPr>
              <w:spacing w:after="0"/>
            </w:pPr>
            <w:r/>
            <w:r>
              <w:rPr>
                <w:b w:val="0"/>
              </w:rPr>
              <w:t>Exact serializer occurrence; prevents start-number or +10 inference.</w:t>
            </w:r>
          </w:p>
        </w:tc>
      </w:tr>
      <w:tr>
        <w:tc>
          <w:tcPr>
            <w:tcW w:type="dxa" w:w="4831"/>
            <w:vAlign w:val="center"/>
          </w:tcPr>
          <w:p>
            <w:pPr>
              <w:spacing w:after="0"/>
            </w:pPr>
            <w:r/>
            <w:r>
              <w:rPr>
                <w:b w:val="0"/>
              </w:rPr>
              <w:t>CanonicalNodeId</w:t>
            </w:r>
          </w:p>
        </w:tc>
        <w:tc>
          <w:tcPr>
            <w:tcW w:type="dxa" w:w="4831"/>
            <w:vAlign w:val="center"/>
          </w:tcPr>
          <w:p>
            <w:pPr>
              <w:spacing w:after="0"/>
            </w:pPr>
            <w:r/>
            <w:r>
              <w:rPr>
                <w:b w:val="0"/>
              </w:rPr>
              <w:t>Canonical connectivity identity.</w:t>
            </w:r>
          </w:p>
        </w:tc>
      </w:tr>
      <w:tr>
        <w:tc>
          <w:tcPr>
            <w:tcW w:type="dxa" w:w="4831"/>
            <w:vAlign w:val="center"/>
          </w:tcPr>
          <w:p>
            <w:pPr>
              <w:spacing w:after="0"/>
            </w:pPr>
            <w:r/>
            <w:r>
              <w:rPr>
                <w:b w:val="0"/>
              </w:rPr>
              <w:t>HistoryNodeId</w:t>
            </w:r>
          </w:p>
        </w:tc>
        <w:tc>
          <w:tcPr>
            <w:tcW w:type="dxa" w:w="4831"/>
            <w:vAlign w:val="center"/>
          </w:tcPr>
          <w:p>
            <w:pPr>
              <w:spacing w:after="0"/>
            </w:pPr>
            <w:r/>
            <w:r>
              <w:rPr>
                <w:b w:val="0"/>
              </w:rPr>
              <w:t>Permanent cross-revision identity.</w:t>
            </w:r>
          </w:p>
        </w:tc>
      </w:tr>
      <w:tr>
        <w:tc>
          <w:tcPr>
            <w:tcW w:type="dxa" w:w="4831"/>
            <w:vAlign w:val="center"/>
          </w:tcPr>
          <w:p>
            <w:pPr>
              <w:spacing w:after="0"/>
            </w:pPr>
            <w:r/>
            <w:r>
              <w:rPr>
                <w:b w:val="0"/>
              </w:rPr>
              <w:t>HistoryStatus / HistoryMatchRef</w:t>
            </w:r>
          </w:p>
        </w:tc>
        <w:tc>
          <w:tcPr>
            <w:tcW w:type="dxa" w:w="4831"/>
            <w:vAlign w:val="center"/>
          </w:tcPr>
          <w:p>
            <w:pPr>
              <w:spacing w:after="0"/>
            </w:pPr>
            <w:r/>
            <w:r>
              <w:rPr>
                <w:b w:val="0"/>
              </w:rPr>
              <w:t>Continued, new, reactivated or review lifecycle and evidence reference.</w:t>
            </w:r>
          </w:p>
        </w:tc>
      </w:tr>
      <w:tr>
        <w:tc>
          <w:tcPr>
            <w:tcW w:type="dxa" w:w="4831"/>
            <w:vAlign w:val="center"/>
          </w:tcPr>
          <w:p>
            <w:pPr>
              <w:spacing w:after="0"/>
            </w:pPr>
            <w:r/>
            <w:r>
              <w:rPr>
                <w:b w:val="0"/>
              </w:rPr>
              <w:t>ZoneId / NumberOwnerMainLineKey</w:t>
            </w:r>
          </w:p>
        </w:tc>
        <w:tc>
          <w:tcPr>
            <w:tcW w:type="dxa" w:w="4831"/>
            <w:vAlign w:val="center"/>
          </w:tcPr>
          <w:p>
            <w:pPr>
              <w:spacing w:after="0"/>
            </w:pPr>
            <w:r/>
            <w:r>
              <w:rPr>
                <w:b w:val="0"/>
              </w:rPr>
              <w:t>Allocation scope and lease ownership.</w:t>
            </w:r>
          </w:p>
        </w:tc>
      </w:tr>
      <w:tr>
        <w:tc>
          <w:tcPr>
            <w:tcW w:type="dxa" w:w="4831"/>
            <w:vAlign w:val="center"/>
          </w:tcPr>
          <w:p>
            <w:pPr>
              <w:spacing w:after="0"/>
            </w:pPr>
            <w:r/>
            <w:r>
              <w:rPr>
                <w:b w:val="0"/>
              </w:rPr>
              <w:t>NodeRole</w:t>
            </w:r>
          </w:p>
        </w:tc>
        <w:tc>
          <w:tcPr>
            <w:tcW w:type="dxa" w:w="4831"/>
            <w:vAlign w:val="center"/>
          </w:tcPr>
          <w:p>
            <w:pPr>
              <w:spacing w:after="0"/>
            </w:pPr>
            <w:r/>
            <w:r>
              <w:rPr>
                <w:b w:val="0"/>
              </w:rPr>
              <w:t>ROUTE_ENDPOINT, ROUTE_INLINE, JUNCTION, EXTERNAL_BOUNDARY, SUPPORT_ATTACHMENT, POINT_FEATURE or GEOMETRY_CONTROL_POINT.</w:t>
            </w:r>
          </w:p>
        </w:tc>
      </w:tr>
      <w:tr>
        <w:tc>
          <w:tcPr>
            <w:tcW w:type="dxa" w:w="4831"/>
            <w:vAlign w:val="center"/>
          </w:tcPr>
          <w:p>
            <w:pPr>
              <w:spacing w:after="0"/>
            </w:pPr>
            <w:r/>
            <w:r>
              <w:rPr>
                <w:b w:val="0"/>
              </w:rPr>
              <w:t>OccurrenceRole</w:t>
            </w:r>
          </w:p>
        </w:tc>
        <w:tc>
          <w:tcPr>
            <w:tcW w:type="dxa" w:w="4831"/>
            <w:vAlign w:val="center"/>
          </w:tcPr>
          <w:p>
            <w:pPr>
              <w:spacing w:after="0"/>
            </w:pPr>
            <w:r/>
            <w:r>
              <w:rPr>
                <w:b w:val="0"/>
              </w:rPr>
              <w:t>ARRIVE, LEAVE, JUNCTION, BRANCH, ATTACHMENT, BOUNDARY or CONTROL_POINT.</w:t>
            </w:r>
          </w:p>
        </w:tc>
      </w:tr>
      <w:tr>
        <w:tc>
          <w:tcPr>
            <w:tcW w:type="dxa" w:w="4831"/>
            <w:vAlign w:val="center"/>
          </w:tcPr>
          <w:p>
            <w:pPr>
              <w:spacing w:after="0"/>
            </w:pPr>
            <w:r/>
            <w:r>
              <w:rPr>
                <w:b w:val="0"/>
              </w:rPr>
              <w:t>TopologyDegree</w:t>
            </w:r>
          </w:p>
        </w:tc>
        <w:tc>
          <w:tcPr>
            <w:tcW w:type="dxa" w:w="4831"/>
            <w:vAlign w:val="center"/>
          </w:tcPr>
          <w:p>
            <w:pPr>
              <w:spacing w:after="0"/>
            </w:pPr>
            <w:r/>
            <w:r>
              <w:rPr>
                <w:b w:val="0"/>
              </w:rPr>
              <w:t>Derived canonical degree; zero is valid for deferred attachment/point occurrence.</w:t>
            </w:r>
          </w:p>
        </w:tc>
      </w:tr>
      <w:tr>
        <w:tc>
          <w:tcPr>
            <w:tcW w:type="dxa" w:w="4831"/>
            <w:vAlign w:val="center"/>
          </w:tcPr>
          <w:p>
            <w:pPr>
              <w:spacing w:after="0"/>
            </w:pPr>
            <w:r/>
            <w:r>
              <w:rPr>
                <w:b w:val="0"/>
              </w:rPr>
              <w:t>SourceAncestryRef / SourceEntityRef / SourcePortRef</w:t>
            </w:r>
          </w:p>
        </w:tc>
        <w:tc>
          <w:tcPr>
            <w:tcW w:type="dxa" w:w="4831"/>
            <w:vAlign w:val="center"/>
          </w:tcPr>
          <w:p>
            <w:pPr>
              <w:spacing w:after="0"/>
            </w:pPr>
            <w:r/>
            <w:r>
              <w:rPr>
                <w:b w:val="0"/>
              </w:rPr>
              <w:t>Hash-bound upstream lineage.</w:t>
            </w:r>
          </w:p>
        </w:tc>
      </w:tr>
      <w:tr>
        <w:tc>
          <w:tcPr>
            <w:tcW w:type="dxa" w:w="4831"/>
            <w:vAlign w:val="center"/>
          </w:tcPr>
          <w:p>
            <w:pPr>
              <w:spacing w:after="0"/>
            </w:pPr>
            <w:r/>
            <w:r>
              <w:rPr>
                <w:b w:val="0"/>
              </w:rPr>
              <w:t>TopologyNodeRef / AdjacencyRef</w:t>
            </w:r>
          </w:p>
        </w:tc>
        <w:tc>
          <w:tcPr>
            <w:tcW w:type="dxa" w:w="4831"/>
            <w:vAlign w:val="center"/>
          </w:tcPr>
          <w:p>
            <w:pPr>
              <w:spacing w:after="0"/>
            </w:pPr>
            <w:r/>
            <w:r>
              <w:rPr>
                <w:b w:val="0"/>
              </w:rPr>
              <w:t>References canonical topology and derived adjacency index.</w:t>
            </w:r>
          </w:p>
        </w:tc>
      </w:tr>
      <w:tr>
        <w:tc>
          <w:tcPr>
            <w:tcW w:type="dxa" w:w="4831"/>
            <w:vAlign w:val="center"/>
          </w:tcPr>
          <w:p>
            <w:pPr>
              <w:spacing w:after="0"/>
            </w:pPr>
            <w:r/>
            <w:r>
              <w:rPr>
                <w:b w:val="0"/>
              </w:rPr>
              <w:t>SequenceOccurrenceRef / SequenceIndex</w:t>
            </w:r>
          </w:p>
        </w:tc>
        <w:tc>
          <w:tcPr>
            <w:tcW w:type="dxa" w:w="4831"/>
            <w:vAlign w:val="center"/>
          </w:tcPr>
          <w:p>
            <w:pPr>
              <w:spacing w:after="0"/>
            </w:pPr>
            <w:r/>
            <w:r>
              <w:rPr>
                <w:b w:val="0"/>
              </w:rPr>
              <w:t>Path-specific previous/next context.</w:t>
            </w:r>
          </w:p>
        </w:tc>
      </w:tr>
      <w:tr>
        <w:tc>
          <w:tcPr>
            <w:tcW w:type="dxa" w:w="4831"/>
            <w:vAlign w:val="center"/>
          </w:tcPr>
          <w:p>
            <w:pPr>
              <w:spacing w:after="0"/>
            </w:pPr>
            <w:r/>
            <w:r>
              <w:rPr>
                <w:b w:val="0"/>
              </w:rPr>
              <w:t>PositionAuthority / CoordinateFrameId</w:t>
            </w:r>
          </w:p>
        </w:tc>
        <w:tc>
          <w:tcPr>
            <w:tcW w:type="dxa" w:w="4831"/>
            <w:vAlign w:val="center"/>
          </w:tcPr>
          <w:p>
            <w:pPr>
              <w:spacing w:after="0"/>
            </w:pPr>
            <w:r/>
            <w:r>
              <w:rPr>
                <w:b w:val="0"/>
              </w:rPr>
              <w:t>Explains source, canonical cluster, registered or historical coordinate authority.</w:t>
            </w:r>
          </w:p>
        </w:tc>
      </w:tr>
      <w:tr>
        <w:tc>
          <w:tcPr>
            <w:tcW w:type="dxa" w:w="4831"/>
            <w:vAlign w:val="center"/>
          </w:tcPr>
          <w:p>
            <w:pPr>
              <w:spacing w:after="0"/>
            </w:pPr>
            <w:r/>
            <w:r>
              <w:rPr>
                <w:b w:val="0"/>
              </w:rPr>
              <w:t>NormalizationActionRef</w:t>
            </w:r>
          </w:p>
        </w:tc>
        <w:tc>
          <w:tcPr>
            <w:tcW w:type="dxa" w:w="4831"/>
            <w:vAlign w:val="center"/>
          </w:tcPr>
          <w:p>
            <w:pPr>
              <w:spacing w:after="0"/>
            </w:pPr>
            <w:r/>
            <w:r>
              <w:rPr>
                <w:b w:val="0"/>
              </w:rPr>
              <w:t>Approved snap/consume/retain/block evidence.</w:t>
            </w:r>
          </w:p>
        </w:tc>
      </w:tr>
      <w:tr>
        <w:tc>
          <w:tcPr>
            <w:tcW w:type="dxa" w:w="4831"/>
            <w:vAlign w:val="center"/>
          </w:tcPr>
          <w:p>
            <w:pPr>
              <w:spacing w:after="0"/>
            </w:pPr>
            <w:r/>
            <w:r>
              <w:rPr>
                <w:b w:val="0"/>
              </w:rPr>
              <w:t>AttachmentRef / JunctionRef / BoundaryRef</w:t>
            </w:r>
          </w:p>
        </w:tc>
        <w:tc>
          <w:tcPr>
            <w:tcW w:type="dxa" w:w="4831"/>
            <w:vAlign w:val="center"/>
          </w:tcPr>
          <w:p>
            <w:pPr>
              <w:spacing w:after="0"/>
            </w:pPr>
            <w:r/>
            <w:r>
              <w:rPr>
                <w:b w:val="0"/>
              </w:rPr>
              <w:t>Role-specific topology object linkage.</w:t>
            </w:r>
          </w:p>
        </w:tc>
      </w:tr>
    </w:tbl>
    <w:p/>
    <w:p>
      <w:pPr>
        <w:pStyle w:val="CodeBlock"/>
        <w:keepLines/>
        <w:spacing w:after="120"/>
      </w:pPr>
      <w:r>
        <w:rPr>
          <w:rFonts w:ascii="Consolas" w:hAnsi="Consolas"/>
          <w:sz w:val="16"/>
        </w:rPr>
        <w:t>&lt;hx:NodeContext&gt;</w:t>
        <w:br/>
        <w:t xml:space="preserve">  &lt;hx:NodePlanEntryId&gt;NPE-0001560&lt;/hx:NodePlanEntryId&gt;</w:t>
        <w:br/>
        <w:t xml:space="preserve">  &lt;hx:WriterOccurrenceId&gt;WNO-SE51345-SUPPORT&lt;/hx:WriterOccurrenceId&gt;</w:t>
        <w:br/>
        <w:t xml:space="preserve">  &lt;hx:CanonicalNodeId&gt;N-02731&lt;/hx:CanonicalNodeId&gt;</w:t>
        <w:br/>
        <w:t xml:space="preserve">  &lt;hx:HistoryNodeId&gt;HN-93c78fbd51&lt;/hx:HistoryNodeId&gt;</w:t>
        <w:br/>
        <w:t xml:space="preserve">  &lt;hx:HistoryStatus&gt;HISTORY_CONTINUED&lt;/hx:HistoryStatus&gt;</w:t>
        <w:br/>
        <w:t xml:space="preserve">  &lt;hx:ZoneId&gt;ZONE-A&lt;/hx:ZoneId&gt;</w:t>
        <w:br/>
        <w:t xml:space="preserve">  &lt;hx:NodeRole&gt;SUPPORT_ATTACHMENT&lt;/hx:NodeRole&gt;</w:t>
        <w:br/>
        <w:t xml:space="preserve">  &lt;hx:OccurrenceRole&gt;ATTACHMENT&lt;/hx:OccurrenceRole&gt;</w:t>
        <w:br/>
        <w:t xml:space="preserve">  &lt;hx:SourceAncestryRef&gt;SAR-51345&lt;/hx:SourceAncestryRef&gt;</w:t>
        <w:br/>
        <w:t xml:space="preserve">  &lt;hx:AdjacencyRef&gt;ADJ-N-02731&lt;/hx:AdjacencyRef&gt;</w:t>
        <w:br/>
        <w:t xml:space="preserve">  &lt;hx:SequenceOccurrenceRef&gt;SEQO-001560&lt;/hx:SequenceOccurrenceRef&gt;</w:t>
        <w:br/>
        <w:t xml:space="preserve">  &lt;hx:PositionAuthority&gt;SOURCE_POS&lt;/hx:PositionAuthority&gt;</w:t>
        <w:br/>
        <w:t xml:space="preserve">  &lt;hx:AttachmentRef&gt;ATT-PS-12231&lt;/hx:AttachmentRef&gt;</w:t>
        <w:br/>
        <w:t>&lt;/hx:NodeContext&gt;</w:t>
      </w:r>
    </w:p>
    <w:p>
      <w:pPr>
        <w:pStyle w:val="Heading2"/>
      </w:pPr>
      <w:r>
        <w:t>D.7 Role-specific node additions</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Node role</w:t>
            </w:r>
          </w:p>
        </w:tc>
        <w:tc>
          <w:tcPr>
            <w:tcW w:type="dxa" w:w="4831"/>
            <w:vAlign w:val="center"/>
            <w:shd w:fill="D9EAF7"/>
          </w:tcPr>
          <w:p>
            <w:pPr>
              <w:spacing w:after="0"/>
            </w:pPr>
            <w:r/>
            <w:r>
              <w:rPr>
                <w:b/>
              </w:rPr>
              <w:t>Required additional reference</w:t>
            </w:r>
          </w:p>
        </w:tc>
      </w:tr>
      <w:tr>
        <w:tc>
          <w:tcPr>
            <w:tcW w:type="dxa" w:w="4831"/>
            <w:vAlign w:val="center"/>
          </w:tcPr>
          <w:p>
            <w:pPr>
              <w:spacing w:after="0"/>
            </w:pPr>
            <w:r/>
            <w:r>
              <w:rPr>
                <w:b w:val="0"/>
              </w:rPr>
              <w:t>Route endpoint / inline</w:t>
            </w:r>
          </w:p>
        </w:tc>
        <w:tc>
          <w:tcPr>
            <w:tcW w:type="dxa" w:w="4831"/>
            <w:vAlign w:val="center"/>
          </w:tcPr>
          <w:p>
            <w:pPr>
              <w:spacing w:after="0"/>
            </w:pPr>
            <w:r/>
            <w:r>
              <w:rPr>
                <w:b w:val="0"/>
              </w:rPr>
              <w:t>Incident canonical edge IDs and source-port endpoint bindings in the topology index.</w:t>
            </w:r>
          </w:p>
        </w:tc>
      </w:tr>
      <w:tr>
        <w:tc>
          <w:tcPr>
            <w:tcW w:type="dxa" w:w="4831"/>
            <w:vAlign w:val="center"/>
          </w:tcPr>
          <w:p>
            <w:pPr>
              <w:spacing w:after="0"/>
            </w:pPr>
            <w:r/>
            <w:r>
              <w:rPr>
                <w:b w:val="0"/>
              </w:rPr>
              <w:t>Junction</w:t>
            </w:r>
          </w:p>
        </w:tc>
        <w:tc>
          <w:tcPr>
            <w:tcW w:type="dxa" w:w="4831"/>
            <w:vAlign w:val="center"/>
          </w:tcPr>
          <w:p>
            <w:pPr>
              <w:spacing w:after="0"/>
            </w:pPr>
            <w:r/>
            <w:r>
              <w:rPr>
                <w:b w:val="0"/>
              </w:rPr>
              <w:t>JunctionRef with role-labelled RUN_IN, RUN_OUT and BRANCH/OLET incidence.</w:t>
            </w:r>
          </w:p>
        </w:tc>
      </w:tr>
      <w:tr>
        <w:tc>
          <w:tcPr>
            <w:tcW w:type="dxa" w:w="4831"/>
            <w:vAlign w:val="center"/>
          </w:tcPr>
          <w:p>
            <w:pPr>
              <w:spacing w:after="0"/>
            </w:pPr>
            <w:r/>
            <w:r>
              <w:rPr>
                <w:b w:val="0"/>
              </w:rPr>
              <w:t>External boundary</w:t>
            </w:r>
          </w:p>
        </w:tc>
        <w:tc>
          <w:tcPr>
            <w:tcW w:type="dxa" w:w="4831"/>
            <w:vAlign w:val="center"/>
          </w:tcPr>
          <w:p>
            <w:pPr>
              <w:spacing w:after="0"/>
            </w:pPr>
            <w:r/>
            <w:r>
              <w:rPr>
                <w:b w:val="0"/>
              </w:rPr>
              <w:t>BoundaryRef with CREF/HREF/TREF source evidence and resolution status.</w:t>
            </w:r>
          </w:p>
        </w:tc>
      </w:tr>
      <w:tr>
        <w:tc>
          <w:tcPr>
            <w:tcW w:type="dxa" w:w="4831"/>
            <w:vAlign w:val="center"/>
          </w:tcPr>
          <w:p>
            <w:pPr>
              <w:spacing w:after="0"/>
            </w:pPr>
            <w:r/>
            <w:r>
              <w:rPr>
                <w:b w:val="0"/>
              </w:rPr>
              <w:t>Support attachment</w:t>
            </w:r>
          </w:p>
        </w:tc>
        <w:tc>
          <w:tcPr>
            <w:tcW w:type="dxa" w:w="4831"/>
            <w:vAlign w:val="center"/>
          </w:tcPr>
          <w:p>
            <w:pPr>
              <w:spacing w:after="0"/>
            </w:pPr>
            <w:r/>
            <w:r>
              <w:rPr>
                <w:b w:val="0"/>
              </w:rPr>
              <w:t>AttachmentRef with carrier edge/node, station, support history and disposition.</w:t>
            </w:r>
          </w:p>
        </w:tc>
      </w:tr>
      <w:tr>
        <w:tc>
          <w:tcPr>
            <w:tcW w:type="dxa" w:w="4831"/>
            <w:vAlign w:val="center"/>
          </w:tcPr>
          <w:p>
            <w:pPr>
              <w:spacing w:after="0"/>
            </w:pPr>
            <w:r/>
            <w:r>
              <w:rPr>
                <w:b w:val="0"/>
              </w:rPr>
              <w:t>Point feature</w:t>
            </w:r>
          </w:p>
        </w:tc>
        <w:tc>
          <w:tcPr>
            <w:tcW w:type="dxa" w:w="4831"/>
            <w:vAlign w:val="center"/>
          </w:tcPr>
          <w:p>
            <w:pPr>
              <w:spacing w:after="0"/>
            </w:pPr>
            <w:r/>
            <w:r>
              <w:rPr>
                <w:b w:val="0"/>
              </w:rPr>
              <w:t>PointFeatureRef and retained engineering-property disposition.</w:t>
            </w:r>
          </w:p>
        </w:tc>
      </w:tr>
      <w:tr>
        <w:tc>
          <w:tcPr>
            <w:tcW w:type="dxa" w:w="4831"/>
            <w:vAlign w:val="center"/>
          </w:tcPr>
          <w:p>
            <w:pPr>
              <w:spacing w:after="0"/>
            </w:pPr>
            <w:r/>
            <w:r>
              <w:rPr>
                <w:b w:val="0"/>
              </w:rPr>
              <w:t>Geometry control point</w:t>
            </w:r>
          </w:p>
        </w:tc>
        <w:tc>
          <w:tcPr>
            <w:tcW w:type="dxa" w:w="4831"/>
            <w:vAlign w:val="center"/>
          </w:tcPr>
          <w:p>
            <w:pPr>
              <w:spacing w:after="0"/>
            </w:pPr>
            <w:r/>
            <w:r>
              <w:rPr>
                <w:b w:val="0"/>
              </w:rPr>
              <w:t>GeometryFeatureRef; explicitly not an engineering connectivity node unless promoted by topology policy.</w:t>
            </w:r>
          </w:p>
        </w:tc>
      </w:tr>
    </w:tbl>
    <w:p/>
    <w:p>
      <w:pPr>
        <w:pStyle w:val="Heading3"/>
      </w:pPr>
      <w:r>
        <w:t>D.7.1 Support attachment structure</w:t>
      </w:r>
    </w:p>
    <w:p>
      <w:pPr>
        <w:pStyle w:val="CodeBlock"/>
        <w:keepLines/>
        <w:spacing w:after="120"/>
      </w:pPr>
      <w:r>
        <w:rPr>
          <w:rFonts w:ascii="Consolas" w:hAnsi="Consolas"/>
          <w:sz w:val="16"/>
        </w:rPr>
        <w:t>&lt;hx:Attachment&gt;</w:t>
        <w:br/>
        <w:t xml:space="preserve">  &lt;hx:SupportAssemblyId&gt;SUP-PS-12231&lt;/hx:SupportAssemblyId&gt;</w:t>
        <w:br/>
        <w:t xml:space="preserve">  &lt;hx:SupportHistoryId&gt;HS-8a2031&lt;/hx:SupportHistoryId&gt;</w:t>
        <w:br/>
        <w:t xml:space="preserve">  &lt;hx:CarrierCanonicalEdgeId&gt;E-02730&lt;/hx:CarrierCanonicalEdgeId&gt;</w:t>
        <w:br/>
        <w:t xml:space="preserve">  &lt;hx:CarrierCanonicalNodeId&gt;N-02731&lt;/hx:CarrierCanonicalNodeId&gt;</w:t>
        <w:br/>
        <w:t xml:space="preserve">  &lt;hx:CarrierNodeNumber&gt;1560&lt;/hx:CarrierNodeNumber&gt;</w:t>
        <w:br/>
        <w:t xml:space="preserve">  &lt;hx:CarrierStationMm&gt;604.040&lt;/hx:CarrierStationMm&gt;</w:t>
        <w:br/>
        <w:t xml:space="preserve">  &lt;hx:AttachmentAuthority&gt;EXPLICIT_SUPPORT_POSITION_ON_CARRIER&lt;/hx:AttachmentAuthority&gt;</w:t>
        <w:br/>
        <w:t xml:space="preserve">  &lt;hx:SupportDisposition&gt;EMIT_RESTRAINT&lt;/hx:SupportDisposition&gt;</w:t>
        <w:br/>
        <w:t>&lt;/hx:Attachment&gt;</w:t>
      </w:r>
    </w:p>
    <w:p>
      <w:r>
        <w:t>A support is not converted into an ordinary route edge merely to obtain previous/next nodes. Its route relationship is expressed through carrier edge/node and sequence occurrence references.</w:t>
      </w:r>
    </w:p>
    <w:p>
      <w:pPr>
        <w:pStyle w:val="Heading2"/>
      </w:pPr>
      <w:r>
        <w:t>D.8 PsiTopologyIndex.v1</w:t>
      </w:r>
    </w:p>
    <w:p>
      <w:r>
        <w:t>The topology index is the authoritative denormalized lookup for geometry construction and audit. Canonical edges remain the connectivity authority; adjacency and previous/next are derived indexes tied to topologyHash and sequencePlanHash.</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Collection</w:t>
            </w:r>
          </w:p>
        </w:tc>
        <w:tc>
          <w:tcPr>
            <w:tcW w:type="dxa" w:w="4831"/>
            <w:vAlign w:val="center"/>
            <w:shd w:fill="D9EAF7"/>
          </w:tcPr>
          <w:p>
            <w:pPr>
              <w:spacing w:after="0"/>
            </w:pPr>
            <w:r/>
            <w:r>
              <w:rPr>
                <w:b/>
              </w:rPr>
              <w:t>Contains</w:t>
            </w:r>
          </w:p>
        </w:tc>
      </w:tr>
      <w:tr>
        <w:tc>
          <w:tcPr>
            <w:tcW w:type="dxa" w:w="4831"/>
            <w:vAlign w:val="center"/>
          </w:tcPr>
          <w:p>
            <w:pPr>
              <w:spacing w:after="0"/>
            </w:pPr>
            <w:r/>
            <w:r>
              <w:rPr>
                <w:b w:val="0"/>
              </w:rPr>
              <w:t>nodes</w:t>
            </w:r>
          </w:p>
        </w:tc>
        <w:tc>
          <w:tcPr>
            <w:tcW w:type="dxa" w:w="4831"/>
            <w:vAlign w:val="center"/>
          </w:tcPr>
          <w:p>
            <w:pPr>
              <w:spacing w:after="0"/>
            </w:pPr>
            <w:r/>
            <w:r>
              <w:rPr>
                <w:b w:val="0"/>
              </w:rPr>
              <w:t>Canonical node, history node, engineering number, zone, position, role, source ports and incident object IDs.</w:t>
            </w:r>
          </w:p>
        </w:tc>
      </w:tr>
      <w:tr>
        <w:tc>
          <w:tcPr>
            <w:tcW w:type="dxa" w:w="4831"/>
            <w:vAlign w:val="center"/>
          </w:tcPr>
          <w:p>
            <w:pPr>
              <w:spacing w:after="0"/>
            </w:pPr>
            <w:r/>
            <w:r>
              <w:rPr>
                <w:b w:val="0"/>
              </w:rPr>
              <w:t>edges</w:t>
            </w:r>
          </w:p>
        </w:tc>
        <w:tc>
          <w:tcPr>
            <w:tcW w:type="dxa" w:w="4831"/>
            <w:vAlign w:val="center"/>
          </w:tcPr>
          <w:p>
            <w:pPr>
              <w:spacing w:after="0"/>
            </w:pPr>
            <w:r/>
            <w:r>
              <w:rPr>
                <w:b w:val="0"/>
              </w:rPr>
              <w:t>Canonical edge endpoints, component/source identity, endpoint port bindings and projected numbers.</w:t>
            </w:r>
          </w:p>
        </w:tc>
      </w:tr>
      <w:tr>
        <w:tc>
          <w:tcPr>
            <w:tcW w:type="dxa" w:w="4831"/>
            <w:vAlign w:val="center"/>
          </w:tcPr>
          <w:p>
            <w:pPr>
              <w:spacing w:after="0"/>
            </w:pPr>
            <w:r/>
            <w:r>
              <w:rPr>
                <w:b w:val="0"/>
              </w:rPr>
              <w:t>attachments</w:t>
            </w:r>
          </w:p>
        </w:tc>
        <w:tc>
          <w:tcPr>
            <w:tcW w:type="dxa" w:w="4831"/>
            <w:vAlign w:val="center"/>
          </w:tcPr>
          <w:p>
            <w:pPr>
              <w:spacing w:after="0"/>
            </w:pPr>
            <w:r/>
            <w:r>
              <w:rPr>
                <w:b w:val="0"/>
              </w:rPr>
              <w:t>Support/point attachments to carrier edge or node.</w:t>
            </w:r>
          </w:p>
        </w:tc>
      </w:tr>
      <w:tr>
        <w:tc>
          <w:tcPr>
            <w:tcW w:type="dxa" w:w="4831"/>
            <w:vAlign w:val="center"/>
          </w:tcPr>
          <w:p>
            <w:pPr>
              <w:spacing w:after="0"/>
            </w:pPr>
            <w:r/>
            <w:r>
              <w:rPr>
                <w:b w:val="0"/>
              </w:rPr>
              <w:t>sequenceOccurrences</w:t>
            </w:r>
          </w:p>
        </w:tc>
        <w:tc>
          <w:tcPr>
            <w:tcW w:type="dxa" w:w="4831"/>
            <w:vAlign w:val="center"/>
          </w:tcPr>
          <w:p>
            <w:pPr>
              <w:spacing w:after="0"/>
            </w:pPr>
            <w:r/>
            <w:r>
              <w:rPr>
                <w:b w:val="0"/>
              </w:rPr>
              <w:t>Path-specific previous/next nodes and sequence index.</w:t>
            </w:r>
          </w:p>
        </w:tc>
      </w:tr>
      <w:tr>
        <w:tc>
          <w:tcPr>
            <w:tcW w:type="dxa" w:w="4831"/>
            <w:vAlign w:val="center"/>
          </w:tcPr>
          <w:p>
            <w:pPr>
              <w:spacing w:after="0"/>
            </w:pPr>
            <w:r/>
            <w:r>
              <w:rPr>
                <w:b w:val="0"/>
              </w:rPr>
              <w:t>junctions</w:t>
            </w:r>
          </w:p>
        </w:tc>
        <w:tc>
          <w:tcPr>
            <w:tcW w:type="dxa" w:w="4831"/>
            <w:vAlign w:val="center"/>
          </w:tcPr>
          <w:p>
            <w:pPr>
              <w:spacing w:after="0"/>
            </w:pPr>
            <w:r/>
            <w:r>
              <w:rPr>
                <w:b w:val="0"/>
              </w:rPr>
              <w:t>TEE/OLET and other role-labelled incidence.</w:t>
            </w:r>
          </w:p>
        </w:tc>
      </w:tr>
      <w:tr>
        <w:tc>
          <w:tcPr>
            <w:tcW w:type="dxa" w:w="4831"/>
            <w:vAlign w:val="center"/>
          </w:tcPr>
          <w:p>
            <w:pPr>
              <w:spacing w:after="0"/>
            </w:pPr>
            <w:r/>
            <w:r>
              <w:rPr>
                <w:b w:val="0"/>
              </w:rPr>
              <w:t>boundaries</w:t>
            </w:r>
          </w:p>
        </w:tc>
        <w:tc>
          <w:tcPr>
            <w:tcW w:type="dxa" w:w="4831"/>
            <w:vAlign w:val="center"/>
          </w:tcPr>
          <w:p>
            <w:pPr>
              <w:spacing w:after="0"/>
            </w:pPr>
            <w:r/>
            <w:r>
              <w:rPr>
                <w:b w:val="0"/>
              </w:rPr>
              <w:t>External or unresolved source-reference endpoints.</w:t>
            </w:r>
          </w:p>
        </w:tc>
      </w:tr>
      <w:tr>
        <w:tc>
          <w:tcPr>
            <w:tcW w:type="dxa" w:w="4831"/>
            <w:vAlign w:val="center"/>
          </w:tcPr>
          <w:p>
            <w:pPr>
              <w:spacing w:after="0"/>
            </w:pPr>
            <w:r/>
            <w:r>
              <w:rPr>
                <w:b w:val="0"/>
              </w:rPr>
              <w:t>sourcePortBindings</w:t>
            </w:r>
          </w:p>
        </w:tc>
        <w:tc>
          <w:tcPr>
            <w:tcW w:type="dxa" w:w="4831"/>
            <w:vAlign w:val="center"/>
          </w:tcPr>
          <w:p>
            <w:pPr>
              <w:spacing w:after="0"/>
            </w:pPr>
            <w:r/>
            <w:r>
              <w:rPr>
                <w:b w:val="0"/>
              </w:rPr>
              <w:t>Source port to canonical node and component endpoint role.</w:t>
            </w:r>
          </w:p>
        </w:tc>
      </w:tr>
    </w:tbl>
    <w:p/>
    <w:p>
      <w:pPr>
        <w:pStyle w:val="CodeBlock"/>
        <w:keepLines/>
        <w:spacing w:after="120"/>
      </w:pPr>
      <w:r>
        <w:rPr>
          <w:rFonts w:ascii="Consolas" w:hAnsi="Consolas"/>
          <w:sz w:val="16"/>
        </w:rPr>
        <w:t>{</w:t>
        <w:br/>
        <w:t xml:space="preserve">  "schema": "PsiTopologyIndex.v1",</w:t>
        <w:br/>
        <w:t xml:space="preserve">  "topologyHash": "sha256:...",</w:t>
        <w:br/>
        <w:t xml:space="preserve">  "sequencePlanHash": "sha256:...",</w:t>
        <w:br/>
        <w:t xml:space="preserve">  "nodePlanHash": "sha256:...",</w:t>
        <w:br/>
        <w:t xml:space="preserve">  "nodes": [],</w:t>
        <w:br/>
        <w:t xml:space="preserve">  "edges": [],</w:t>
        <w:br/>
        <w:t xml:space="preserve">  "attachments": [],</w:t>
        <w:br/>
        <w:t xml:space="preserve">  "sequenceOccurrences": [],</w:t>
        <w:br/>
        <w:t xml:space="preserve">  "junctions": [],</w:t>
        <w:br/>
        <w:t xml:space="preserve">  "boundaries": [],</w:t>
        <w:br/>
        <w:t xml:space="preserve">  "sourcePortBindings": []</w:t>
        <w:br/>
        <w:t>}</w:t>
      </w:r>
    </w:p>
    <w:p>
      <w:pPr>
        <w:pStyle w:val="Heading2"/>
      </w:pPr>
      <w:r>
        <w:t>D.9 Endpoint and neighbour rules</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3221"/>
            <w:vAlign w:val="center"/>
            <w:shd w:fill="D9EAF7"/>
          </w:tcPr>
          <w:p>
            <w:pPr>
              <w:spacing w:after="0"/>
            </w:pPr>
            <w:r/>
            <w:r>
              <w:rPr>
                <w:b/>
              </w:rPr>
              <w:t>Concept</w:t>
            </w:r>
          </w:p>
        </w:tc>
        <w:tc>
          <w:tcPr>
            <w:tcW w:type="dxa" w:w="3221"/>
            <w:vAlign w:val="center"/>
            <w:shd w:fill="D9EAF7"/>
          </w:tcPr>
          <w:p>
            <w:pPr>
              <w:spacing w:after="0"/>
            </w:pPr>
            <w:r/>
            <w:r>
              <w:rPr>
                <w:b/>
              </w:rPr>
              <w:t>Location</w:t>
            </w:r>
          </w:p>
        </w:tc>
        <w:tc>
          <w:tcPr>
            <w:tcW w:type="dxa" w:w="3221"/>
            <w:vAlign w:val="center"/>
            <w:shd w:fill="D9EAF7"/>
          </w:tcPr>
          <w:p>
            <w:pPr>
              <w:spacing w:after="0"/>
            </w:pPr>
            <w:r/>
            <w:r>
              <w:rPr>
                <w:b/>
              </w:rPr>
              <w:t>Authority</w:t>
            </w:r>
          </w:p>
        </w:tc>
      </w:tr>
      <w:tr>
        <w:tc>
          <w:tcPr>
            <w:tcW w:type="dxa" w:w="3221"/>
            <w:vAlign w:val="center"/>
          </w:tcPr>
          <w:p>
            <w:pPr>
              <w:spacing w:after="0"/>
            </w:pPr>
            <w:r/>
            <w:r>
              <w:rPr>
                <w:b w:val="0"/>
              </w:rPr>
              <w:t>Source endpoint</w:t>
            </w:r>
          </w:p>
        </w:tc>
        <w:tc>
          <w:tcPr>
            <w:tcW w:type="dxa" w:w="3221"/>
            <w:vAlign w:val="center"/>
          </w:tcPr>
          <w:p>
            <w:pPr>
              <w:spacing w:after="0"/>
            </w:pPr>
            <w:r/>
            <w:r>
              <w:rPr>
                <w:b w:val="0"/>
              </w:rPr>
              <w:t>sourcePortId with A/L/P/H/T role</w:t>
            </w:r>
          </w:p>
        </w:tc>
        <w:tc>
          <w:tcPr>
            <w:tcW w:type="dxa" w:w="3221"/>
            <w:vAlign w:val="center"/>
          </w:tcPr>
          <w:p>
            <w:pPr>
              <w:spacing w:after="0"/>
            </w:pPr>
            <w:r/>
            <w:r>
              <w:rPr>
                <w:b w:val="0"/>
              </w:rPr>
              <w:t>Managed source inventory and trace manifest.</w:t>
            </w:r>
          </w:p>
        </w:tc>
      </w:tr>
      <w:tr>
        <w:tc>
          <w:tcPr>
            <w:tcW w:type="dxa" w:w="3221"/>
            <w:vAlign w:val="center"/>
          </w:tcPr>
          <w:p>
            <w:pPr>
              <w:spacing w:after="0"/>
            </w:pPr>
            <w:r/>
            <w:r>
              <w:rPr>
                <w:b w:val="0"/>
              </w:rPr>
              <w:t>Logical endpoint</w:t>
            </w:r>
          </w:p>
        </w:tc>
        <w:tc>
          <w:tcPr>
            <w:tcW w:type="dxa" w:w="3221"/>
            <w:vAlign w:val="center"/>
          </w:tcPr>
          <w:p>
            <w:pPr>
              <w:spacing w:after="0"/>
            </w:pPr>
            <w:r/>
            <w:r>
              <w:rPr>
                <w:b w:val="0"/>
              </w:rPr>
              <w:t>canonicalNodeId bound through edge endpointBinding</w:t>
            </w:r>
          </w:p>
        </w:tc>
        <w:tc>
          <w:tcPr>
            <w:tcW w:type="dxa" w:w="3221"/>
            <w:vAlign w:val="center"/>
          </w:tcPr>
          <w:p>
            <w:pPr>
              <w:spacing w:after="0"/>
            </w:pPr>
            <w:r/>
            <w:r>
              <w:rPr>
                <w:b w:val="0"/>
              </w:rPr>
              <w:t>Canonical topology.</w:t>
            </w:r>
          </w:p>
        </w:tc>
      </w:tr>
      <w:tr>
        <w:tc>
          <w:tcPr>
            <w:tcW w:type="dxa" w:w="3221"/>
            <w:vAlign w:val="center"/>
          </w:tcPr>
          <w:p>
            <w:pPr>
              <w:spacing w:after="0"/>
            </w:pPr>
            <w:r/>
            <w:r>
              <w:rPr>
                <w:b w:val="0"/>
              </w:rPr>
              <w:t>Neighbour</w:t>
            </w:r>
          </w:p>
        </w:tc>
        <w:tc>
          <w:tcPr>
            <w:tcW w:type="dxa" w:w="3221"/>
            <w:vAlign w:val="center"/>
          </w:tcPr>
          <w:p>
            <w:pPr>
              <w:spacing w:after="0"/>
            </w:pPr>
            <w:r/>
            <w:r>
              <w:rPr>
                <w:b w:val="0"/>
              </w:rPr>
              <w:t>adjacency row derived from canonical edges</w:t>
            </w:r>
          </w:p>
        </w:tc>
        <w:tc>
          <w:tcPr>
            <w:tcW w:type="dxa" w:w="3221"/>
            <w:vAlign w:val="center"/>
          </w:tcPr>
          <w:p>
            <w:pPr>
              <w:spacing w:after="0"/>
            </w:pPr>
            <w:r/>
            <w:r>
              <w:rPr>
                <w:b w:val="0"/>
              </w:rPr>
              <w:t>Derived cache; must match topologyHash.</w:t>
            </w:r>
          </w:p>
        </w:tc>
      </w:tr>
      <w:tr>
        <w:tc>
          <w:tcPr>
            <w:tcW w:type="dxa" w:w="3221"/>
            <w:vAlign w:val="center"/>
          </w:tcPr>
          <w:p>
            <w:pPr>
              <w:spacing w:after="0"/>
            </w:pPr>
            <w:r/>
            <w:r>
              <w:rPr>
                <w:b w:val="0"/>
              </w:rPr>
              <w:t>Previous/next</w:t>
            </w:r>
          </w:p>
        </w:tc>
        <w:tc>
          <w:tcPr>
            <w:tcW w:type="dxa" w:w="3221"/>
            <w:vAlign w:val="center"/>
          </w:tcPr>
          <w:p>
            <w:pPr>
              <w:spacing w:after="0"/>
            </w:pPr>
            <w:r/>
            <w:r>
              <w:rPr>
                <w:b w:val="0"/>
              </w:rPr>
              <w:t>sequenceOccurrence scoped by pathId and occurrence index</w:t>
            </w:r>
          </w:p>
        </w:tc>
        <w:tc>
          <w:tcPr>
            <w:tcW w:type="dxa" w:w="3221"/>
            <w:vAlign w:val="center"/>
          </w:tcPr>
          <w:p>
            <w:pPr>
              <w:spacing w:after="0"/>
            </w:pPr>
            <w:r/>
            <w:r>
              <w:rPr>
                <w:b w:val="0"/>
              </w:rPr>
              <w:t>Final sequence plan.</w:t>
            </w:r>
          </w:p>
        </w:tc>
      </w:tr>
      <w:tr>
        <w:tc>
          <w:tcPr>
            <w:tcW w:type="dxa" w:w="3221"/>
            <w:vAlign w:val="center"/>
          </w:tcPr>
          <w:p>
            <w:pPr>
              <w:spacing w:after="0"/>
            </w:pPr>
            <w:r/>
            <w:r>
              <w:rPr>
                <w:b w:val="0"/>
              </w:rPr>
              <w:t>PSI Endpoint</w:t>
            </w:r>
          </w:p>
        </w:tc>
        <w:tc>
          <w:tcPr>
            <w:tcW w:type="dxa" w:w="3221"/>
            <w:vAlign w:val="center"/>
          </w:tcPr>
          <w:p>
            <w:pPr>
              <w:spacing w:after="0"/>
            </w:pPr>
            <w:r/>
            <w:r>
              <w:rPr>
                <w:b w:val="0"/>
              </w:rPr>
              <w:t>writerOccurrence psiEndpoint/occurrenceRole</w:t>
            </w:r>
          </w:p>
        </w:tc>
        <w:tc>
          <w:tcPr>
            <w:tcW w:type="dxa" w:w="3221"/>
            <w:vAlign w:val="center"/>
          </w:tcPr>
          <w:p>
            <w:pPr>
              <w:spacing w:after="0"/>
            </w:pPr>
            <w:r/>
            <w:r>
              <w:rPr>
                <w:b w:val="0"/>
              </w:rPr>
              <w:t>Writer occurrence planner.</w:t>
            </w:r>
          </w:p>
        </w:tc>
      </w:tr>
      <w:tr>
        <w:tc>
          <w:tcPr>
            <w:tcW w:type="dxa" w:w="3221"/>
            <w:vAlign w:val="center"/>
          </w:tcPr>
          <w:p>
            <w:pPr>
              <w:spacing w:after="0"/>
            </w:pPr>
            <w:r/>
            <w:r>
              <w:rPr>
                <w:b w:val="0"/>
              </w:rPr>
              <w:t>InputXML FROM_NODE/TO_NODE</w:t>
            </w:r>
          </w:p>
        </w:tc>
        <w:tc>
          <w:tcPr>
            <w:tcW w:type="dxa" w:w="3221"/>
            <w:vAlign w:val="center"/>
          </w:tcPr>
          <w:p>
            <w:pPr>
              <w:spacing w:after="0"/>
            </w:pPr>
            <w:r/>
            <w:r>
              <w:rPr>
                <w:b w:val="0"/>
              </w:rPr>
              <w:t>canonical edge endpoint projected through node plan</w:t>
            </w:r>
          </w:p>
        </w:tc>
        <w:tc>
          <w:tcPr>
            <w:tcW w:type="dxa" w:w="3221"/>
            <w:vAlign w:val="center"/>
          </w:tcPr>
          <w:p>
            <w:pPr>
              <w:spacing w:after="0"/>
            </w:pPr>
            <w:r/>
            <w:r>
              <w:rPr>
                <w:b w:val="0"/>
              </w:rPr>
              <w:t>Canonical topology plus PsiNodePlan.v1.</w:t>
            </w:r>
          </w:p>
        </w:tc>
      </w:tr>
    </w:tbl>
    <w:p/>
    <w:p>
      <w:pPr>
        <w:pStyle w:val="ListBullet"/>
      </w:pPr>
      <w:r>
        <w:t>A Node block must not contain authoritative PreviousNode or NextNode fields.</w:t>
      </w:r>
    </w:p>
    <w:p>
      <w:pPr>
        <w:pStyle w:val="ListBullet"/>
      </w:pPr>
      <w:r>
        <w:t>A canonical junction may occur in multiple sequence paths and therefore may have multiple previous/next contexts.</w:t>
      </w:r>
    </w:p>
    <w:p>
      <w:pPr>
        <w:pStyle w:val="ListBullet"/>
      </w:pPr>
      <w:r>
        <w:t>A repeated PSI NodeNumber may be emitted only when the approved writer-occurrence contract and XML-to-CII proof require it.</w:t>
      </w:r>
    </w:p>
    <w:p>
      <w:pPr>
        <w:pStyle w:val="ListBullet"/>
      </w:pPr>
      <w:r>
        <w:t>Adjacency records must carry adjacencyDerivedFromTopologyHash and are regenerated when topology changes.</w:t>
      </w:r>
    </w:p>
    <w:p>
      <w:pPr>
        <w:pStyle w:val="Heading2"/>
      </w:pPr>
      <w:r>
        <w:t>D.10 Inline versus sidecar content</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Inline/reference candidate</w:t>
            </w:r>
          </w:p>
        </w:tc>
        <w:tc>
          <w:tcPr>
            <w:tcW w:type="dxa" w:w="4831"/>
            <w:vAlign w:val="center"/>
            <w:shd w:fill="D9EAF7"/>
          </w:tcPr>
          <w:p>
            <w:pPr>
              <w:spacing w:after="0"/>
            </w:pPr>
            <w:r/>
            <w:r>
              <w:rPr>
                <w:b/>
              </w:rPr>
              <w:t>Sidecar-only detail</w:t>
            </w:r>
          </w:p>
        </w:tc>
      </w:tr>
      <w:tr>
        <w:tc>
          <w:tcPr>
            <w:tcW w:type="dxa" w:w="4831"/>
            <w:vAlign w:val="center"/>
          </w:tcPr>
          <w:p>
            <w:pPr>
              <w:spacing w:after="0"/>
            </w:pPr>
            <w:r/>
            <w:r>
              <w:rPr>
                <w:b w:val="0"/>
              </w:rPr>
              <w:t>NodePlanEntryId, WriterOccurrenceId, CanonicalNodeId, HistoryNodeId</w:t>
            </w:r>
          </w:p>
        </w:tc>
        <w:tc>
          <w:tcPr>
            <w:tcW w:type="dxa" w:w="4831"/>
            <w:vAlign w:val="center"/>
          </w:tcPr>
          <w:p>
            <w:pPr>
              <w:spacing w:after="0"/>
            </w:pPr>
            <w:r/>
            <w:r>
              <w:rPr>
                <w:b w:val="0"/>
              </w:rPr>
              <w:t>Full candidate lists and score breakdown.</w:t>
            </w:r>
          </w:p>
        </w:tc>
      </w:tr>
      <w:tr>
        <w:tc>
          <w:tcPr>
            <w:tcW w:type="dxa" w:w="4831"/>
            <w:vAlign w:val="center"/>
          </w:tcPr>
          <w:p>
            <w:pPr>
              <w:spacing w:after="0"/>
            </w:pPr>
            <w:r/>
            <w:r>
              <w:rPr>
                <w:b w:val="0"/>
              </w:rPr>
              <w:t>HistoryStatus and HistoryMatchRef</w:t>
            </w:r>
          </w:p>
        </w:tc>
        <w:tc>
          <w:tcPr>
            <w:tcW w:type="dxa" w:w="4831"/>
            <w:vAlign w:val="center"/>
          </w:tcPr>
          <w:p>
            <w:pPr>
              <w:spacing w:after="0"/>
            </w:pPr>
            <w:r/>
            <w:r>
              <w:rPr>
                <w:b w:val="0"/>
              </w:rPr>
              <w:t>Next-best candidate, score gap and registration-anchor residuals.</w:t>
            </w:r>
          </w:p>
        </w:tc>
      </w:tr>
      <w:tr>
        <w:tc>
          <w:tcPr>
            <w:tcW w:type="dxa" w:w="4831"/>
            <w:vAlign w:val="center"/>
          </w:tcPr>
          <w:p>
            <w:pPr>
              <w:spacing w:after="0"/>
            </w:pPr>
            <w:r/>
            <w:r>
              <w:rPr>
                <w:b w:val="0"/>
              </w:rPr>
              <w:t>AdjacencyRef / SequenceOccurrenceRef</w:t>
            </w:r>
          </w:p>
        </w:tc>
        <w:tc>
          <w:tcPr>
            <w:tcW w:type="dxa" w:w="4831"/>
            <w:vAlign w:val="center"/>
          </w:tcPr>
          <w:p>
            <w:pPr>
              <w:spacing w:after="0"/>
            </w:pPr>
            <w:r/>
            <w:r>
              <w:rPr>
                <w:b w:val="0"/>
              </w:rPr>
              <w:t>Full edge and neighbour objects.</w:t>
            </w:r>
          </w:p>
        </w:tc>
      </w:tr>
      <w:tr>
        <w:tc>
          <w:tcPr>
            <w:tcW w:type="dxa" w:w="4831"/>
            <w:vAlign w:val="center"/>
          </w:tcPr>
          <w:p>
            <w:pPr>
              <w:spacing w:after="0"/>
            </w:pPr>
            <w:r/>
            <w:r>
              <w:rPr>
                <w:b w:val="0"/>
              </w:rPr>
              <w:t>SourceAncestryRef</w:t>
            </w:r>
          </w:p>
        </w:tc>
        <w:tc>
          <w:tcPr>
            <w:tcW w:type="dxa" w:w="4831"/>
            <w:vAlign w:val="center"/>
          </w:tcPr>
          <w:p>
            <w:pPr>
              <w:spacing w:after="0"/>
            </w:pPr>
            <w:r/>
            <w:r>
              <w:rPr>
                <w:b w:val="0"/>
              </w:rPr>
              <w:t>All source paths, aliases and affected source entities.</w:t>
            </w:r>
          </w:p>
        </w:tc>
      </w:tr>
      <w:tr>
        <w:tc>
          <w:tcPr>
            <w:tcW w:type="dxa" w:w="4831"/>
            <w:vAlign w:val="center"/>
          </w:tcPr>
          <w:p>
            <w:pPr>
              <w:spacing w:after="0"/>
            </w:pPr>
            <w:r/>
            <w:r>
              <w:rPr>
                <w:b w:val="0"/>
              </w:rPr>
              <w:t>NormalizationActionRef</w:t>
            </w:r>
          </w:p>
        </w:tc>
        <w:tc>
          <w:tcPr>
            <w:tcW w:type="dxa" w:w="4831"/>
            <w:vAlign w:val="center"/>
          </w:tcPr>
          <w:p>
            <w:pPr>
              <w:spacing w:after="0"/>
            </w:pPr>
            <w:r/>
            <w:r>
              <w:rPr>
                <w:b w:val="0"/>
              </w:rPr>
              <w:t>Complete micro-gap/consumption evidence and rejected candidates.</w:t>
            </w:r>
          </w:p>
        </w:tc>
      </w:tr>
      <w:tr>
        <w:tc>
          <w:tcPr>
            <w:tcW w:type="dxa" w:w="4831"/>
            <w:vAlign w:val="center"/>
          </w:tcPr>
          <w:p>
            <w:pPr>
              <w:spacing w:after="0"/>
            </w:pPr>
            <w:r/>
            <w:r>
              <w:rPr>
                <w:b w:val="0"/>
              </w:rPr>
              <w:t>AttachmentRef / JunctionRef / BoundaryRef</w:t>
            </w:r>
          </w:p>
        </w:tc>
        <w:tc>
          <w:tcPr>
            <w:tcW w:type="dxa" w:w="4831"/>
            <w:vAlign w:val="center"/>
          </w:tcPr>
          <w:p>
            <w:pPr>
              <w:spacing w:after="0"/>
            </w:pPr>
            <w:r/>
            <w:r>
              <w:rPr>
                <w:b w:val="0"/>
              </w:rPr>
              <w:t>Full role-specific object and lifecycle event history.</w:t>
            </w:r>
          </w:p>
        </w:tc>
      </w:tr>
    </w:tbl>
    <w:p/>
    <w:p>
      <w:pPr>
        <w:pStyle w:val="Heading2"/>
      </w:pPr>
      <w:r>
        <w:t>D.11 Validation and blocker additions</w:t>
      </w:r>
    </w:p>
    <w:p>
      <w:r>
        <w:t>The following checks are additive to Sections 12-16 and Appendix C:</w:t>
      </w:r>
    </w:p>
    <w:p>
      <w:pPr>
        <w:pStyle w:val="ListBullet"/>
      </w:pPr>
      <w:r>
        <w:t>PIPE_CONTEXT_HASH_CHAIN_MISMATCH - source, topology, sequence, node plan or registry reference differs from the selected artifacts.</w:t>
      </w:r>
    </w:p>
    <w:p>
      <w:pPr>
        <w:pStyle w:val="ListBullet"/>
      </w:pPr>
      <w:r>
        <w:t>BRANCH_ZONE_MISMATCH - NodeContext.ZoneId differs from BranchContext.ZoneId.</w:t>
      </w:r>
    </w:p>
    <w:p>
      <w:pPr>
        <w:pStyle w:val="ListBullet"/>
      </w:pPr>
      <w:r>
        <w:t>CROSS_ZONE_BRANCH_UNRESOLVED - one branch projection spans multiple zones without an approved split.</w:t>
      </w:r>
    </w:p>
    <w:p>
      <w:pPr>
        <w:pStyle w:val="ListBullet"/>
      </w:pPr>
      <w:r>
        <w:t>BRANCH_IDENTITY_CONFLICT - source and canonical/owner main-line authorities disagree without an approved alias.</w:t>
      </w:r>
    </w:p>
    <w:p>
      <w:pPr>
        <w:pStyle w:val="ListBullet"/>
      </w:pPr>
      <w:r>
        <w:t>NODE_CONTEXT_OCCURRENCE_MISSING - serialized PSI Node has no WriterOccurrenceId or node-plan entry.</w:t>
      </w:r>
    </w:p>
    <w:p>
      <w:pPr>
        <w:pStyle w:val="ListBullet"/>
      </w:pPr>
      <w:r>
        <w:t>CANONICAL_NODE_BINDING_MISSING - emitted engineering number is not bound to a canonical node or approved attachment occurrence.</w:t>
      </w:r>
    </w:p>
    <w:p>
      <w:pPr>
        <w:pStyle w:val="ListBullet"/>
      </w:pPr>
      <w:r>
        <w:t>ADJACENCY_HASH_STALE - adjacency was generated from a different topology hash.</w:t>
      </w:r>
    </w:p>
    <w:p>
      <w:pPr>
        <w:pStyle w:val="ListBullet"/>
      </w:pPr>
      <w:r>
        <w:t>SEQUENCE_OCCURRENCE_STALE - previous/next context was generated from a different sequence plan.</w:t>
      </w:r>
    </w:p>
    <w:p>
      <w:pPr>
        <w:pStyle w:val="ListBullet"/>
      </w:pPr>
      <w:r>
        <w:t>TOPOLOGY_INDEX_HASH_MISMATCH - referenced sidecar does not match PipeContext.TopologyIndexRef.</w:t>
      </w:r>
    </w:p>
    <w:p>
      <w:pPr>
        <w:pStyle w:val="ListBullet"/>
      </w:pPr>
      <w:r>
        <w:t>INLINE_EXTENSION_PROFILE_UNAPPROVED - hx:* elements are present in strict production mode or lack XSD/CII approval.</w:t>
      </w:r>
    </w:p>
    <w:p>
      <w:pPr>
        <w:pStyle w:val="Heading2"/>
      </w:pPr>
      <w:r>
        <w:t>D.12 Minimum test additions to Appendix C</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D9EAF7"/>
          </w:tcPr>
          <w:p>
            <w:pPr>
              <w:spacing w:after="0"/>
            </w:pPr>
            <w:r/>
            <w:r>
              <w:rPr>
                <w:b/>
              </w:rPr>
              <w:t>Phase</w:t>
            </w:r>
          </w:p>
        </w:tc>
        <w:tc>
          <w:tcPr>
            <w:tcW w:type="dxa" w:w="4831"/>
            <w:vAlign w:val="center"/>
            <w:shd w:fill="D9EAF7"/>
          </w:tcPr>
          <w:p>
            <w:pPr>
              <w:spacing w:after="0"/>
            </w:pPr>
            <w:r/>
            <w:r>
              <w:rPr>
                <w:b/>
              </w:rPr>
              <w:t>Additional minimum test</w:t>
            </w:r>
          </w:p>
        </w:tc>
      </w:tr>
      <w:tr>
        <w:tc>
          <w:tcPr>
            <w:tcW w:type="dxa" w:w="4831"/>
            <w:vAlign w:val="center"/>
          </w:tcPr>
          <w:p>
            <w:pPr>
              <w:spacing w:after="0"/>
            </w:pPr>
            <w:r/>
            <w:r>
              <w:rPr>
                <w:b w:val="0"/>
              </w:rPr>
              <w:t>Phase 1-2</w:t>
            </w:r>
          </w:p>
        </w:tc>
        <w:tc>
          <w:tcPr>
            <w:tcW w:type="dxa" w:w="4831"/>
            <w:vAlign w:val="center"/>
          </w:tcPr>
          <w:p>
            <w:pPr>
              <w:spacing w:after="0"/>
            </w:pPr>
            <w:r/>
            <w:r>
              <w:rPr>
                <w:b w:val="0"/>
              </w:rPr>
              <w:t>Every serialized Node occurrence resolves to exactly one WriterOccurrenceId, NodePlanEntryId and canonical/attachment binding; zero inferred occurrences.</w:t>
            </w:r>
          </w:p>
        </w:tc>
      </w:tr>
      <w:tr>
        <w:tc>
          <w:tcPr>
            <w:tcW w:type="dxa" w:w="4831"/>
            <w:vAlign w:val="center"/>
          </w:tcPr>
          <w:p>
            <w:pPr>
              <w:spacing w:after="0"/>
            </w:pPr>
            <w:r/>
            <w:r>
              <w:rPr>
                <w:b w:val="0"/>
              </w:rPr>
              <w:t>Phase 3</w:t>
            </w:r>
          </w:p>
        </w:tc>
        <w:tc>
          <w:tcPr>
            <w:tcW w:type="dxa" w:w="4831"/>
            <w:vAlign w:val="center"/>
          </w:tcPr>
          <w:p>
            <w:pPr>
              <w:spacing w:after="0"/>
            </w:pPr>
            <w:r/>
            <w:r>
              <w:rPr>
                <w:b w:val="0"/>
              </w:rPr>
              <w:t>Zone manifest supports multiple ZoneRegistryRef entries and detects branch/node zone mismatch.</w:t>
            </w:r>
          </w:p>
        </w:tc>
      </w:tr>
      <w:tr>
        <w:tc>
          <w:tcPr>
            <w:tcW w:type="dxa" w:w="4831"/>
            <w:vAlign w:val="center"/>
          </w:tcPr>
          <w:p>
            <w:pPr>
              <w:spacing w:after="0"/>
            </w:pPr>
            <w:r/>
            <w:r>
              <w:rPr>
                <w:b w:val="0"/>
              </w:rPr>
              <w:t>Phase 4-5</w:t>
            </w:r>
          </w:p>
        </w:tc>
        <w:tc>
          <w:tcPr>
            <w:tcW w:type="dxa" w:w="4831"/>
            <w:vAlign w:val="center"/>
          </w:tcPr>
          <w:p>
            <w:pPr>
              <w:spacing w:after="0"/>
            </w:pPr>
            <w:r/>
            <w:r>
              <w:rPr>
                <w:b w:val="0"/>
              </w:rPr>
              <w:t>History matching uses canonical node fingerprints and does not treat source-path aliases as durable identity.</w:t>
            </w:r>
          </w:p>
        </w:tc>
      </w:tr>
      <w:tr>
        <w:tc>
          <w:tcPr>
            <w:tcW w:type="dxa" w:w="4831"/>
            <w:vAlign w:val="center"/>
          </w:tcPr>
          <w:p>
            <w:pPr>
              <w:spacing w:after="0"/>
            </w:pPr>
            <w:r/>
            <w:r>
              <w:rPr>
                <w:b w:val="0"/>
              </w:rPr>
              <w:t>Phase 6</w:t>
            </w:r>
          </w:p>
        </w:tc>
        <w:tc>
          <w:tcPr>
            <w:tcW w:type="dxa" w:w="4831"/>
            <w:vAlign w:val="center"/>
          </w:tcPr>
          <w:p>
            <w:pPr>
              <w:spacing w:after="0"/>
            </w:pPr>
            <w:r/>
            <w:r>
              <w:rPr>
                <w:b w:val="0"/>
              </w:rPr>
              <w:t>Normalization updates source-port alias groups and canonical topology together; no PSI-only topology change.</w:t>
            </w:r>
          </w:p>
        </w:tc>
      </w:tr>
      <w:tr>
        <w:tc>
          <w:tcPr>
            <w:tcW w:type="dxa" w:w="4831"/>
            <w:vAlign w:val="center"/>
          </w:tcPr>
          <w:p>
            <w:pPr>
              <w:spacing w:after="0"/>
            </w:pPr>
            <w:r/>
            <w:r>
              <w:rPr>
                <w:b w:val="0"/>
              </w:rPr>
              <w:t>Phase 7</w:t>
            </w:r>
          </w:p>
        </w:tc>
        <w:tc>
          <w:tcPr>
            <w:tcW w:type="dxa" w:w="4831"/>
            <w:vAlign w:val="center"/>
          </w:tcPr>
          <w:p>
            <w:pPr>
              <w:spacing w:after="0"/>
            </w:pPr>
            <w:r/>
            <w:r>
              <w:rPr>
                <w:b w:val="0"/>
              </w:rPr>
              <w:t>TopologyIndex reconstructs the same edge vectors, junction degrees, boundaries and branch sequence as canonical artifacts.</w:t>
            </w:r>
          </w:p>
        </w:tc>
      </w:tr>
      <w:tr>
        <w:tc>
          <w:tcPr>
            <w:tcW w:type="dxa" w:w="4831"/>
            <w:vAlign w:val="center"/>
          </w:tcPr>
          <w:p>
            <w:pPr>
              <w:spacing w:after="0"/>
            </w:pPr>
            <w:r/>
            <w:r>
              <w:rPr>
                <w:b w:val="0"/>
              </w:rPr>
              <w:t>Phase 7</w:t>
            </w:r>
          </w:p>
        </w:tc>
        <w:tc>
          <w:tcPr>
            <w:tcW w:type="dxa" w:w="4831"/>
            <w:vAlign w:val="center"/>
          </w:tcPr>
          <w:p>
            <w:pPr>
              <w:spacing w:after="0"/>
            </w:pPr>
            <w:r/>
            <w:r>
              <w:rPr>
                <w:b w:val="0"/>
              </w:rPr>
              <w:t>TEE/OLET/support fixtures prove role-specific linkage without false previous/next assumptions.</w:t>
            </w:r>
          </w:p>
        </w:tc>
      </w:tr>
      <w:tr>
        <w:tc>
          <w:tcPr>
            <w:tcW w:type="dxa" w:w="4831"/>
            <w:vAlign w:val="center"/>
          </w:tcPr>
          <w:p>
            <w:pPr>
              <w:spacing w:after="0"/>
            </w:pPr>
            <w:r/>
            <w:r>
              <w:rPr>
                <w:b w:val="0"/>
              </w:rPr>
              <w:t>Phase 7</w:t>
            </w:r>
          </w:p>
        </w:tc>
        <w:tc>
          <w:tcPr>
            <w:tcW w:type="dxa" w:w="4831"/>
            <w:vAlign w:val="center"/>
          </w:tcPr>
          <w:p>
            <w:pPr>
              <w:spacing w:after="0"/>
            </w:pPr>
            <w:r/>
            <w:r>
              <w:rPr>
                <w:b w:val="0"/>
              </w:rPr>
              <w:t>Strict PSI contains no hx:* elements; audit-extended PSI passes its approved schema/converter profile.</w:t>
            </w:r>
          </w:p>
        </w:tc>
      </w:tr>
      <w:tr>
        <w:tc>
          <w:tcPr>
            <w:tcW w:type="dxa" w:w="4831"/>
            <w:vAlign w:val="center"/>
          </w:tcPr>
          <w:p>
            <w:pPr>
              <w:spacing w:after="0"/>
            </w:pPr>
            <w:r/>
            <w:r>
              <w:rPr>
                <w:b w:val="0"/>
              </w:rPr>
              <w:t>Phase 8</w:t>
            </w:r>
          </w:p>
        </w:tc>
        <w:tc>
          <w:tcPr>
            <w:tcW w:type="dxa" w:w="4831"/>
            <w:vAlign w:val="center"/>
          </w:tcPr>
          <w:p>
            <w:pPr>
              <w:spacing w:after="0"/>
            </w:pPr>
            <w:r/>
            <w:r>
              <w:rPr>
                <w:b w:val="0"/>
              </w:rPr>
              <w:t>Selected production XML, node plan and topology index expose a complete matching hash chain.</w:t>
            </w:r>
          </w:p>
        </w:tc>
      </w:tr>
    </w:tbl>
    <w:p/>
    <w:p>
      <w:pPr>
        <w:pStyle w:val="Heading2"/>
      </w:pPr>
      <w:r>
        <w:t>D.13 Finalized structural decision</w:t>
      </w:r>
    </w:p>
    <w:p>
      <w:pPr>
        <w:pStyle w:val="CodeBlock"/>
        <w:keepLines/>
        <w:spacing w:after="120"/>
      </w:pPr>
      <w:r>
        <w:rPr>
          <w:rFonts w:ascii="Consolas" w:hAnsi="Consolas"/>
          <w:sz w:val="16"/>
        </w:rPr>
        <w:t>PipeContext</w:t>
        <w:br/>
        <w:t xml:space="preserve">  document-wide source, coordinate, hash, policy, writer and registry authority</w:t>
        <w:br/>
        <w:br/>
        <w:t>BranchContext</w:t>
        <w:br/>
        <w:t xml:space="preserve">  branch history, canonical main line, /B# traversal, zone, lease and coverage authority</w:t>
        <w:br/>
        <w:br/>
        <w:t>NodeContext</w:t>
        <w:br/>
        <w:t xml:space="preserve">  canonical node + history node + engineering number + writer occurrence binding</w:t>
        <w:br/>
        <w:br/>
        <w:t>PsiTopologyIndex.v1</w:t>
        <w:br/>
        <w:t xml:space="preserve">  nodes, edges, endpoint bindings, adjacency, sequence occurrences,</w:t>
        <w:br/>
        <w:t xml:space="preserve">  junctions, boundaries and attachments</w:t>
      </w:r>
    </w:p>
    <w:p>
      <w:r>
        <w:t>This structure preserves one topology authority and keeps geometry reconstruction straightforward. PsiTopologyIndex.v1 is mandatory for audit and reconstruction; inline hx:* context remains optional and requires approved schema and downstream-converter profiles.</w:t>
      </w:r>
    </w:p>
    <w:sectPr w:rsidR="00FC693F" w:rsidRPr="0006063C" w:rsidSect="00034616">
      <w:headerReference w:type="default" r:id="rId9"/>
      <w:footerReference w:type="default" r:id="rId10"/>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rPr>
        <w:i w:val="0"/>
        <w:color w:val="1F3A5F"/>
      </w:rPr>
      <w:t>Historical Node Numbering and Micro-Geometry Preprocessor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5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trong">
    <w:name w:val="Subtitle Strong"/>
    <w:pPr>
      <w:spacing w:after="160"/>
    </w:pPr>
    <w:rPr>
      <w:rFonts w:ascii="Aptos" w:hAnsi="Aptos"/>
      <w:color w:val="404040"/>
      <w:sz w:val="28"/>
    </w:rPr>
  </w:style>
  <w:style w:type="paragraph" w:customStyle="1" w:styleId="CodeBlock">
    <w:name w:val="Code Block"/>
    <w:pPr>
      <w:spacing w:before="60" w:after="100" w:line="240" w:lineRule="auto"/>
      <w:ind w:left="288" w:right="288"/>
    </w:pPr>
    <w:rPr>
      <w:rFonts w:ascii="Consolas" w:hAnsi="Consolas"/>
      <w:sz w:val="16"/>
    </w:rPr>
  </w:style>
  <w:style w:type="paragraph" w:customStyle="1" w:styleId="SmallNote">
    <w:name w:val="Small Note"/>
    <w:pPr>
      <w:spacing w:after="80"/>
    </w:pPr>
    <w:rPr>
      <w:rFonts w:ascii="Aptos" w:hAnsi="Aptos"/>
      <w:i/>
      <w:color w:val="404040"/>
      <w:sz w:val="17"/>
    </w:rPr>
  </w:style>
  <w:style w:type="paragraph" w:customStyle="1" w:styleId="DecisionText">
    <w:name w:val="Decision Text"/>
    <w:pPr>
      <w:spacing w:after="80"/>
    </w:pPr>
    <w:rPr>
      <w:rFonts w:ascii="Aptos" w:hAnsi="Aptos"/>
      <w:b/>
      <w:color w:val="1F3A5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Node Numbering and Micro-Geometry Preprocessor - Revision 3</dc:title>
  <dc:subject>Concept architecture with three-level PSI context and topology index</dc:subject>
  <dc:creator>OpenAI</dc:creator>
  <cp:keywords/>
  <dc:description>Revision 3 adds normative Appendix D for Pipe, Branch, Node and topology-index contracts.</dc:description>
  <cp:lastModifiedBy/>
  <cp:revision>1</cp:revision>
  <dcterms:created xsi:type="dcterms:W3CDTF">2013-12-23T23:15:00Z</dcterms:created>
  <dcterms:modified xsi:type="dcterms:W3CDTF">2013-12-23T23:15:00Z</dcterms:modified>
  <cp:category/>
</cp:coreProperties>
</file>