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526lf02o4wu9" w:id="0"/>
      <w:bookmarkEnd w:id="0"/>
      <w:r w:rsidDel="00000000" w:rsidR="00000000" w:rsidRPr="00000000">
        <w:rPr>
          <w:rtl w:val="0"/>
        </w:rPr>
        <w:t xml:space="preserve">Team RedBullz Airways: Champions Group Dataset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This project provides a Graph Neural Network (GNN)-based prototype for strategic corporate planning, specifically focused on predicting internal mergers and acquisitions (M&amp;A). We also did some data analysis using various methods to identify potentially interesting trends, relationships and anomalies.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gjwmbhi24dz0" w:id="1"/>
      <w:bookmarkEnd w:id="1"/>
      <w:r w:rsidDel="00000000" w:rsidR="00000000" w:rsidRPr="00000000">
        <w:rPr>
          <w:rtl w:val="0"/>
        </w:rPr>
        <w:t xml:space="preserve">1. Environment Setup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Before running the notebook, ensure you have Python 3.10+ installed.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pip install -r requirements.txt</w:t>
      </w:r>
      <w:r w:rsidDel="00000000" w:rsidR="00000000" w:rsidRPr="00000000">
        <w:rPr>
          <w:rtl w:val="0"/>
        </w:rPr>
        <w:t xml:space="preserve"> to install all required libraries.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To view the raw network visualizations (Section 3.2), you must have Gephi (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https://gephi.org/desktop/</w:t>
        </w:r>
      </w:hyperlink>
      <w:r w:rsidDel="00000000" w:rsidR="00000000" w:rsidRPr="00000000">
        <w:rPr>
          <w:rtl w:val="0"/>
        </w:rPr>
        <w:t xml:space="preserve">) installed on your machine.</w:t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kofaf4doy7hi" w:id="2"/>
      <w:bookmarkEnd w:id="2"/>
      <w:r w:rsidDel="00000000" w:rsidR="00000000" w:rsidRPr="00000000">
        <w:rPr>
          <w:rtl w:val="0"/>
        </w:rPr>
        <w:t xml:space="preserve">2. Execution &amp; Reproducibility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Data Placement: Ensure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champions_group_data.xlsx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companies_merged.xlsx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companies_mergednew.xlsx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companies_working.xlsx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companies_edges.csv</w:t>
      </w:r>
      <w:r w:rsidDel="00000000" w:rsidR="00000000" w:rsidRPr="00000000">
        <w:rPr>
          <w:rtl w:val="0"/>
        </w:rPr>
        <w:t xml:space="preserve"> are in the same root directory as the notebook.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Running the Notebook: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Execute the cells sequentially. This is important as we sometimes assign the contents from different files to the same variable (e.g df).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Section 3.4 (XGBoost/RF): These models will run quickly but are primarily for descriptive analysis of the current network.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Section 3.6 (GNN): This section performs the deep learning trial. It uses a deterministic split to ensure results (AUC ~0.96) are reproducible.</w:t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  <w:t xml:space="preserve">Running the Model:</w:t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Open the ZIP file Model v7.zip</w:t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Run the code in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gnninterface.py</w:t>
        </w:r>
      </w:hyperlink>
      <w:r w:rsidDel="00000000" w:rsidR="00000000" w:rsidRPr="00000000">
        <w:rPr>
          <w:rtl w:val="0"/>
        </w:rPr>
        <w:t xml:space="preserve"> to run the model</w:t>
      </w:r>
    </w:p>
    <w:p w:rsidR="00000000" w:rsidDel="00000000" w:rsidP="00000000" w:rsidRDefault="00000000" w:rsidRPr="00000000" w14:paraId="00000019">
      <w:pPr>
        <w:pStyle w:val="Heading2"/>
        <w:rPr/>
      </w:pPr>
      <w:bookmarkStart w:colFirst="0" w:colLast="0" w:name="_qo6y44fcuyfq" w:id="3"/>
      <w:bookmarkEnd w:id="3"/>
      <w:r w:rsidDel="00000000" w:rsidR="00000000" w:rsidRPr="00000000">
        <w:rPr>
          <w:rtl w:val="0"/>
        </w:rPr>
        <w:t xml:space="preserve">3. Key Findings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Standard classification models (XGBoost/RF) suffer from data leakage by "seeing" existing network connections. The GNN model effectively overcomes this by learning node embeddings, achieving a 96.9% Test AUC.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Companies with low headcount but high revenue-per-employee (the "productivity spike") are identified as prime acquisition targets due to their scalability.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Internal M&amp;A is heavily driven by Modularity Class and Community Membership. Companies within the same structural ecosystem are mathematically the most likely candidates for consolidation.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gh85chq774ev" w:id="4"/>
      <w:bookmarkEnd w:id="4"/>
      <w:r w:rsidDel="00000000" w:rsidR="00000000" w:rsidRPr="00000000">
        <w:rPr>
          <w:rtl w:val="0"/>
        </w:rPr>
        <w:t xml:space="preserve">4. Processed data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Refer to companies_working.xlsx for the companies labelled with their generic description (e.g manufacturing. These are the output from our textual analysis done using the LLM.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ephi.org/desktop/" TargetMode="External"/><Relationship Id="rId7" Type="http://schemas.openxmlformats.org/officeDocument/2006/relationships/hyperlink" Target="http://gnninterface.py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