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header" w:displacedByCustomXml="next"/>
    <w:bookmarkEnd w:id="0" w:displacedByCustomXml="next"/>
    <w:bookmarkStart w:id="1" w:name="content" w:displacedByCustomXml="next"/>
    <w:bookmarkStart w:id="2" w:name="X0dec7e7028a91c80c27f468204469fda9131f97" w:displacedByCustomXml="next"/>
    <w:sdt>
      <w:sdtPr>
        <w:id w:val="2091193848"/>
        <w:docPartObj>
          <w:docPartGallery w:val="Cover Pages"/>
          <w:docPartUnique/>
        </w:docPartObj>
      </w:sdtPr>
      <w:sdtContent>
        <w:p w14:paraId="678F6973" w14:textId="1E94677D" w:rsidR="00233818" w:rsidRDefault="00233818">
          <w:r>
            <w:rPr>
              <w:noProof/>
            </w:rPr>
            <w:pict w14:anchorId="464E9A5C">
              <v:group id="Group 198" o:spid="_x0000_s1028"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9"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30"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style="mso-next-textbox:#Rectangle 195"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C8E3EA8" w14:textId="70281F95" w:rsidR="00233818" w:rsidRDefault="00233818">
                            <w:pPr>
                              <w:pStyle w:val="NoSpacing"/>
                              <w:spacing w:before="120"/>
                              <w:jc w:val="center"/>
                              <w:rPr>
                                <w:color w:val="FFFFFF" w:themeColor="background1"/>
                              </w:rPr>
                            </w:pPr>
                            <w:r>
                              <w:rPr>
                                <w:color w:val="FFFFFF" w:themeColor="background1"/>
                              </w:rPr>
                              <w:t>Anthony Ruscitto</w:t>
                            </w:r>
                          </w:p>
                        </w:sdtContent>
                      </w:sdt>
                      <w:p w14:paraId="38067D23" w14:textId="0FEC4648" w:rsidR="00233818" w:rsidRDefault="00233818">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31"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style="mso-next-textbox:#Text Box 196" inset="36pt,7.2pt,36pt,7.2pt">
                    <w:txbxContent>
                      <w:sdt>
                        <w:sdtPr>
                          <w:rPr>
                            <w:rFonts w:asciiTheme="majorHAnsi" w:eastAsiaTheme="majorEastAsia" w:hAnsiTheme="majorHAnsi" w:cstheme="majorBidi"/>
                            <w:caps/>
                            <w:color w:val="156082" w:themeColor="accent1"/>
                            <w:sz w:val="64"/>
                            <w:szCs w:val="64"/>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BFB73D7" w14:textId="11B7F314" w:rsidR="00233818" w:rsidRPr="00233818" w:rsidRDefault="00233818">
                            <w:pPr>
                              <w:pStyle w:val="NoSpacing"/>
                              <w:jc w:val="center"/>
                              <w:rPr>
                                <w:rFonts w:asciiTheme="majorHAnsi" w:eastAsiaTheme="majorEastAsia" w:hAnsiTheme="majorHAnsi" w:cstheme="majorBidi"/>
                                <w:caps/>
                                <w:color w:val="156082" w:themeColor="accent1"/>
                                <w:sz w:val="64"/>
                                <w:szCs w:val="64"/>
                              </w:rPr>
                            </w:pPr>
                            <w:r w:rsidRPr="00233818">
                              <w:rPr>
                                <w:rFonts w:asciiTheme="majorHAnsi" w:eastAsiaTheme="majorEastAsia" w:hAnsiTheme="majorHAnsi" w:cstheme="majorBidi"/>
                                <w:caps/>
                                <w:color w:val="156082" w:themeColor="accent1"/>
                                <w:sz w:val="64"/>
                                <w:szCs w:val="64"/>
                              </w:rPr>
                              <w:t>What an ai governance program really looks like</w:t>
                            </w:r>
                          </w:p>
                        </w:sdtContent>
                      </w:sdt>
                    </w:txbxContent>
                  </v:textbox>
                </v:shape>
                <w10:wrap anchorx="page" anchory="page"/>
              </v:group>
            </w:pict>
          </w:r>
        </w:p>
        <w:p w14:paraId="03C1F587" w14:textId="77777777" w:rsidR="00233818" w:rsidRDefault="00233818">
          <w:r>
            <w:br w:type="page"/>
          </w:r>
        </w:p>
        <w:sdt>
          <w:sdtPr>
            <w:id w:val="-1054542901"/>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7F374BB7" w14:textId="5CFBB54D" w:rsidR="00233818" w:rsidRDefault="00233818" w:rsidP="00233818">
              <w:pPr>
                <w:pStyle w:val="TOCHeading"/>
              </w:pPr>
              <w:r>
                <w:t>Contents</w:t>
              </w:r>
            </w:p>
            <w:p w14:paraId="635F631F" w14:textId="29B8037C" w:rsidR="00233818" w:rsidRDefault="00233818">
              <w:pPr>
                <w:pStyle w:val="TOC2"/>
                <w:tabs>
                  <w:tab w:val="right" w:leader="dot" w:pos="9350"/>
                </w:tabs>
                <w:rPr>
                  <w:rFonts w:eastAsiaTheme="minorEastAsia"/>
                  <w:noProof/>
                  <w:kern w:val="2"/>
                  <w:lang w:val="en-US"/>
                  <w14:ligatures w14:val="standardContextual"/>
                </w:rPr>
              </w:pPr>
              <w:r>
                <w:fldChar w:fldCharType="begin"/>
              </w:r>
              <w:r>
                <w:instrText xml:space="preserve"> TOC \o "1-3" \h \z \u </w:instrText>
              </w:r>
              <w:r>
                <w:fldChar w:fldCharType="separate"/>
              </w:r>
              <w:hyperlink w:anchor="_Toc228645491" w:history="1">
                <w:r w:rsidRPr="00A7274A">
                  <w:rPr>
                    <w:rStyle w:val="Hyperlink"/>
                    <w:noProof/>
                  </w:rPr>
                  <w:t>Executive summary</w:t>
                </w:r>
                <w:r>
                  <w:rPr>
                    <w:noProof/>
                    <w:webHidden/>
                  </w:rPr>
                  <w:tab/>
                </w:r>
                <w:r>
                  <w:rPr>
                    <w:noProof/>
                    <w:webHidden/>
                  </w:rPr>
                  <w:fldChar w:fldCharType="begin"/>
                </w:r>
                <w:r>
                  <w:rPr>
                    <w:noProof/>
                    <w:webHidden/>
                  </w:rPr>
                  <w:instrText xml:space="preserve"> PAGEREF _Toc228645491 \h </w:instrText>
                </w:r>
                <w:r>
                  <w:rPr>
                    <w:noProof/>
                    <w:webHidden/>
                  </w:rPr>
                </w:r>
                <w:r>
                  <w:rPr>
                    <w:noProof/>
                    <w:webHidden/>
                  </w:rPr>
                  <w:fldChar w:fldCharType="separate"/>
                </w:r>
                <w:r>
                  <w:rPr>
                    <w:noProof/>
                    <w:webHidden/>
                  </w:rPr>
                  <w:t>2</w:t>
                </w:r>
                <w:r>
                  <w:rPr>
                    <w:noProof/>
                    <w:webHidden/>
                  </w:rPr>
                  <w:fldChar w:fldCharType="end"/>
                </w:r>
              </w:hyperlink>
            </w:p>
            <w:p w14:paraId="5D6A80AA" w14:textId="7806CDFD" w:rsidR="00233818" w:rsidRDefault="00233818">
              <w:pPr>
                <w:pStyle w:val="TOC2"/>
                <w:tabs>
                  <w:tab w:val="right" w:leader="dot" w:pos="9350"/>
                </w:tabs>
                <w:rPr>
                  <w:rFonts w:eastAsiaTheme="minorEastAsia"/>
                  <w:noProof/>
                  <w:kern w:val="2"/>
                  <w:lang w:val="en-US"/>
                  <w14:ligatures w14:val="standardContextual"/>
                </w:rPr>
              </w:pPr>
              <w:hyperlink w:anchor="_Toc228645492" w:history="1">
                <w:r w:rsidRPr="00A7274A">
                  <w:rPr>
                    <w:rStyle w:val="Hyperlink"/>
                    <w:noProof/>
                  </w:rPr>
                  <w:t>Definitions and scope</w:t>
                </w:r>
                <w:r>
                  <w:rPr>
                    <w:noProof/>
                    <w:webHidden/>
                  </w:rPr>
                  <w:tab/>
                </w:r>
                <w:r>
                  <w:rPr>
                    <w:noProof/>
                    <w:webHidden/>
                  </w:rPr>
                  <w:fldChar w:fldCharType="begin"/>
                </w:r>
                <w:r>
                  <w:rPr>
                    <w:noProof/>
                    <w:webHidden/>
                  </w:rPr>
                  <w:instrText xml:space="preserve"> PAGEREF _Toc228645492 \h </w:instrText>
                </w:r>
                <w:r>
                  <w:rPr>
                    <w:noProof/>
                    <w:webHidden/>
                  </w:rPr>
                </w:r>
                <w:r>
                  <w:rPr>
                    <w:noProof/>
                    <w:webHidden/>
                  </w:rPr>
                  <w:fldChar w:fldCharType="separate"/>
                </w:r>
                <w:r>
                  <w:rPr>
                    <w:noProof/>
                    <w:webHidden/>
                  </w:rPr>
                  <w:t>3</w:t>
                </w:r>
                <w:r>
                  <w:rPr>
                    <w:noProof/>
                    <w:webHidden/>
                  </w:rPr>
                  <w:fldChar w:fldCharType="end"/>
                </w:r>
              </w:hyperlink>
            </w:p>
            <w:p w14:paraId="59D6E2E2" w14:textId="3F27964A" w:rsidR="00233818" w:rsidRDefault="00233818">
              <w:pPr>
                <w:pStyle w:val="TOC2"/>
                <w:tabs>
                  <w:tab w:val="right" w:leader="dot" w:pos="9350"/>
                </w:tabs>
                <w:rPr>
                  <w:rFonts w:eastAsiaTheme="minorEastAsia"/>
                  <w:noProof/>
                  <w:kern w:val="2"/>
                  <w:lang w:val="en-US"/>
                  <w14:ligatures w14:val="standardContextual"/>
                </w:rPr>
              </w:pPr>
              <w:hyperlink w:anchor="_Toc228645493" w:history="1">
                <w:r w:rsidRPr="00A7274A">
                  <w:rPr>
                    <w:rStyle w:val="Hyperlink"/>
                    <w:noProof/>
                  </w:rPr>
                  <w:t>What a comprehensive governance program looks like</w:t>
                </w:r>
                <w:r>
                  <w:rPr>
                    <w:noProof/>
                    <w:webHidden/>
                  </w:rPr>
                  <w:tab/>
                </w:r>
                <w:r>
                  <w:rPr>
                    <w:noProof/>
                    <w:webHidden/>
                  </w:rPr>
                  <w:fldChar w:fldCharType="begin"/>
                </w:r>
                <w:r>
                  <w:rPr>
                    <w:noProof/>
                    <w:webHidden/>
                  </w:rPr>
                  <w:instrText xml:space="preserve"> PAGEREF _Toc228645493 \h </w:instrText>
                </w:r>
                <w:r>
                  <w:rPr>
                    <w:noProof/>
                    <w:webHidden/>
                  </w:rPr>
                </w:r>
                <w:r>
                  <w:rPr>
                    <w:noProof/>
                    <w:webHidden/>
                  </w:rPr>
                  <w:fldChar w:fldCharType="separate"/>
                </w:r>
                <w:r>
                  <w:rPr>
                    <w:noProof/>
                    <w:webHidden/>
                  </w:rPr>
                  <w:t>5</w:t>
                </w:r>
                <w:r>
                  <w:rPr>
                    <w:noProof/>
                    <w:webHidden/>
                  </w:rPr>
                  <w:fldChar w:fldCharType="end"/>
                </w:r>
              </w:hyperlink>
            </w:p>
            <w:p w14:paraId="23CACBE0" w14:textId="376AC21E" w:rsidR="00233818" w:rsidRDefault="00233818">
              <w:pPr>
                <w:pStyle w:val="TOC2"/>
                <w:tabs>
                  <w:tab w:val="right" w:leader="dot" w:pos="9350"/>
                </w:tabs>
                <w:rPr>
                  <w:rFonts w:eastAsiaTheme="minorEastAsia"/>
                  <w:noProof/>
                  <w:kern w:val="2"/>
                  <w:lang w:val="en-US"/>
                  <w14:ligatures w14:val="standardContextual"/>
                </w:rPr>
              </w:pPr>
              <w:hyperlink w:anchor="_Toc228645494" w:history="1">
                <w:r w:rsidRPr="00A7274A">
                  <w:rPr>
                    <w:rStyle w:val="Hyperlink"/>
                    <w:noProof/>
                  </w:rPr>
                  <w:t>Operating model and implementation roadmap</w:t>
                </w:r>
                <w:r>
                  <w:rPr>
                    <w:noProof/>
                    <w:webHidden/>
                  </w:rPr>
                  <w:tab/>
                </w:r>
                <w:r>
                  <w:rPr>
                    <w:noProof/>
                    <w:webHidden/>
                  </w:rPr>
                  <w:fldChar w:fldCharType="begin"/>
                </w:r>
                <w:r>
                  <w:rPr>
                    <w:noProof/>
                    <w:webHidden/>
                  </w:rPr>
                  <w:instrText xml:space="preserve"> PAGEREF _Toc228645494 \h </w:instrText>
                </w:r>
                <w:r>
                  <w:rPr>
                    <w:noProof/>
                    <w:webHidden/>
                  </w:rPr>
                </w:r>
                <w:r>
                  <w:rPr>
                    <w:noProof/>
                    <w:webHidden/>
                  </w:rPr>
                  <w:fldChar w:fldCharType="separate"/>
                </w:r>
                <w:r>
                  <w:rPr>
                    <w:noProof/>
                    <w:webHidden/>
                  </w:rPr>
                  <w:t>8</w:t>
                </w:r>
                <w:r>
                  <w:rPr>
                    <w:noProof/>
                    <w:webHidden/>
                  </w:rPr>
                  <w:fldChar w:fldCharType="end"/>
                </w:r>
              </w:hyperlink>
            </w:p>
            <w:p w14:paraId="35FC06B3" w14:textId="134248FA" w:rsidR="00233818" w:rsidRDefault="00233818">
              <w:pPr>
                <w:pStyle w:val="TOC2"/>
                <w:tabs>
                  <w:tab w:val="right" w:leader="dot" w:pos="9350"/>
                </w:tabs>
                <w:rPr>
                  <w:rFonts w:eastAsiaTheme="minorEastAsia"/>
                  <w:noProof/>
                  <w:kern w:val="2"/>
                  <w:lang w:val="en-US"/>
                  <w14:ligatures w14:val="standardContextual"/>
                </w:rPr>
              </w:pPr>
              <w:hyperlink w:anchor="_Toc228645495" w:history="1">
                <w:r w:rsidRPr="00A7274A">
                  <w:rPr>
                    <w:rStyle w:val="Hyperlink"/>
                    <w:noProof/>
                  </w:rPr>
                  <w:t>Controls, metrics, and culture</w:t>
                </w:r>
                <w:r>
                  <w:rPr>
                    <w:noProof/>
                    <w:webHidden/>
                  </w:rPr>
                  <w:tab/>
                </w:r>
                <w:r>
                  <w:rPr>
                    <w:noProof/>
                    <w:webHidden/>
                  </w:rPr>
                  <w:fldChar w:fldCharType="begin"/>
                </w:r>
                <w:r>
                  <w:rPr>
                    <w:noProof/>
                    <w:webHidden/>
                  </w:rPr>
                  <w:instrText xml:space="preserve"> PAGEREF _Toc228645495 \h </w:instrText>
                </w:r>
                <w:r>
                  <w:rPr>
                    <w:noProof/>
                    <w:webHidden/>
                  </w:rPr>
                </w:r>
                <w:r>
                  <w:rPr>
                    <w:noProof/>
                    <w:webHidden/>
                  </w:rPr>
                  <w:fldChar w:fldCharType="separate"/>
                </w:r>
                <w:r>
                  <w:rPr>
                    <w:noProof/>
                    <w:webHidden/>
                  </w:rPr>
                  <w:t>11</w:t>
                </w:r>
                <w:r>
                  <w:rPr>
                    <w:noProof/>
                    <w:webHidden/>
                  </w:rPr>
                  <w:fldChar w:fldCharType="end"/>
                </w:r>
              </w:hyperlink>
            </w:p>
            <w:p w14:paraId="2099CEF4" w14:textId="356C7786" w:rsidR="00233818" w:rsidRDefault="00233818">
              <w:pPr>
                <w:pStyle w:val="TOC2"/>
                <w:tabs>
                  <w:tab w:val="right" w:leader="dot" w:pos="9350"/>
                </w:tabs>
                <w:rPr>
                  <w:rFonts w:eastAsiaTheme="minorEastAsia"/>
                  <w:noProof/>
                  <w:kern w:val="2"/>
                  <w:lang w:val="en-US"/>
                  <w14:ligatures w14:val="standardContextual"/>
                </w:rPr>
              </w:pPr>
              <w:hyperlink w:anchor="_Toc228645496" w:history="1">
                <w:r w:rsidRPr="00A7274A">
                  <w:rPr>
                    <w:rStyle w:val="Hyperlink"/>
                    <w:noProof/>
                  </w:rPr>
                  <w:t>Legal and regulatory landscape</w:t>
                </w:r>
                <w:r>
                  <w:rPr>
                    <w:noProof/>
                    <w:webHidden/>
                  </w:rPr>
                  <w:tab/>
                </w:r>
                <w:r>
                  <w:rPr>
                    <w:noProof/>
                    <w:webHidden/>
                  </w:rPr>
                  <w:fldChar w:fldCharType="begin"/>
                </w:r>
                <w:r>
                  <w:rPr>
                    <w:noProof/>
                    <w:webHidden/>
                  </w:rPr>
                  <w:instrText xml:space="preserve"> PAGEREF _Toc228645496 \h </w:instrText>
                </w:r>
                <w:r>
                  <w:rPr>
                    <w:noProof/>
                    <w:webHidden/>
                  </w:rPr>
                </w:r>
                <w:r>
                  <w:rPr>
                    <w:noProof/>
                    <w:webHidden/>
                  </w:rPr>
                  <w:fldChar w:fldCharType="separate"/>
                </w:r>
                <w:r>
                  <w:rPr>
                    <w:noProof/>
                    <w:webHidden/>
                  </w:rPr>
                  <w:t>13</w:t>
                </w:r>
                <w:r>
                  <w:rPr>
                    <w:noProof/>
                    <w:webHidden/>
                  </w:rPr>
                  <w:fldChar w:fldCharType="end"/>
                </w:r>
              </w:hyperlink>
            </w:p>
            <w:p w14:paraId="47A53CE2" w14:textId="25D4C2FE" w:rsidR="00233818" w:rsidRDefault="00233818">
              <w:pPr>
                <w:pStyle w:val="TOC2"/>
                <w:tabs>
                  <w:tab w:val="right" w:leader="dot" w:pos="9350"/>
                </w:tabs>
                <w:rPr>
                  <w:rFonts w:eastAsiaTheme="minorEastAsia"/>
                  <w:noProof/>
                  <w:kern w:val="2"/>
                  <w:lang w:val="en-US"/>
                  <w14:ligatures w14:val="standardContextual"/>
                </w:rPr>
              </w:pPr>
              <w:hyperlink w:anchor="_Toc228645497" w:history="1">
                <w:r w:rsidRPr="00A7274A">
                  <w:rPr>
                    <w:rStyle w:val="Hyperlink"/>
                    <w:noProof/>
                  </w:rPr>
                  <w:t>Risks, case studies, and failure postmortems</w:t>
                </w:r>
                <w:r>
                  <w:rPr>
                    <w:noProof/>
                    <w:webHidden/>
                  </w:rPr>
                  <w:tab/>
                </w:r>
                <w:r>
                  <w:rPr>
                    <w:noProof/>
                    <w:webHidden/>
                  </w:rPr>
                  <w:fldChar w:fldCharType="begin"/>
                </w:r>
                <w:r>
                  <w:rPr>
                    <w:noProof/>
                    <w:webHidden/>
                  </w:rPr>
                  <w:instrText xml:space="preserve"> PAGEREF _Toc228645497 \h </w:instrText>
                </w:r>
                <w:r>
                  <w:rPr>
                    <w:noProof/>
                    <w:webHidden/>
                  </w:rPr>
                </w:r>
                <w:r>
                  <w:rPr>
                    <w:noProof/>
                    <w:webHidden/>
                  </w:rPr>
                  <w:fldChar w:fldCharType="separate"/>
                </w:r>
                <w:r>
                  <w:rPr>
                    <w:noProof/>
                    <w:webHidden/>
                  </w:rPr>
                  <w:t>14</w:t>
                </w:r>
                <w:r>
                  <w:rPr>
                    <w:noProof/>
                    <w:webHidden/>
                  </w:rPr>
                  <w:fldChar w:fldCharType="end"/>
                </w:r>
              </w:hyperlink>
            </w:p>
            <w:p w14:paraId="291D8691" w14:textId="100E4429" w:rsidR="00233818" w:rsidRDefault="00233818">
              <w:pPr>
                <w:pStyle w:val="TOC2"/>
                <w:tabs>
                  <w:tab w:val="right" w:leader="dot" w:pos="9350"/>
                </w:tabs>
                <w:rPr>
                  <w:rFonts w:eastAsiaTheme="minorEastAsia"/>
                  <w:noProof/>
                  <w:kern w:val="2"/>
                  <w:lang w:val="en-US"/>
                  <w14:ligatures w14:val="standardContextual"/>
                </w:rPr>
              </w:pPr>
              <w:hyperlink w:anchor="_Toc228645498" w:history="1">
                <w:r w:rsidRPr="00A7274A">
                  <w:rPr>
                    <w:rStyle w:val="Hyperlink"/>
                    <w:noProof/>
                  </w:rPr>
                  <w:t>Future of AI in the workplace and strategic recommendations</w:t>
                </w:r>
                <w:r>
                  <w:rPr>
                    <w:noProof/>
                    <w:webHidden/>
                  </w:rPr>
                  <w:tab/>
                </w:r>
                <w:r>
                  <w:rPr>
                    <w:noProof/>
                    <w:webHidden/>
                  </w:rPr>
                  <w:fldChar w:fldCharType="begin"/>
                </w:r>
                <w:r>
                  <w:rPr>
                    <w:noProof/>
                    <w:webHidden/>
                  </w:rPr>
                  <w:instrText xml:space="preserve"> PAGEREF _Toc228645498 \h </w:instrText>
                </w:r>
                <w:r>
                  <w:rPr>
                    <w:noProof/>
                    <w:webHidden/>
                  </w:rPr>
                </w:r>
                <w:r>
                  <w:rPr>
                    <w:noProof/>
                    <w:webHidden/>
                  </w:rPr>
                  <w:fldChar w:fldCharType="separate"/>
                </w:r>
                <w:r>
                  <w:rPr>
                    <w:noProof/>
                    <w:webHidden/>
                  </w:rPr>
                  <w:t>16</w:t>
                </w:r>
                <w:r>
                  <w:rPr>
                    <w:noProof/>
                    <w:webHidden/>
                  </w:rPr>
                  <w:fldChar w:fldCharType="end"/>
                </w:r>
              </w:hyperlink>
            </w:p>
            <w:p w14:paraId="0760BAE6" w14:textId="6CC021B2" w:rsidR="00233818" w:rsidRDefault="00233818">
              <w:r>
                <w:rPr>
                  <w:b/>
                  <w:bCs/>
                  <w:noProof/>
                </w:rPr>
                <w:fldChar w:fldCharType="end"/>
              </w:r>
            </w:p>
          </w:sdtContent>
        </w:sdt>
        <w:p w14:paraId="49E32F7F" w14:textId="7CC32770" w:rsidR="00233818" w:rsidRDefault="00233818"/>
        <w:p w14:paraId="6F9BB709" w14:textId="77777777" w:rsidR="00233818" w:rsidRDefault="00233818"/>
        <w:p w14:paraId="2FA42665" w14:textId="77777777" w:rsidR="00233818" w:rsidRDefault="00233818"/>
        <w:p w14:paraId="0AB556D6" w14:textId="77777777" w:rsidR="00233818" w:rsidRDefault="00233818"/>
        <w:p w14:paraId="129AAB56" w14:textId="77777777" w:rsidR="00233818" w:rsidRDefault="00233818"/>
        <w:p w14:paraId="23CE1E55" w14:textId="77777777" w:rsidR="00233818" w:rsidRDefault="00233818"/>
        <w:p w14:paraId="677A75A1" w14:textId="77777777" w:rsidR="00233818" w:rsidRDefault="00233818"/>
        <w:p w14:paraId="6BDF80FF" w14:textId="77777777" w:rsidR="00233818" w:rsidRDefault="00233818"/>
        <w:p w14:paraId="4AA78933" w14:textId="77777777" w:rsidR="00233818" w:rsidRDefault="00233818"/>
        <w:p w14:paraId="01ED3372" w14:textId="77777777" w:rsidR="00233818" w:rsidRDefault="00233818"/>
        <w:p w14:paraId="0CE88E49" w14:textId="77777777" w:rsidR="00233818" w:rsidRDefault="00233818"/>
        <w:p w14:paraId="3B4B771C" w14:textId="77777777" w:rsidR="00233818" w:rsidRDefault="00233818"/>
        <w:p w14:paraId="04112790" w14:textId="77777777" w:rsidR="00233818" w:rsidRDefault="00233818"/>
        <w:p w14:paraId="0001515B" w14:textId="77777777" w:rsidR="00233818" w:rsidRDefault="00233818"/>
        <w:p w14:paraId="428ED000" w14:textId="77777777" w:rsidR="00233818" w:rsidRDefault="00233818"/>
        <w:p w14:paraId="36386BE0" w14:textId="77777777" w:rsidR="00233818" w:rsidRDefault="00233818"/>
        <w:p w14:paraId="4402DABC" w14:textId="7BCE58FA" w:rsidR="00233818" w:rsidRDefault="00233818"/>
      </w:sdtContent>
    </w:sdt>
    <w:p w14:paraId="63E5BD8D" w14:textId="77777777" w:rsidR="000A07C0" w:rsidRDefault="00000000">
      <w:pPr>
        <w:pStyle w:val="Heading2"/>
      </w:pPr>
      <w:bookmarkStart w:id="3" w:name="executive-summary"/>
      <w:bookmarkStart w:id="4" w:name="_Toc228645491"/>
      <w:r>
        <w:lastRenderedPageBreak/>
        <w:t>Executive summary</w:t>
      </w:r>
      <w:bookmarkEnd w:id="4"/>
    </w:p>
    <w:p w14:paraId="7FA5C7A6" w14:textId="77777777" w:rsidR="000A07C0" w:rsidRDefault="00000000">
      <w:pPr>
        <w:pStyle w:val="FirstParagraph"/>
      </w:pPr>
      <w:r>
        <w:t xml:space="preserve">A real AI governance program is not a single policy, a chatbot ban list, or a one-time ethics review. It is an operating system for deciding which AI uses are allowed, under what controls, by whom, with what evidence, and with what ongoing monitoring. In practice, mature programs look much closer to enterprise risk management, security engineering, privacy governance, procurement, and internal audit working together than to a standalone “Responsible AI” committee. NIST frames this as a portfolio-wide capability to govern, map, measure, and manage AI risk across the lifecycle; ISO/IEC 42001 turns that into a management system with policies, objectives, processes, and continual improvement; the EU AI Act adds legally enforceable lifecycle obligations for certain systems and providers. </w:t>
      </w:r>
      <w:hyperlink r:id="rId8">
        <w:r>
          <w:rPr>
            <w:rStyle w:val="Hyperlink"/>
          </w:rPr>
          <w:t>[1]</w:t>
        </w:r>
      </w:hyperlink>
    </w:p>
    <w:p w14:paraId="15E92E0F" w14:textId="77777777" w:rsidR="000A07C0" w:rsidRDefault="00000000">
      <w:pPr>
        <w:pStyle w:val="BodyText"/>
      </w:pPr>
      <w:r>
        <w:t xml:space="preserve">The practical implication is straightforward: companies should assume that AI governance must cover </w:t>
      </w:r>
      <w:r w:rsidRPr="00242D23">
        <w:t>both AI they build and AI they buy</w:t>
      </w:r>
      <w:r>
        <w:t xml:space="preserve">, including classic ML, generative AI, agentic systems, embedded vendor features, copilots, automation rules, and model-enabled decisions that affect employees, customers, or the public. The governance perimeter must also include data flows, prompts, retrieval systems, APIs, logs, model updates, commercial terms, human review points, incidents, and retirement. Programs that exclude vendors, procurement, model updates, or employee “shadow AI” are incomplete by design. </w:t>
      </w:r>
      <w:hyperlink r:id="rId9">
        <w:r>
          <w:rPr>
            <w:rStyle w:val="Hyperlink"/>
          </w:rPr>
          <w:t>[2]</w:t>
        </w:r>
      </w:hyperlink>
    </w:p>
    <w:p w14:paraId="2D98A794" w14:textId="77777777" w:rsidR="000A07C0" w:rsidRDefault="00000000">
      <w:pPr>
        <w:pStyle w:val="BodyText"/>
      </w:pPr>
      <w:r>
        <w:t xml:space="preserve">For most organizations, the highest-priority risks are not speculative frontier harms. They are ordinary enterprise failures arriving through AI-shaped pathways: inaccurate outputs and confabulation; privacy and trade-secret leakage; prompt injection and insecure tool use; bias and unlawful discrimination; weak documentation and poor traceability; vendor and supply-chain dependency; deceptive or unsupported claims; and overreliance by employees who assume an authoritative answer is a correct one. Official guidance from NIST, the joint U.S. civil-rights and consumer-protection agencies, the FTC, OWASP, ENISA, OECD, and the ICO converges on these themes. </w:t>
      </w:r>
      <w:hyperlink r:id="rId10">
        <w:r>
          <w:rPr>
            <w:rStyle w:val="Hyperlink"/>
          </w:rPr>
          <w:t>[3]</w:t>
        </w:r>
      </w:hyperlink>
    </w:p>
    <w:p w14:paraId="5461A019" w14:textId="77777777" w:rsidR="000A07C0" w:rsidRDefault="00000000">
      <w:pPr>
        <w:pStyle w:val="BodyText"/>
      </w:pPr>
      <w:r>
        <w:t xml:space="preserve">The fastest path to adequacy is usually a staged roadmap. In the first 90 days, establish ownership, inventory AI use cases, publish an interim acceptable-use policy, create a risk-tiering method, gate new high-risk use cases, and implement basic security and privacy controls. In the next three to six months, stand up an approval workflow, vendor due diligence, lifecycle documentation, testing, incident response, and workforce training. In six to twelve months, operationalize monitoring, red teaming, internal audit, metrics dashboards, and board reporting. In twelve to twenty-four months, automate evidence collection, align to standards such as ISO/IEC 42001 where useful, and harden governance for agents, multimodal systems, and regulated use cases. That sequencing is an implementation estimate rather than a mandated timetable, but it is strongly implied by the breadth of controls expected in NIST, ISO, OECD due diligence, ICO guidance, and the EU AI Act. </w:t>
      </w:r>
      <w:hyperlink r:id="rId11">
        <w:r>
          <w:rPr>
            <w:rStyle w:val="Hyperlink"/>
          </w:rPr>
          <w:t>[4]</w:t>
        </w:r>
      </w:hyperlink>
    </w:p>
    <w:p w14:paraId="4047B5ED" w14:textId="77777777" w:rsidR="000A07C0" w:rsidRDefault="00000000">
      <w:pPr>
        <w:pStyle w:val="BodyText"/>
      </w:pPr>
      <w:r>
        <w:lastRenderedPageBreak/>
        <w:t xml:space="preserve">Because no industry, company size, or architecture constraints were specified, this report assumes a cross-industry organization in 2026 that both builds and procures AI; uses internal and third-party models; and may operate across U.S., EU, and UK contexts. Heavily regulated sectors such as healthcare, finance, education, employment, and critical infrastructure will need additional sector-specific controls. That is an important limitation: the structure below is comprehensive, but sector overlays may materially change the required artifacts, testing depth, record retention, and legal review process. </w:t>
      </w:r>
      <w:hyperlink r:id="rId12">
        <w:r>
          <w:rPr>
            <w:rStyle w:val="Hyperlink"/>
          </w:rPr>
          <w:t>[5]</w:t>
        </w:r>
      </w:hyperlink>
    </w:p>
    <w:p w14:paraId="1A1B0C95" w14:textId="77777777" w:rsidR="000A07C0" w:rsidRDefault="00000000">
      <w:pPr>
        <w:pStyle w:val="Heading2"/>
      </w:pPr>
      <w:bookmarkStart w:id="5" w:name="definitions-and-scope"/>
      <w:bookmarkStart w:id="6" w:name="_Toc228645492"/>
      <w:bookmarkEnd w:id="3"/>
      <w:r>
        <w:t>Definitions and scope</w:t>
      </w:r>
      <w:bookmarkEnd w:id="6"/>
    </w:p>
    <w:p w14:paraId="1ABE6E8C" w14:textId="77777777" w:rsidR="000A07C0" w:rsidRDefault="00000000">
      <w:pPr>
        <w:pStyle w:val="FirstParagraph"/>
      </w:pPr>
      <w:r>
        <w:t xml:space="preserve">An AI governance program is the system of policies, accountabilities, processes, controls, evidence, and oversight used to ensure that AI is deployed lawfully, safely, securely, reliably, and in a way that aligns with organizational risk appetite and values. NIST’s AI RMF describes the core problem as managing risks to individuals, organizations, and society and operationalizes that through four functions: govern, map, measure, and manage. ISO/IEC 42001 defines an AI management system as the interrelated organizational elements used to establish AI policies, objectives, and processes for the responsible development, provision, or use of AI. OECD extends the scope further by emphasizing due diligence across the value chain, including suppliers, users, and other stakeholders. </w:t>
      </w:r>
      <w:hyperlink r:id="rId13">
        <w:r>
          <w:rPr>
            <w:rStyle w:val="Hyperlink"/>
          </w:rPr>
          <w:t>[6]</w:t>
        </w:r>
      </w:hyperlink>
    </w:p>
    <w:p w14:paraId="16A3B01A" w14:textId="77777777" w:rsidR="000A07C0" w:rsidRDefault="00000000">
      <w:pPr>
        <w:pStyle w:val="BodyText"/>
      </w:pPr>
      <w:r>
        <w:t xml:space="preserve">That means the scope of governance should be broader than “models.” It should include: business use cases and decisions touched by AI; training and evaluation data; prompts and retrieval layers; external APIs and model endpoints; agents and tools the model can call; outputs and downstream actions; third-party embedded AI features in enterprise software; employee use of public AI tools; and post-deployment monitoring, incident response, and retirement. This wide scope reflects both modern technical </w:t>
      </w:r>
      <w:proofErr w:type="gramStart"/>
      <w:r>
        <w:t>architectures</w:t>
      </w:r>
      <w:proofErr w:type="gramEnd"/>
      <w:r>
        <w:t xml:space="preserve"> and the fact that regulation and enforcement increasingly focus on the lifecycle and the real-world effects of AI use, not just on the model artifact itself. </w:t>
      </w:r>
      <w:hyperlink r:id="rId14">
        <w:r>
          <w:rPr>
            <w:rStyle w:val="Hyperlink"/>
          </w:rPr>
          <w:t>[7]</w:t>
        </w:r>
      </w:hyperlink>
    </w:p>
    <w:p w14:paraId="20A7949D" w14:textId="77777777" w:rsidR="000A07C0" w:rsidRDefault="00000000">
      <w:pPr>
        <w:pStyle w:val="BodyText"/>
      </w:pPr>
      <w:r>
        <w:t xml:space="preserve">A useful working distinction is this. </w:t>
      </w:r>
      <w:r>
        <w:rPr>
          <w:b/>
          <w:bCs/>
        </w:rPr>
        <w:t>Responsible AI</w:t>
      </w:r>
      <w:r>
        <w:t xml:space="preserve"> is the objective. </w:t>
      </w:r>
      <w:r>
        <w:rPr>
          <w:b/>
          <w:bCs/>
        </w:rPr>
        <w:t>AI governance</w:t>
      </w:r>
      <w:r>
        <w:t xml:space="preserve"> is the management system that makes that objective enforceable. </w:t>
      </w:r>
      <w:r>
        <w:rPr>
          <w:b/>
          <w:bCs/>
        </w:rPr>
        <w:t>Model risk management</w:t>
      </w:r>
      <w:r>
        <w:t xml:space="preserve"> is a subset focused on model performance and decision risk. </w:t>
      </w:r>
      <w:r>
        <w:rPr>
          <w:b/>
          <w:bCs/>
        </w:rPr>
        <w:t>Data governance</w:t>
      </w:r>
      <w:r>
        <w:t xml:space="preserve"> is a subset focused on lawful, high-quality, fit-for-purpose data. </w:t>
      </w:r>
      <w:r>
        <w:rPr>
          <w:b/>
          <w:bCs/>
        </w:rPr>
        <w:t>Vendor risk management</w:t>
      </w:r>
      <w:r>
        <w:t xml:space="preserve"> is a subset focused on external providers and dependencies. In mature organizations these are coordinated, not separate silos. </w:t>
      </w:r>
      <w:hyperlink r:id="rId15">
        <w:r>
          <w:rPr>
            <w:rStyle w:val="Hyperlink"/>
          </w:rPr>
          <w:t>[8]</w:t>
        </w:r>
      </w:hyperlink>
    </w:p>
    <w:p w14:paraId="57FD033B" w14:textId="77777777" w:rsidR="000A07C0" w:rsidRDefault="00000000">
      <w:pPr>
        <w:pStyle w:val="BodyText"/>
      </w:pPr>
      <w:r>
        <w:t>The table below compares the major frameworks most organizations should use as anchors.</w:t>
      </w:r>
    </w:p>
    <w:p w14:paraId="200A47C2" w14:textId="77777777" w:rsidR="003457B1" w:rsidRDefault="003457B1">
      <w:pPr>
        <w:pStyle w:val="BodyText"/>
      </w:pPr>
    </w:p>
    <w:tbl>
      <w:tblPr>
        <w:tblStyle w:val="TableGrid"/>
        <w:tblW w:w="0" w:type="auto"/>
        <w:tblLook w:val="0020" w:firstRow="1" w:lastRow="0" w:firstColumn="0" w:lastColumn="0" w:noHBand="0" w:noVBand="0"/>
      </w:tblPr>
      <w:tblGrid>
        <w:gridCol w:w="1219"/>
        <w:gridCol w:w="2068"/>
        <w:gridCol w:w="2005"/>
        <w:gridCol w:w="1766"/>
        <w:gridCol w:w="1832"/>
        <w:gridCol w:w="686"/>
      </w:tblGrid>
      <w:tr w:rsidR="000A07C0" w14:paraId="3623DD17" w14:textId="77777777" w:rsidTr="003457B1">
        <w:tc>
          <w:tcPr>
            <w:tcW w:w="0" w:type="auto"/>
          </w:tcPr>
          <w:p w14:paraId="2071D11E" w14:textId="0164B03C" w:rsidR="000A07C0" w:rsidRPr="003457B1" w:rsidRDefault="00000000">
            <w:pPr>
              <w:pStyle w:val="Compact"/>
            </w:pPr>
            <w:r w:rsidRPr="003457B1">
              <w:t>Frame</w:t>
            </w:r>
            <w:r w:rsidR="003457B1">
              <w:t>-</w:t>
            </w:r>
            <w:r w:rsidRPr="003457B1">
              <w:t>work</w:t>
            </w:r>
          </w:p>
        </w:tc>
        <w:tc>
          <w:tcPr>
            <w:tcW w:w="0" w:type="auto"/>
          </w:tcPr>
          <w:p w14:paraId="497027D7" w14:textId="77777777" w:rsidR="000A07C0" w:rsidRDefault="00000000">
            <w:pPr>
              <w:pStyle w:val="Compact"/>
            </w:pPr>
            <w:r>
              <w:t>What it is</w:t>
            </w:r>
          </w:p>
        </w:tc>
        <w:tc>
          <w:tcPr>
            <w:tcW w:w="0" w:type="auto"/>
          </w:tcPr>
          <w:p w14:paraId="6EB548EE" w14:textId="77777777" w:rsidR="000A07C0" w:rsidRDefault="00000000">
            <w:pPr>
              <w:pStyle w:val="Compact"/>
            </w:pPr>
            <w:r>
              <w:t>Best use in a company program</w:t>
            </w:r>
          </w:p>
        </w:tc>
        <w:tc>
          <w:tcPr>
            <w:tcW w:w="0" w:type="auto"/>
          </w:tcPr>
          <w:p w14:paraId="3BBBCCE5" w14:textId="77777777" w:rsidR="000A07C0" w:rsidRDefault="00000000">
            <w:pPr>
              <w:pStyle w:val="Compact"/>
            </w:pPr>
            <w:r>
              <w:t>Strengths</w:t>
            </w:r>
          </w:p>
        </w:tc>
        <w:tc>
          <w:tcPr>
            <w:tcW w:w="0" w:type="auto"/>
          </w:tcPr>
          <w:p w14:paraId="2EB03F8A" w14:textId="77777777" w:rsidR="000A07C0" w:rsidRDefault="00000000">
            <w:pPr>
              <w:pStyle w:val="Compact"/>
            </w:pPr>
            <w:r>
              <w:t>Gaps / limits</w:t>
            </w:r>
          </w:p>
        </w:tc>
        <w:tc>
          <w:tcPr>
            <w:tcW w:w="0" w:type="auto"/>
          </w:tcPr>
          <w:p w14:paraId="3A825C83" w14:textId="0EC9A672" w:rsidR="000A07C0" w:rsidRDefault="00000000">
            <w:pPr>
              <w:pStyle w:val="Compact"/>
            </w:pPr>
            <w:r>
              <w:t>Sou</w:t>
            </w:r>
            <w:r w:rsidR="003457B1">
              <w:t>-</w:t>
            </w:r>
            <w:proofErr w:type="spellStart"/>
            <w:r>
              <w:t>rce</w:t>
            </w:r>
            <w:proofErr w:type="spellEnd"/>
          </w:p>
        </w:tc>
      </w:tr>
      <w:tr w:rsidR="000A07C0" w14:paraId="3DD9E40B" w14:textId="77777777" w:rsidTr="003457B1">
        <w:tc>
          <w:tcPr>
            <w:tcW w:w="0" w:type="auto"/>
          </w:tcPr>
          <w:p w14:paraId="18E58A7C" w14:textId="77777777" w:rsidR="000A07C0" w:rsidRDefault="00000000">
            <w:pPr>
              <w:pStyle w:val="Compact"/>
            </w:pPr>
            <w:r>
              <w:t>NIST AI RMF</w:t>
            </w:r>
          </w:p>
        </w:tc>
        <w:tc>
          <w:tcPr>
            <w:tcW w:w="0" w:type="auto"/>
          </w:tcPr>
          <w:p w14:paraId="38FE6355" w14:textId="77777777" w:rsidR="000A07C0" w:rsidRDefault="00000000">
            <w:pPr>
              <w:pStyle w:val="Compact"/>
            </w:pPr>
            <w:r>
              <w:t xml:space="preserve">Voluntary risk-management </w:t>
            </w:r>
            <w:r>
              <w:lastRenderedPageBreak/>
              <w:t>framework with four core functions: Govern, Map, Measure, Manage</w:t>
            </w:r>
          </w:p>
        </w:tc>
        <w:tc>
          <w:tcPr>
            <w:tcW w:w="0" w:type="auto"/>
          </w:tcPr>
          <w:p w14:paraId="123574C5" w14:textId="77777777" w:rsidR="000A07C0" w:rsidRDefault="00000000">
            <w:pPr>
              <w:pStyle w:val="Compact"/>
            </w:pPr>
            <w:r>
              <w:lastRenderedPageBreak/>
              <w:t xml:space="preserve">Build the operating model, </w:t>
            </w:r>
            <w:r>
              <w:lastRenderedPageBreak/>
              <w:t>control library, and implementation playbook across the AI lifecycle</w:t>
            </w:r>
          </w:p>
        </w:tc>
        <w:tc>
          <w:tcPr>
            <w:tcW w:w="0" w:type="auto"/>
          </w:tcPr>
          <w:p w14:paraId="27CD6895" w14:textId="77777777" w:rsidR="000A07C0" w:rsidRDefault="00000000">
            <w:pPr>
              <w:pStyle w:val="Compact"/>
            </w:pPr>
            <w:r>
              <w:lastRenderedPageBreak/>
              <w:t>Practical, lifecycle-</w:t>
            </w:r>
            <w:r>
              <w:lastRenderedPageBreak/>
              <w:t>based, cross-functional, flexible, profiles available for GenAI</w:t>
            </w:r>
          </w:p>
        </w:tc>
        <w:tc>
          <w:tcPr>
            <w:tcW w:w="0" w:type="auto"/>
          </w:tcPr>
          <w:p w14:paraId="0E31ECC1" w14:textId="77777777" w:rsidR="000A07C0" w:rsidRDefault="00000000">
            <w:pPr>
              <w:pStyle w:val="Compact"/>
            </w:pPr>
            <w:r>
              <w:lastRenderedPageBreak/>
              <w:t xml:space="preserve">Not a certification </w:t>
            </w:r>
            <w:r>
              <w:lastRenderedPageBreak/>
              <w:t>scheme; not a legal rulebook; needs organizational tailoring</w:t>
            </w:r>
          </w:p>
        </w:tc>
        <w:tc>
          <w:tcPr>
            <w:tcW w:w="0" w:type="auto"/>
          </w:tcPr>
          <w:p w14:paraId="2C546CAD" w14:textId="77777777" w:rsidR="000A07C0" w:rsidRDefault="00000000">
            <w:pPr>
              <w:pStyle w:val="Compact"/>
            </w:pPr>
            <w:hyperlink r:id="rId16">
              <w:r>
                <w:rPr>
                  <w:rStyle w:val="Hyperlink"/>
                </w:rPr>
                <w:t>[9]</w:t>
              </w:r>
            </w:hyperlink>
          </w:p>
        </w:tc>
      </w:tr>
      <w:tr w:rsidR="000A07C0" w14:paraId="4F9E502A" w14:textId="77777777" w:rsidTr="003457B1">
        <w:tc>
          <w:tcPr>
            <w:tcW w:w="0" w:type="auto"/>
          </w:tcPr>
          <w:p w14:paraId="6B0E4080" w14:textId="77777777" w:rsidR="000A07C0" w:rsidRDefault="00000000">
            <w:pPr>
              <w:pStyle w:val="Compact"/>
            </w:pPr>
            <w:r>
              <w:t>EU AI Act</w:t>
            </w:r>
          </w:p>
        </w:tc>
        <w:tc>
          <w:tcPr>
            <w:tcW w:w="0" w:type="auto"/>
          </w:tcPr>
          <w:p w14:paraId="1CCD6BC8" w14:textId="77777777" w:rsidR="000A07C0" w:rsidRDefault="00000000">
            <w:pPr>
              <w:pStyle w:val="Compact"/>
            </w:pPr>
            <w:r>
              <w:t>Binding, risk-based law covering providers and deployers, with phased application through 2027</w:t>
            </w:r>
          </w:p>
        </w:tc>
        <w:tc>
          <w:tcPr>
            <w:tcW w:w="0" w:type="auto"/>
          </w:tcPr>
          <w:p w14:paraId="0FACA61C" w14:textId="77777777" w:rsidR="000A07C0" w:rsidRDefault="00000000">
            <w:pPr>
              <w:pStyle w:val="Compact"/>
            </w:pPr>
            <w:r>
              <w:t>Legal classification, obligations, documentation, AI literacy, human oversight, QMS, provider/deployer duties</w:t>
            </w:r>
          </w:p>
        </w:tc>
        <w:tc>
          <w:tcPr>
            <w:tcW w:w="0" w:type="auto"/>
          </w:tcPr>
          <w:p w14:paraId="6D6D3A77" w14:textId="77777777" w:rsidR="000A07C0" w:rsidRDefault="00000000">
            <w:pPr>
              <w:pStyle w:val="Compact"/>
            </w:pPr>
            <w:r>
              <w:t>Clear legal obligations; strong lifecycle documentation and accountability model</w:t>
            </w:r>
          </w:p>
        </w:tc>
        <w:tc>
          <w:tcPr>
            <w:tcW w:w="0" w:type="auto"/>
          </w:tcPr>
          <w:p w14:paraId="1268CD36" w14:textId="77777777" w:rsidR="000A07C0" w:rsidRDefault="00000000">
            <w:pPr>
              <w:pStyle w:val="Compact"/>
            </w:pPr>
            <w:r>
              <w:t>Primarily an EU legal instrument; compliance details depend on role, system type, and guidance</w:t>
            </w:r>
          </w:p>
        </w:tc>
        <w:tc>
          <w:tcPr>
            <w:tcW w:w="0" w:type="auto"/>
          </w:tcPr>
          <w:p w14:paraId="59954C55" w14:textId="77777777" w:rsidR="000A07C0" w:rsidRDefault="00000000">
            <w:pPr>
              <w:pStyle w:val="Compact"/>
            </w:pPr>
            <w:hyperlink r:id="rId17">
              <w:r>
                <w:rPr>
                  <w:rStyle w:val="Hyperlink"/>
                </w:rPr>
                <w:t>[10]</w:t>
              </w:r>
            </w:hyperlink>
          </w:p>
        </w:tc>
      </w:tr>
      <w:tr w:rsidR="000A07C0" w14:paraId="42A19548" w14:textId="77777777" w:rsidTr="003457B1">
        <w:tc>
          <w:tcPr>
            <w:tcW w:w="0" w:type="auto"/>
          </w:tcPr>
          <w:p w14:paraId="07763BB2" w14:textId="77777777" w:rsidR="000A07C0" w:rsidRDefault="00000000">
            <w:pPr>
              <w:pStyle w:val="Compact"/>
            </w:pPr>
            <w:r>
              <w:t>ISO/IEC 42001</w:t>
            </w:r>
          </w:p>
        </w:tc>
        <w:tc>
          <w:tcPr>
            <w:tcW w:w="0" w:type="auto"/>
          </w:tcPr>
          <w:p w14:paraId="5DDCC65F" w14:textId="77777777" w:rsidR="000A07C0" w:rsidRDefault="00000000">
            <w:pPr>
              <w:pStyle w:val="Compact"/>
            </w:pPr>
            <w:r>
              <w:t>AI management system standard</w:t>
            </w:r>
          </w:p>
        </w:tc>
        <w:tc>
          <w:tcPr>
            <w:tcW w:w="0" w:type="auto"/>
          </w:tcPr>
          <w:p w14:paraId="79B318E1" w14:textId="77777777" w:rsidR="000A07C0" w:rsidRDefault="00000000">
            <w:pPr>
              <w:pStyle w:val="Compact"/>
            </w:pPr>
            <w:proofErr w:type="gramStart"/>
            <w:r>
              <w:t>Turn</w:t>
            </w:r>
            <w:proofErr w:type="gramEnd"/>
            <w:r>
              <w:t xml:space="preserve"> governance into an auditable management system with continual improvement</w:t>
            </w:r>
          </w:p>
        </w:tc>
        <w:tc>
          <w:tcPr>
            <w:tcW w:w="0" w:type="auto"/>
          </w:tcPr>
          <w:p w14:paraId="66CE5EEE" w14:textId="77777777" w:rsidR="000A07C0" w:rsidRDefault="00000000">
            <w:pPr>
              <w:pStyle w:val="Compact"/>
            </w:pPr>
            <w:r>
              <w:t>Board-to-operations structure; policy/process discipline; compatible with management-system practice</w:t>
            </w:r>
          </w:p>
        </w:tc>
        <w:tc>
          <w:tcPr>
            <w:tcW w:w="0" w:type="auto"/>
          </w:tcPr>
          <w:p w14:paraId="161CBF95" w14:textId="77777777" w:rsidR="000A07C0" w:rsidRDefault="00000000">
            <w:pPr>
              <w:pStyle w:val="Compact"/>
            </w:pPr>
            <w:r>
              <w:t>High-level; requires companion controls and legal interpretation; certification is not legal compliance</w:t>
            </w:r>
          </w:p>
        </w:tc>
        <w:tc>
          <w:tcPr>
            <w:tcW w:w="0" w:type="auto"/>
          </w:tcPr>
          <w:p w14:paraId="67EE78EA" w14:textId="77777777" w:rsidR="000A07C0" w:rsidRDefault="00000000">
            <w:pPr>
              <w:pStyle w:val="Compact"/>
            </w:pPr>
            <w:hyperlink r:id="rId18">
              <w:r>
                <w:rPr>
                  <w:rStyle w:val="Hyperlink"/>
                </w:rPr>
                <w:t>[11]</w:t>
              </w:r>
            </w:hyperlink>
          </w:p>
        </w:tc>
      </w:tr>
      <w:tr w:rsidR="000A07C0" w14:paraId="7A934C70" w14:textId="77777777" w:rsidTr="003457B1">
        <w:tc>
          <w:tcPr>
            <w:tcW w:w="0" w:type="auto"/>
          </w:tcPr>
          <w:p w14:paraId="4BE8B0B0" w14:textId="77777777" w:rsidR="000A07C0" w:rsidRDefault="00000000">
            <w:pPr>
              <w:pStyle w:val="Compact"/>
            </w:pPr>
            <w:r>
              <w:t>ISO/IEC 23894</w:t>
            </w:r>
          </w:p>
        </w:tc>
        <w:tc>
          <w:tcPr>
            <w:tcW w:w="0" w:type="auto"/>
          </w:tcPr>
          <w:p w14:paraId="38CF3F5B" w14:textId="77777777" w:rsidR="000A07C0" w:rsidRDefault="00000000">
            <w:pPr>
              <w:pStyle w:val="Compact"/>
            </w:pPr>
            <w:r>
              <w:t>AI risk-management guidance</w:t>
            </w:r>
          </w:p>
        </w:tc>
        <w:tc>
          <w:tcPr>
            <w:tcW w:w="0" w:type="auto"/>
          </w:tcPr>
          <w:p w14:paraId="01BE63B9" w14:textId="77777777" w:rsidR="000A07C0" w:rsidRDefault="00000000">
            <w:pPr>
              <w:pStyle w:val="Compact"/>
            </w:pPr>
            <w:r>
              <w:t>Integrate AI-specific risk methods into enterprise risk management</w:t>
            </w:r>
          </w:p>
        </w:tc>
        <w:tc>
          <w:tcPr>
            <w:tcW w:w="0" w:type="auto"/>
          </w:tcPr>
          <w:p w14:paraId="000465A3" w14:textId="77777777" w:rsidR="000A07C0" w:rsidRDefault="00000000">
            <w:pPr>
              <w:pStyle w:val="Compact"/>
            </w:pPr>
            <w:r>
              <w:t>Helps translate AI issues into risk processes and treatment</w:t>
            </w:r>
          </w:p>
        </w:tc>
        <w:tc>
          <w:tcPr>
            <w:tcW w:w="0" w:type="auto"/>
          </w:tcPr>
          <w:p w14:paraId="43BBBEE3" w14:textId="77777777" w:rsidR="000A07C0" w:rsidRDefault="00000000">
            <w:pPr>
              <w:pStyle w:val="Compact"/>
            </w:pPr>
            <w:r>
              <w:t>Guidance, not law; not enough by itself for procurement, documentation, or workforce controls</w:t>
            </w:r>
          </w:p>
        </w:tc>
        <w:tc>
          <w:tcPr>
            <w:tcW w:w="0" w:type="auto"/>
          </w:tcPr>
          <w:p w14:paraId="1496DC6F" w14:textId="77777777" w:rsidR="000A07C0" w:rsidRDefault="00000000">
            <w:pPr>
              <w:pStyle w:val="Compact"/>
            </w:pPr>
            <w:hyperlink r:id="rId19">
              <w:r>
                <w:rPr>
                  <w:rStyle w:val="Hyperlink"/>
                </w:rPr>
                <w:t>[12]</w:t>
              </w:r>
            </w:hyperlink>
          </w:p>
        </w:tc>
      </w:tr>
      <w:tr w:rsidR="000A07C0" w14:paraId="1AB54C54" w14:textId="77777777" w:rsidTr="003457B1">
        <w:tc>
          <w:tcPr>
            <w:tcW w:w="0" w:type="auto"/>
          </w:tcPr>
          <w:p w14:paraId="7FE854C7" w14:textId="77777777" w:rsidR="000A07C0" w:rsidRDefault="00000000">
            <w:pPr>
              <w:pStyle w:val="Compact"/>
            </w:pPr>
            <w:r>
              <w:t>OECD AI Principles and 2026 Due Diligence Guidance</w:t>
            </w:r>
          </w:p>
        </w:tc>
        <w:tc>
          <w:tcPr>
            <w:tcW w:w="0" w:type="auto"/>
          </w:tcPr>
          <w:p w14:paraId="0F094C4F" w14:textId="77777777" w:rsidR="000A07C0" w:rsidRDefault="00000000">
            <w:pPr>
              <w:pStyle w:val="Compact"/>
            </w:pPr>
            <w:r>
              <w:t>Intergovernmental principles and enterprise due-diligence guidance</w:t>
            </w:r>
          </w:p>
        </w:tc>
        <w:tc>
          <w:tcPr>
            <w:tcW w:w="0" w:type="auto"/>
          </w:tcPr>
          <w:p w14:paraId="72C12978" w14:textId="77777777" w:rsidR="000A07C0" w:rsidRDefault="00000000">
            <w:pPr>
              <w:pStyle w:val="Compact"/>
            </w:pPr>
            <w:r>
              <w:t>Set enterprise principles, value-chain expectations, and stakeholder-oriented risk due diligence</w:t>
            </w:r>
          </w:p>
        </w:tc>
        <w:tc>
          <w:tcPr>
            <w:tcW w:w="0" w:type="auto"/>
          </w:tcPr>
          <w:p w14:paraId="7760D853" w14:textId="77777777" w:rsidR="000A07C0" w:rsidRDefault="00000000">
            <w:pPr>
              <w:pStyle w:val="Compact"/>
            </w:pPr>
            <w:r>
              <w:t>Internationally interoperable; emphasizes human rights, labor, IP, transparency, and accountability</w:t>
            </w:r>
          </w:p>
        </w:tc>
        <w:tc>
          <w:tcPr>
            <w:tcW w:w="0" w:type="auto"/>
          </w:tcPr>
          <w:p w14:paraId="5957F28B" w14:textId="77777777" w:rsidR="000A07C0" w:rsidRDefault="00000000">
            <w:pPr>
              <w:pStyle w:val="Compact"/>
            </w:pPr>
            <w:r>
              <w:t>Nonbinding; must be mapped to internal procedures and local law</w:t>
            </w:r>
          </w:p>
        </w:tc>
        <w:tc>
          <w:tcPr>
            <w:tcW w:w="0" w:type="auto"/>
          </w:tcPr>
          <w:p w14:paraId="1E00AB38" w14:textId="77777777" w:rsidR="000A07C0" w:rsidRDefault="00000000">
            <w:pPr>
              <w:pStyle w:val="Compact"/>
            </w:pPr>
            <w:hyperlink r:id="rId20">
              <w:r>
                <w:rPr>
                  <w:rStyle w:val="Hyperlink"/>
                </w:rPr>
                <w:t>[13]</w:t>
              </w:r>
            </w:hyperlink>
          </w:p>
        </w:tc>
      </w:tr>
    </w:tbl>
    <w:p w14:paraId="383DE2D8" w14:textId="77777777" w:rsidR="000A07C0" w:rsidRDefault="00000000">
      <w:pPr>
        <w:pStyle w:val="BodyText"/>
      </w:pPr>
      <w:r>
        <w:lastRenderedPageBreak/>
        <w:t xml:space="preserve">In practice, the strongest architecture is usually: </w:t>
      </w:r>
      <w:r>
        <w:rPr>
          <w:b/>
          <w:bCs/>
        </w:rPr>
        <w:t>NIST for operating design, ISO/IEC 42001 for management-system discipline, OECD for principles and value-chain due diligence, and the EU AI Act or sector laws for legal obligations where applicable.</w:t>
      </w:r>
      <w:r>
        <w:t xml:space="preserve"> That combined approach is more robust than choosing only one framework. </w:t>
      </w:r>
      <w:hyperlink r:id="rId21">
        <w:r>
          <w:rPr>
            <w:rStyle w:val="Hyperlink"/>
          </w:rPr>
          <w:t>[14]</w:t>
        </w:r>
      </w:hyperlink>
    </w:p>
    <w:p w14:paraId="39345861" w14:textId="77777777" w:rsidR="000A07C0" w:rsidRDefault="00000000">
      <w:pPr>
        <w:pStyle w:val="Heading2"/>
      </w:pPr>
      <w:bookmarkStart w:id="7" w:name="X055890190c5d658175c03f0e5e9d1d75dbaf25b"/>
      <w:bookmarkStart w:id="8" w:name="_Toc228645493"/>
      <w:bookmarkEnd w:id="5"/>
      <w:r>
        <w:t>What a comprehensive governance program looks like</w:t>
      </w:r>
      <w:bookmarkEnd w:id="8"/>
    </w:p>
    <w:p w14:paraId="282F47E6" w14:textId="77777777" w:rsidR="000A07C0" w:rsidRDefault="00000000">
      <w:pPr>
        <w:pStyle w:val="FirstParagraph"/>
      </w:pPr>
      <w:r>
        <w:t xml:space="preserve">A comprehensive program </w:t>
      </w:r>
      <w:proofErr w:type="gramStart"/>
      <w:r>
        <w:t>has to</w:t>
      </w:r>
      <w:proofErr w:type="gramEnd"/>
      <w:r>
        <w:t xml:space="preserve"> answer five questions every time AI is used. </w:t>
      </w:r>
      <w:r>
        <w:rPr>
          <w:b/>
          <w:bCs/>
        </w:rPr>
        <w:t xml:space="preserve">What is the </w:t>
      </w:r>
      <w:proofErr w:type="gramStart"/>
      <w:r>
        <w:rPr>
          <w:b/>
          <w:bCs/>
        </w:rPr>
        <w:t>use case</w:t>
      </w:r>
      <w:proofErr w:type="gramEnd"/>
      <w:r>
        <w:rPr>
          <w:b/>
          <w:bCs/>
        </w:rPr>
        <w:t xml:space="preserve">? Why are we using AI here? What </w:t>
      </w:r>
      <w:proofErr w:type="gramStart"/>
      <w:r>
        <w:rPr>
          <w:b/>
          <w:bCs/>
        </w:rPr>
        <w:t>harms</w:t>
      </w:r>
      <w:proofErr w:type="gramEnd"/>
      <w:r>
        <w:rPr>
          <w:b/>
          <w:bCs/>
        </w:rPr>
        <w:t xml:space="preserve"> could occur? What controls are required before launch? How will we know if performance, legality, or safety changes after launch?</w:t>
      </w:r>
      <w:r>
        <w:t xml:space="preserve"> Mature governance converts those questions into formal intake, classification, approval, evidence, monitoring, and escalation steps. NIST’s Govern function explicitly ties AI governance to existing organizational governance and risk controls, while its Measure function emphasizes methods, metrics, unacceptable performance thresholds, and post-deployment assessment. ISO/IEC 42001 similarly expects policies, procedures, objectives, risk treatment, and continual improvement. </w:t>
      </w:r>
      <w:hyperlink r:id="rId22">
        <w:r>
          <w:rPr>
            <w:rStyle w:val="Hyperlink"/>
          </w:rPr>
          <w:t>[15]</w:t>
        </w:r>
      </w:hyperlink>
    </w:p>
    <w:p w14:paraId="38E6010C" w14:textId="77777777" w:rsidR="000A07C0" w:rsidRDefault="00000000">
      <w:pPr>
        <w:pStyle w:val="BodyText"/>
      </w:pPr>
      <w:r>
        <w:t>The program should include the following core components, all of which are necessary rather than optional:</w:t>
      </w:r>
    </w:p>
    <w:tbl>
      <w:tblPr>
        <w:tblStyle w:val="TableGrid"/>
        <w:tblW w:w="0" w:type="auto"/>
        <w:tblLook w:val="0020" w:firstRow="1" w:lastRow="0" w:firstColumn="0" w:lastColumn="0" w:noHBand="0" w:noVBand="0"/>
      </w:tblPr>
      <w:tblGrid>
        <w:gridCol w:w="2013"/>
        <w:gridCol w:w="4134"/>
        <w:gridCol w:w="2352"/>
        <w:gridCol w:w="1077"/>
      </w:tblGrid>
      <w:tr w:rsidR="000A07C0" w14:paraId="3F1705A8" w14:textId="77777777" w:rsidTr="003457B1">
        <w:tc>
          <w:tcPr>
            <w:tcW w:w="0" w:type="auto"/>
          </w:tcPr>
          <w:p w14:paraId="6AC2EF91" w14:textId="77777777" w:rsidR="000A07C0" w:rsidRDefault="00000000">
            <w:pPr>
              <w:pStyle w:val="Compact"/>
            </w:pPr>
            <w:r>
              <w:t>Component</w:t>
            </w:r>
          </w:p>
        </w:tc>
        <w:tc>
          <w:tcPr>
            <w:tcW w:w="0" w:type="auto"/>
          </w:tcPr>
          <w:p w14:paraId="536D6F15" w14:textId="77777777" w:rsidR="000A07C0" w:rsidRDefault="00000000">
            <w:pPr>
              <w:pStyle w:val="Compact"/>
            </w:pPr>
            <w:r>
              <w:t>What good looks like</w:t>
            </w:r>
          </w:p>
        </w:tc>
        <w:tc>
          <w:tcPr>
            <w:tcW w:w="0" w:type="auto"/>
          </w:tcPr>
          <w:p w14:paraId="284B5791" w14:textId="77777777" w:rsidR="000A07C0" w:rsidRDefault="00000000">
            <w:pPr>
              <w:pStyle w:val="Compact"/>
            </w:pPr>
            <w:r>
              <w:t>Minimum artifact or evidence</w:t>
            </w:r>
          </w:p>
        </w:tc>
        <w:tc>
          <w:tcPr>
            <w:tcW w:w="0" w:type="auto"/>
          </w:tcPr>
          <w:p w14:paraId="6D6B0E78" w14:textId="77777777" w:rsidR="000A07C0" w:rsidRDefault="00000000">
            <w:pPr>
              <w:pStyle w:val="Compact"/>
            </w:pPr>
            <w:r>
              <w:t>Source anchor</w:t>
            </w:r>
          </w:p>
        </w:tc>
      </w:tr>
      <w:tr w:rsidR="000A07C0" w14:paraId="515BBF64" w14:textId="77777777" w:rsidTr="003457B1">
        <w:tc>
          <w:tcPr>
            <w:tcW w:w="0" w:type="auto"/>
          </w:tcPr>
          <w:p w14:paraId="7140E5CE" w14:textId="77777777" w:rsidR="000A07C0" w:rsidRDefault="00000000">
            <w:pPr>
              <w:pStyle w:val="Compact"/>
            </w:pPr>
            <w:r>
              <w:t>Policy and standards</w:t>
            </w:r>
          </w:p>
        </w:tc>
        <w:tc>
          <w:tcPr>
            <w:tcW w:w="0" w:type="auto"/>
          </w:tcPr>
          <w:p w14:paraId="61BCFFA1" w14:textId="77777777" w:rsidR="000A07C0" w:rsidRDefault="00000000">
            <w:pPr>
              <w:pStyle w:val="Compact"/>
            </w:pPr>
            <w:r>
              <w:t>Clear AI policy hierarchy: enterprise principles, acceptable use, restricted uses, high-risk escalation, documentation rules, exceptions</w:t>
            </w:r>
          </w:p>
        </w:tc>
        <w:tc>
          <w:tcPr>
            <w:tcW w:w="0" w:type="auto"/>
          </w:tcPr>
          <w:p w14:paraId="2AA79DA1" w14:textId="77777777" w:rsidR="000A07C0" w:rsidRDefault="00000000">
            <w:pPr>
              <w:pStyle w:val="Compact"/>
            </w:pPr>
            <w:r>
              <w:t>AI policy suite and standards register</w:t>
            </w:r>
          </w:p>
        </w:tc>
        <w:tc>
          <w:tcPr>
            <w:tcW w:w="0" w:type="auto"/>
          </w:tcPr>
          <w:p w14:paraId="7B56F0AB" w14:textId="77777777" w:rsidR="000A07C0" w:rsidRDefault="00000000">
            <w:pPr>
              <w:pStyle w:val="Compact"/>
            </w:pPr>
            <w:hyperlink r:id="rId23">
              <w:r>
                <w:rPr>
                  <w:rStyle w:val="Hyperlink"/>
                </w:rPr>
                <w:t>[16]</w:t>
              </w:r>
            </w:hyperlink>
          </w:p>
        </w:tc>
      </w:tr>
      <w:tr w:rsidR="000A07C0" w14:paraId="641C8C5B" w14:textId="77777777" w:rsidTr="003457B1">
        <w:tc>
          <w:tcPr>
            <w:tcW w:w="0" w:type="auto"/>
          </w:tcPr>
          <w:p w14:paraId="47CA2F20" w14:textId="77777777" w:rsidR="000A07C0" w:rsidRDefault="00000000">
            <w:pPr>
              <w:pStyle w:val="Compact"/>
            </w:pPr>
            <w:r>
              <w:t>Risk assessment</w:t>
            </w:r>
          </w:p>
        </w:tc>
        <w:tc>
          <w:tcPr>
            <w:tcW w:w="0" w:type="auto"/>
          </w:tcPr>
          <w:p w14:paraId="327EC9A0" w14:textId="77777777" w:rsidR="000A07C0" w:rsidRDefault="00000000">
            <w:pPr>
              <w:pStyle w:val="Compact"/>
            </w:pPr>
            <w:r>
              <w:t>Use-case intake, risk tiering, impact assessment, legal review, security review, approval gates</w:t>
            </w:r>
          </w:p>
        </w:tc>
        <w:tc>
          <w:tcPr>
            <w:tcW w:w="0" w:type="auto"/>
          </w:tcPr>
          <w:p w14:paraId="4509C149" w14:textId="77777777" w:rsidR="000A07C0" w:rsidRDefault="00000000">
            <w:pPr>
              <w:pStyle w:val="Compact"/>
            </w:pPr>
            <w:r>
              <w:t>AI impact assessment template and risk matrix</w:t>
            </w:r>
          </w:p>
        </w:tc>
        <w:tc>
          <w:tcPr>
            <w:tcW w:w="0" w:type="auto"/>
          </w:tcPr>
          <w:p w14:paraId="2248F645" w14:textId="77777777" w:rsidR="000A07C0" w:rsidRDefault="00000000">
            <w:pPr>
              <w:pStyle w:val="Compact"/>
            </w:pPr>
            <w:hyperlink r:id="rId24">
              <w:r>
                <w:rPr>
                  <w:rStyle w:val="Hyperlink"/>
                </w:rPr>
                <w:t>[17]</w:t>
              </w:r>
            </w:hyperlink>
          </w:p>
        </w:tc>
      </w:tr>
      <w:tr w:rsidR="000A07C0" w14:paraId="70D9BEF7" w14:textId="77777777" w:rsidTr="003457B1">
        <w:tc>
          <w:tcPr>
            <w:tcW w:w="0" w:type="auto"/>
          </w:tcPr>
          <w:p w14:paraId="3641705A" w14:textId="77777777" w:rsidR="000A07C0" w:rsidRDefault="00000000">
            <w:pPr>
              <w:pStyle w:val="Compact"/>
            </w:pPr>
            <w:r>
              <w:t>Roles and org structure</w:t>
            </w:r>
          </w:p>
        </w:tc>
        <w:tc>
          <w:tcPr>
            <w:tcW w:w="0" w:type="auto"/>
          </w:tcPr>
          <w:p w14:paraId="077FF8C0" w14:textId="77777777" w:rsidR="000A07C0" w:rsidRDefault="00000000">
            <w:pPr>
              <w:pStyle w:val="Compact"/>
            </w:pPr>
            <w:r>
              <w:t>Clear ownership across business, technical, legal, risk, privacy, security, audit, and procurement</w:t>
            </w:r>
          </w:p>
        </w:tc>
        <w:tc>
          <w:tcPr>
            <w:tcW w:w="0" w:type="auto"/>
          </w:tcPr>
          <w:p w14:paraId="53769F3D" w14:textId="77777777" w:rsidR="000A07C0" w:rsidRDefault="00000000">
            <w:pPr>
              <w:pStyle w:val="Compact"/>
            </w:pPr>
            <w:r>
              <w:t>RACI and committee charter</w:t>
            </w:r>
          </w:p>
        </w:tc>
        <w:tc>
          <w:tcPr>
            <w:tcW w:w="0" w:type="auto"/>
          </w:tcPr>
          <w:p w14:paraId="08C7B790" w14:textId="77777777" w:rsidR="000A07C0" w:rsidRDefault="00000000">
            <w:pPr>
              <w:pStyle w:val="Compact"/>
            </w:pPr>
            <w:hyperlink r:id="rId25">
              <w:r>
                <w:rPr>
                  <w:rStyle w:val="Hyperlink"/>
                </w:rPr>
                <w:t>[18]</w:t>
              </w:r>
            </w:hyperlink>
          </w:p>
        </w:tc>
      </w:tr>
      <w:tr w:rsidR="000A07C0" w14:paraId="768107E0" w14:textId="77777777" w:rsidTr="003457B1">
        <w:tc>
          <w:tcPr>
            <w:tcW w:w="0" w:type="auto"/>
          </w:tcPr>
          <w:p w14:paraId="6C7FF7A6" w14:textId="77777777" w:rsidR="000A07C0" w:rsidRDefault="00000000">
            <w:pPr>
              <w:pStyle w:val="Compact"/>
            </w:pPr>
            <w:r>
              <w:t>Data governance</w:t>
            </w:r>
          </w:p>
        </w:tc>
        <w:tc>
          <w:tcPr>
            <w:tcW w:w="0" w:type="auto"/>
          </w:tcPr>
          <w:p w14:paraId="044C8721" w14:textId="77777777" w:rsidR="000A07C0" w:rsidRDefault="00000000">
            <w:pPr>
              <w:pStyle w:val="Compact"/>
            </w:pPr>
            <w:r>
              <w:t>Data provenance, quality, minimization, lawful basis, retention, access control, sensitive-data restrictions</w:t>
            </w:r>
          </w:p>
        </w:tc>
        <w:tc>
          <w:tcPr>
            <w:tcW w:w="0" w:type="auto"/>
          </w:tcPr>
          <w:p w14:paraId="06E8BF27" w14:textId="77777777" w:rsidR="000A07C0" w:rsidRDefault="00000000">
            <w:pPr>
              <w:pStyle w:val="Compact"/>
            </w:pPr>
            <w:r>
              <w:t>Data inventory, dataset datasheet, privacy review</w:t>
            </w:r>
          </w:p>
        </w:tc>
        <w:tc>
          <w:tcPr>
            <w:tcW w:w="0" w:type="auto"/>
          </w:tcPr>
          <w:p w14:paraId="29F9FD8E" w14:textId="77777777" w:rsidR="000A07C0" w:rsidRDefault="00000000">
            <w:pPr>
              <w:pStyle w:val="Compact"/>
            </w:pPr>
            <w:hyperlink r:id="rId26">
              <w:r>
                <w:rPr>
                  <w:rStyle w:val="Hyperlink"/>
                </w:rPr>
                <w:t>[19]</w:t>
              </w:r>
            </w:hyperlink>
          </w:p>
        </w:tc>
      </w:tr>
      <w:tr w:rsidR="000A07C0" w14:paraId="7BFBC518" w14:textId="77777777" w:rsidTr="003457B1">
        <w:tc>
          <w:tcPr>
            <w:tcW w:w="0" w:type="auto"/>
          </w:tcPr>
          <w:p w14:paraId="4F180DAA" w14:textId="77777777" w:rsidR="000A07C0" w:rsidRDefault="00000000">
            <w:pPr>
              <w:pStyle w:val="Compact"/>
            </w:pPr>
            <w:r>
              <w:t>Model lifecycle management</w:t>
            </w:r>
          </w:p>
        </w:tc>
        <w:tc>
          <w:tcPr>
            <w:tcW w:w="0" w:type="auto"/>
          </w:tcPr>
          <w:p w14:paraId="68D1252C" w14:textId="77777777" w:rsidR="000A07C0" w:rsidRDefault="00000000">
            <w:pPr>
              <w:pStyle w:val="Compact"/>
            </w:pPr>
            <w:r>
              <w:t>Design, testing, validation, deployment, change control, monitoring, decommissioning</w:t>
            </w:r>
          </w:p>
        </w:tc>
        <w:tc>
          <w:tcPr>
            <w:tcW w:w="0" w:type="auto"/>
          </w:tcPr>
          <w:p w14:paraId="3A8BF0D6" w14:textId="77777777" w:rsidR="000A07C0" w:rsidRDefault="00000000">
            <w:pPr>
              <w:pStyle w:val="Compact"/>
            </w:pPr>
            <w:r>
              <w:t>Model card or system card, test report, release approval</w:t>
            </w:r>
          </w:p>
        </w:tc>
        <w:tc>
          <w:tcPr>
            <w:tcW w:w="0" w:type="auto"/>
          </w:tcPr>
          <w:p w14:paraId="25A31224" w14:textId="77777777" w:rsidR="000A07C0" w:rsidRDefault="00000000">
            <w:pPr>
              <w:pStyle w:val="Compact"/>
            </w:pPr>
            <w:hyperlink r:id="rId27">
              <w:r>
                <w:rPr>
                  <w:rStyle w:val="Hyperlink"/>
                </w:rPr>
                <w:t>[20]</w:t>
              </w:r>
            </w:hyperlink>
          </w:p>
        </w:tc>
      </w:tr>
      <w:tr w:rsidR="000A07C0" w14:paraId="5EA8869C" w14:textId="77777777" w:rsidTr="003457B1">
        <w:tc>
          <w:tcPr>
            <w:tcW w:w="0" w:type="auto"/>
          </w:tcPr>
          <w:p w14:paraId="04C517A4" w14:textId="77777777" w:rsidR="000A07C0" w:rsidRDefault="00000000">
            <w:pPr>
              <w:pStyle w:val="Compact"/>
            </w:pPr>
            <w:r>
              <w:t xml:space="preserve">Procurement and vendor </w:t>
            </w:r>
            <w:r>
              <w:lastRenderedPageBreak/>
              <w:t>management</w:t>
            </w:r>
          </w:p>
        </w:tc>
        <w:tc>
          <w:tcPr>
            <w:tcW w:w="0" w:type="auto"/>
          </w:tcPr>
          <w:p w14:paraId="1828B40A" w14:textId="77777777" w:rsidR="000A07C0" w:rsidRDefault="00000000">
            <w:pPr>
              <w:pStyle w:val="Compact"/>
            </w:pPr>
            <w:r>
              <w:lastRenderedPageBreak/>
              <w:t xml:space="preserve">AI-specific due diligence, contract terms, dependency tracking, change </w:t>
            </w:r>
            <w:r>
              <w:lastRenderedPageBreak/>
              <w:t>notifications, testing obligations</w:t>
            </w:r>
          </w:p>
        </w:tc>
        <w:tc>
          <w:tcPr>
            <w:tcW w:w="0" w:type="auto"/>
          </w:tcPr>
          <w:p w14:paraId="6C8FA5B8" w14:textId="77777777" w:rsidR="000A07C0" w:rsidRDefault="00000000">
            <w:pPr>
              <w:pStyle w:val="Compact"/>
            </w:pPr>
            <w:r>
              <w:lastRenderedPageBreak/>
              <w:t xml:space="preserve">Vendor questionnaire and AI </w:t>
            </w:r>
            <w:r>
              <w:lastRenderedPageBreak/>
              <w:t>addendum</w:t>
            </w:r>
          </w:p>
        </w:tc>
        <w:tc>
          <w:tcPr>
            <w:tcW w:w="0" w:type="auto"/>
          </w:tcPr>
          <w:p w14:paraId="5DD565A0" w14:textId="77777777" w:rsidR="000A07C0" w:rsidRDefault="00000000">
            <w:pPr>
              <w:pStyle w:val="Compact"/>
            </w:pPr>
            <w:hyperlink r:id="rId28">
              <w:r>
                <w:rPr>
                  <w:rStyle w:val="Hyperlink"/>
                </w:rPr>
                <w:t>[21]</w:t>
              </w:r>
            </w:hyperlink>
          </w:p>
        </w:tc>
      </w:tr>
      <w:tr w:rsidR="000A07C0" w14:paraId="1422A9EA" w14:textId="77777777" w:rsidTr="003457B1">
        <w:tc>
          <w:tcPr>
            <w:tcW w:w="0" w:type="auto"/>
          </w:tcPr>
          <w:p w14:paraId="02410690" w14:textId="77777777" w:rsidR="000A07C0" w:rsidRDefault="00000000">
            <w:pPr>
              <w:pStyle w:val="Compact"/>
            </w:pPr>
            <w:r>
              <w:t>Security</w:t>
            </w:r>
          </w:p>
        </w:tc>
        <w:tc>
          <w:tcPr>
            <w:tcW w:w="0" w:type="auto"/>
          </w:tcPr>
          <w:p w14:paraId="13A56768" w14:textId="77777777" w:rsidR="000A07C0" w:rsidRDefault="00000000">
            <w:pPr>
              <w:pStyle w:val="Compact"/>
            </w:pPr>
            <w:r>
              <w:t>Threat modeling, access control, prompt-injection defenses, output validation, logging, red teaming, dependency review</w:t>
            </w:r>
          </w:p>
        </w:tc>
        <w:tc>
          <w:tcPr>
            <w:tcW w:w="0" w:type="auto"/>
          </w:tcPr>
          <w:p w14:paraId="4B7CB0E3" w14:textId="77777777" w:rsidR="000A07C0" w:rsidRDefault="00000000">
            <w:pPr>
              <w:pStyle w:val="Compact"/>
            </w:pPr>
            <w:r>
              <w:t>Threat model, security review, red-team findings</w:t>
            </w:r>
          </w:p>
        </w:tc>
        <w:tc>
          <w:tcPr>
            <w:tcW w:w="0" w:type="auto"/>
          </w:tcPr>
          <w:p w14:paraId="099AD67A" w14:textId="77777777" w:rsidR="000A07C0" w:rsidRDefault="00000000">
            <w:pPr>
              <w:pStyle w:val="Compact"/>
            </w:pPr>
            <w:hyperlink r:id="rId29">
              <w:r>
                <w:rPr>
                  <w:rStyle w:val="Hyperlink"/>
                </w:rPr>
                <w:t>[22]</w:t>
              </w:r>
            </w:hyperlink>
          </w:p>
        </w:tc>
      </w:tr>
      <w:tr w:rsidR="000A07C0" w14:paraId="21EC5EB3" w14:textId="77777777" w:rsidTr="003457B1">
        <w:tc>
          <w:tcPr>
            <w:tcW w:w="0" w:type="auto"/>
          </w:tcPr>
          <w:p w14:paraId="10DD3434" w14:textId="77777777" w:rsidR="000A07C0" w:rsidRDefault="00000000">
            <w:pPr>
              <w:pStyle w:val="Compact"/>
            </w:pPr>
            <w:r>
              <w:t>Privacy and compliance</w:t>
            </w:r>
          </w:p>
        </w:tc>
        <w:tc>
          <w:tcPr>
            <w:tcW w:w="0" w:type="auto"/>
          </w:tcPr>
          <w:p w14:paraId="1128593A" w14:textId="77777777" w:rsidR="000A07C0" w:rsidRDefault="00000000">
            <w:pPr>
              <w:pStyle w:val="Compact"/>
            </w:pPr>
            <w:r>
              <w:t>Lawful basis, notice, rights handling, transparency, automated-decision safeguards, records management</w:t>
            </w:r>
          </w:p>
        </w:tc>
        <w:tc>
          <w:tcPr>
            <w:tcW w:w="0" w:type="auto"/>
          </w:tcPr>
          <w:p w14:paraId="53F3D199" w14:textId="77777777" w:rsidR="000A07C0" w:rsidRDefault="00000000">
            <w:pPr>
              <w:pStyle w:val="Compact"/>
            </w:pPr>
            <w:r>
              <w:t>DPIA/AIIA package, notices, rights-handling procedure</w:t>
            </w:r>
          </w:p>
        </w:tc>
        <w:tc>
          <w:tcPr>
            <w:tcW w:w="0" w:type="auto"/>
          </w:tcPr>
          <w:p w14:paraId="4BBCB804" w14:textId="77777777" w:rsidR="000A07C0" w:rsidRDefault="00000000">
            <w:pPr>
              <w:pStyle w:val="Compact"/>
            </w:pPr>
            <w:hyperlink r:id="rId30">
              <w:r>
                <w:rPr>
                  <w:rStyle w:val="Hyperlink"/>
                </w:rPr>
                <w:t>[23]</w:t>
              </w:r>
            </w:hyperlink>
          </w:p>
        </w:tc>
      </w:tr>
      <w:tr w:rsidR="000A07C0" w14:paraId="43D86E35" w14:textId="77777777" w:rsidTr="003457B1">
        <w:tc>
          <w:tcPr>
            <w:tcW w:w="0" w:type="auto"/>
          </w:tcPr>
          <w:p w14:paraId="03F9CC6D" w14:textId="77777777" w:rsidR="000A07C0" w:rsidRDefault="00000000">
            <w:pPr>
              <w:pStyle w:val="Compact"/>
            </w:pPr>
            <w:r>
              <w:t>Audit and assurance</w:t>
            </w:r>
          </w:p>
        </w:tc>
        <w:tc>
          <w:tcPr>
            <w:tcW w:w="0" w:type="auto"/>
          </w:tcPr>
          <w:p w14:paraId="21242B72" w14:textId="77777777" w:rsidR="000A07C0" w:rsidRDefault="00000000">
            <w:pPr>
              <w:pStyle w:val="Compact"/>
            </w:pPr>
            <w:r>
              <w:t>Independent review of evidence, control effectiveness, and compliance with policies and law</w:t>
            </w:r>
          </w:p>
        </w:tc>
        <w:tc>
          <w:tcPr>
            <w:tcW w:w="0" w:type="auto"/>
          </w:tcPr>
          <w:p w14:paraId="03A37096" w14:textId="77777777" w:rsidR="000A07C0" w:rsidRDefault="00000000">
            <w:pPr>
              <w:pStyle w:val="Compact"/>
            </w:pPr>
            <w:r>
              <w:t>Audit plan and periodic assurance reports</w:t>
            </w:r>
          </w:p>
        </w:tc>
        <w:tc>
          <w:tcPr>
            <w:tcW w:w="0" w:type="auto"/>
          </w:tcPr>
          <w:p w14:paraId="3022D880" w14:textId="77777777" w:rsidR="000A07C0" w:rsidRDefault="00000000">
            <w:pPr>
              <w:pStyle w:val="Compact"/>
            </w:pPr>
            <w:hyperlink r:id="rId31">
              <w:r>
                <w:rPr>
                  <w:rStyle w:val="Hyperlink"/>
                </w:rPr>
                <w:t>[24]</w:t>
              </w:r>
            </w:hyperlink>
          </w:p>
        </w:tc>
      </w:tr>
      <w:tr w:rsidR="000A07C0" w14:paraId="0C816A31" w14:textId="77777777" w:rsidTr="003457B1">
        <w:tc>
          <w:tcPr>
            <w:tcW w:w="0" w:type="auto"/>
          </w:tcPr>
          <w:p w14:paraId="6108BA93" w14:textId="77777777" w:rsidR="000A07C0" w:rsidRDefault="00000000">
            <w:pPr>
              <w:pStyle w:val="Compact"/>
            </w:pPr>
            <w:r>
              <w:t>Incident response</w:t>
            </w:r>
          </w:p>
        </w:tc>
        <w:tc>
          <w:tcPr>
            <w:tcW w:w="0" w:type="auto"/>
          </w:tcPr>
          <w:p w14:paraId="26EA72A5" w14:textId="77777777" w:rsidR="000A07C0" w:rsidRDefault="00000000">
            <w:pPr>
              <w:pStyle w:val="Compact"/>
            </w:pPr>
            <w:r>
              <w:t>AI-specific incident taxonomy, triage, containment, communication, rollback, regulator/customer escalation rules</w:t>
            </w:r>
          </w:p>
        </w:tc>
        <w:tc>
          <w:tcPr>
            <w:tcW w:w="0" w:type="auto"/>
          </w:tcPr>
          <w:p w14:paraId="0B3CE43C" w14:textId="77777777" w:rsidR="000A07C0" w:rsidRDefault="00000000">
            <w:pPr>
              <w:pStyle w:val="Compact"/>
            </w:pPr>
            <w:r>
              <w:t>AI incident playbook and runbooks</w:t>
            </w:r>
          </w:p>
        </w:tc>
        <w:tc>
          <w:tcPr>
            <w:tcW w:w="0" w:type="auto"/>
          </w:tcPr>
          <w:p w14:paraId="3A0C7F6E" w14:textId="77777777" w:rsidR="000A07C0" w:rsidRDefault="00000000">
            <w:pPr>
              <w:pStyle w:val="Compact"/>
            </w:pPr>
            <w:hyperlink r:id="rId32">
              <w:r>
                <w:rPr>
                  <w:rStyle w:val="Hyperlink"/>
                </w:rPr>
                <w:t>[25]</w:t>
              </w:r>
            </w:hyperlink>
          </w:p>
        </w:tc>
      </w:tr>
      <w:tr w:rsidR="000A07C0" w14:paraId="0860600A" w14:textId="77777777" w:rsidTr="003457B1">
        <w:tc>
          <w:tcPr>
            <w:tcW w:w="0" w:type="auto"/>
          </w:tcPr>
          <w:p w14:paraId="5BD39B5D" w14:textId="77777777" w:rsidR="000A07C0" w:rsidRDefault="00000000">
            <w:pPr>
              <w:pStyle w:val="Compact"/>
            </w:pPr>
            <w:r>
              <w:t>Training and literacy</w:t>
            </w:r>
          </w:p>
        </w:tc>
        <w:tc>
          <w:tcPr>
            <w:tcW w:w="0" w:type="auto"/>
          </w:tcPr>
          <w:p w14:paraId="5FFC1626" w14:textId="77777777" w:rsidR="000A07C0" w:rsidRDefault="00000000">
            <w:pPr>
              <w:pStyle w:val="Compact"/>
            </w:pPr>
            <w:r>
              <w:t>Role-based training for users, builders, approvers, managers, procurement, and executives</w:t>
            </w:r>
          </w:p>
        </w:tc>
        <w:tc>
          <w:tcPr>
            <w:tcW w:w="0" w:type="auto"/>
          </w:tcPr>
          <w:p w14:paraId="64EAA810" w14:textId="77777777" w:rsidR="000A07C0" w:rsidRDefault="00000000">
            <w:pPr>
              <w:pStyle w:val="Compact"/>
            </w:pPr>
            <w:r>
              <w:t>Training curriculum and completion logs</w:t>
            </w:r>
          </w:p>
        </w:tc>
        <w:tc>
          <w:tcPr>
            <w:tcW w:w="0" w:type="auto"/>
          </w:tcPr>
          <w:p w14:paraId="193E5C1C" w14:textId="77777777" w:rsidR="000A07C0" w:rsidRDefault="00000000">
            <w:pPr>
              <w:pStyle w:val="Compact"/>
            </w:pPr>
            <w:hyperlink r:id="rId33">
              <w:r>
                <w:rPr>
                  <w:rStyle w:val="Hyperlink"/>
                </w:rPr>
                <w:t>[26]</w:t>
              </w:r>
            </w:hyperlink>
          </w:p>
        </w:tc>
      </w:tr>
      <w:tr w:rsidR="000A07C0" w14:paraId="3A4A0B9D" w14:textId="77777777" w:rsidTr="003457B1">
        <w:tc>
          <w:tcPr>
            <w:tcW w:w="0" w:type="auto"/>
          </w:tcPr>
          <w:p w14:paraId="74510625" w14:textId="77777777" w:rsidR="000A07C0" w:rsidRDefault="00000000">
            <w:pPr>
              <w:pStyle w:val="Compact"/>
            </w:pPr>
            <w:r>
              <w:t>Metrics and monitoring</w:t>
            </w:r>
          </w:p>
        </w:tc>
        <w:tc>
          <w:tcPr>
            <w:tcW w:w="0" w:type="auto"/>
          </w:tcPr>
          <w:p w14:paraId="6365A137" w14:textId="77777777" w:rsidR="000A07C0" w:rsidRDefault="00000000">
            <w:pPr>
              <w:pStyle w:val="Compact"/>
            </w:pPr>
            <w:r>
              <w:t>Portfolio inventory coverage, testing coverage, incident rates, documentation completeness, exception aging, drift and abuse metrics</w:t>
            </w:r>
          </w:p>
        </w:tc>
        <w:tc>
          <w:tcPr>
            <w:tcW w:w="0" w:type="auto"/>
          </w:tcPr>
          <w:p w14:paraId="4CE6AAD9" w14:textId="77777777" w:rsidR="000A07C0" w:rsidRDefault="00000000">
            <w:pPr>
              <w:pStyle w:val="Compact"/>
            </w:pPr>
            <w:r>
              <w:t>Dashboard and quarterly governance report</w:t>
            </w:r>
          </w:p>
        </w:tc>
        <w:tc>
          <w:tcPr>
            <w:tcW w:w="0" w:type="auto"/>
          </w:tcPr>
          <w:p w14:paraId="483527F0" w14:textId="77777777" w:rsidR="000A07C0" w:rsidRDefault="00000000">
            <w:pPr>
              <w:pStyle w:val="Compact"/>
            </w:pPr>
            <w:hyperlink r:id="rId34">
              <w:r>
                <w:rPr>
                  <w:rStyle w:val="Hyperlink"/>
                </w:rPr>
                <w:t>[27]</w:t>
              </w:r>
            </w:hyperlink>
          </w:p>
        </w:tc>
      </w:tr>
    </w:tbl>
    <w:p w14:paraId="45AC4F51" w14:textId="77777777" w:rsidR="000A07C0" w:rsidRDefault="00000000">
      <w:pPr>
        <w:pStyle w:val="BodyText"/>
      </w:pPr>
      <w:r>
        <w:t xml:space="preserve">A governance program is most likely to fail when it is designed as a review board without operating controls. Review boards matter, but they are not enough. If there is no inventory, no required documentation, no production logging, no vendor due diligence, no approval workflow, no post-deployment monitoring, and no defined role that can stop a deployment, then the organization does not have a governance program; it has discussions about governance. That conclusion is consistent with the direction of NIST, ISO/IEC 42001, OECD due diligence, EU AI Act quality-management requirements, and U.S. federal guidance on AI governance. </w:t>
      </w:r>
      <w:hyperlink r:id="rId35">
        <w:r>
          <w:rPr>
            <w:rStyle w:val="Hyperlink"/>
          </w:rPr>
          <w:t>[28]</w:t>
        </w:r>
      </w:hyperlink>
    </w:p>
    <w:p w14:paraId="7E6BA2A0" w14:textId="77777777" w:rsidR="000A07C0" w:rsidRDefault="00000000">
      <w:pPr>
        <w:pStyle w:val="BodyText"/>
      </w:pPr>
      <w:r>
        <w:t>The governance structure below is a synthesis of those sources.</w:t>
      </w:r>
    </w:p>
    <w:p w14:paraId="6D8CB43F" w14:textId="62054E75" w:rsidR="003457B1" w:rsidRDefault="003457B1">
      <w:pPr>
        <w:pStyle w:val="BodyText"/>
      </w:pPr>
      <w:r w:rsidRPr="003457B1">
        <w:lastRenderedPageBreak/>
        <w:drawing>
          <wp:inline distT="0" distB="0" distL="0" distR="0" wp14:anchorId="009FC635" wp14:editId="51891662">
            <wp:extent cx="5943600" cy="2159635"/>
            <wp:effectExtent l="0" t="0" r="0" b="0"/>
            <wp:docPr id="187770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04900" name=""/>
                    <pic:cNvPicPr/>
                  </pic:nvPicPr>
                  <pic:blipFill>
                    <a:blip r:embed="rId36"/>
                    <a:stretch>
                      <a:fillRect/>
                    </a:stretch>
                  </pic:blipFill>
                  <pic:spPr>
                    <a:xfrm>
                      <a:off x="0" y="0"/>
                      <a:ext cx="5943600" cy="2159635"/>
                    </a:xfrm>
                    <a:prstGeom prst="rect">
                      <a:avLst/>
                    </a:prstGeom>
                  </pic:spPr>
                </pic:pic>
              </a:graphicData>
            </a:graphic>
          </wp:inline>
        </w:drawing>
      </w:r>
    </w:p>
    <w:p w14:paraId="0A30DE2B" w14:textId="77777777" w:rsidR="000A07C0" w:rsidRDefault="00000000">
      <w:pPr>
        <w:pStyle w:val="FirstParagraph"/>
      </w:pPr>
      <w:r>
        <w:t xml:space="preserve">This structure reflects the cross-cutting governance emphasis in NIST, the management-system requirements of ISO/IEC 42001, and the formal leadership/accountability patterns reflected in public-sector OMB guidance. The exact titles vary by company size; the need for clear accountability does not. </w:t>
      </w:r>
      <w:hyperlink r:id="rId37">
        <w:r>
          <w:rPr>
            <w:rStyle w:val="Hyperlink"/>
          </w:rPr>
          <w:t>[29]</w:t>
        </w:r>
      </w:hyperlink>
    </w:p>
    <w:p w14:paraId="0FC7C808" w14:textId="77777777" w:rsidR="000A07C0" w:rsidRDefault="00000000">
      <w:pPr>
        <w:pStyle w:val="BodyText"/>
      </w:pPr>
      <w:r>
        <w:t>The most useful role design is usually as follows.</w:t>
      </w:r>
    </w:p>
    <w:tbl>
      <w:tblPr>
        <w:tblStyle w:val="TableGrid"/>
        <w:tblW w:w="0" w:type="auto"/>
        <w:tblLook w:val="0020" w:firstRow="1" w:lastRow="0" w:firstColumn="0" w:lastColumn="0" w:noHBand="0" w:noVBand="0"/>
      </w:tblPr>
      <w:tblGrid>
        <w:gridCol w:w="1782"/>
        <w:gridCol w:w="2477"/>
        <w:gridCol w:w="2156"/>
        <w:gridCol w:w="3161"/>
      </w:tblGrid>
      <w:tr w:rsidR="000A07C0" w14:paraId="17B18A52" w14:textId="77777777" w:rsidTr="003457B1">
        <w:tc>
          <w:tcPr>
            <w:tcW w:w="0" w:type="auto"/>
          </w:tcPr>
          <w:p w14:paraId="7E518C0C" w14:textId="77777777" w:rsidR="000A07C0" w:rsidRDefault="00000000">
            <w:pPr>
              <w:pStyle w:val="Compact"/>
            </w:pPr>
            <w:r>
              <w:t>Role</w:t>
            </w:r>
          </w:p>
        </w:tc>
        <w:tc>
          <w:tcPr>
            <w:tcW w:w="0" w:type="auto"/>
          </w:tcPr>
          <w:p w14:paraId="19769F50" w14:textId="77777777" w:rsidR="000A07C0" w:rsidRDefault="00000000">
            <w:pPr>
              <w:pStyle w:val="Compact"/>
            </w:pPr>
            <w:r>
              <w:t>Primary responsibility</w:t>
            </w:r>
          </w:p>
        </w:tc>
        <w:tc>
          <w:tcPr>
            <w:tcW w:w="0" w:type="auto"/>
          </w:tcPr>
          <w:p w14:paraId="76CA6DFE" w14:textId="77777777" w:rsidR="000A07C0" w:rsidRDefault="00000000">
            <w:pPr>
              <w:pStyle w:val="Compact"/>
            </w:pPr>
            <w:r>
              <w:t>Decision rights</w:t>
            </w:r>
          </w:p>
        </w:tc>
        <w:tc>
          <w:tcPr>
            <w:tcW w:w="0" w:type="auto"/>
          </w:tcPr>
          <w:p w14:paraId="4EEA9060" w14:textId="77777777" w:rsidR="000A07C0" w:rsidRDefault="00000000">
            <w:pPr>
              <w:pStyle w:val="Compact"/>
            </w:pPr>
            <w:r>
              <w:t>Notes</w:t>
            </w:r>
          </w:p>
        </w:tc>
      </w:tr>
      <w:tr w:rsidR="000A07C0" w14:paraId="3EAB416B" w14:textId="77777777" w:rsidTr="003457B1">
        <w:tc>
          <w:tcPr>
            <w:tcW w:w="0" w:type="auto"/>
          </w:tcPr>
          <w:p w14:paraId="11141E4B" w14:textId="77777777" w:rsidR="000A07C0" w:rsidRDefault="00000000">
            <w:pPr>
              <w:pStyle w:val="Compact"/>
            </w:pPr>
            <w:r>
              <w:t>Board / risk committee</w:t>
            </w:r>
          </w:p>
        </w:tc>
        <w:tc>
          <w:tcPr>
            <w:tcW w:w="0" w:type="auto"/>
          </w:tcPr>
          <w:p w14:paraId="4BDAE70E" w14:textId="77777777" w:rsidR="000A07C0" w:rsidRDefault="00000000">
            <w:pPr>
              <w:pStyle w:val="Compact"/>
            </w:pPr>
            <w:r>
              <w:t>Oversight of AI risk appetite, material incidents, and management effectiveness</w:t>
            </w:r>
          </w:p>
        </w:tc>
        <w:tc>
          <w:tcPr>
            <w:tcW w:w="0" w:type="auto"/>
          </w:tcPr>
          <w:p w14:paraId="27DEECB0" w14:textId="77777777" w:rsidR="000A07C0" w:rsidRDefault="00000000">
            <w:pPr>
              <w:pStyle w:val="Compact"/>
            </w:pPr>
            <w:r>
              <w:t>Approves appetite and receives escalations</w:t>
            </w:r>
          </w:p>
        </w:tc>
        <w:tc>
          <w:tcPr>
            <w:tcW w:w="0" w:type="auto"/>
          </w:tcPr>
          <w:p w14:paraId="2E2AE54B" w14:textId="77777777" w:rsidR="000A07C0" w:rsidRDefault="00000000">
            <w:pPr>
              <w:pStyle w:val="Compact"/>
            </w:pPr>
            <w:r>
              <w:t xml:space="preserve">Best for significant, high-impact use cases and repeated reporting cycles. Synthesis </w:t>
            </w:r>
            <w:proofErr w:type="gramStart"/>
            <w:r>
              <w:t>grounded</w:t>
            </w:r>
            <w:proofErr w:type="gramEnd"/>
            <w:r>
              <w:t xml:space="preserve"> in management-system and governance requirements. </w:t>
            </w:r>
            <w:hyperlink r:id="rId38">
              <w:r>
                <w:rPr>
                  <w:rStyle w:val="Hyperlink"/>
                </w:rPr>
                <w:t>[30]</w:t>
              </w:r>
            </w:hyperlink>
          </w:p>
        </w:tc>
      </w:tr>
      <w:tr w:rsidR="000A07C0" w14:paraId="144496B4" w14:textId="77777777" w:rsidTr="003457B1">
        <w:tc>
          <w:tcPr>
            <w:tcW w:w="0" w:type="auto"/>
          </w:tcPr>
          <w:p w14:paraId="4AF9712C" w14:textId="77777777" w:rsidR="000A07C0" w:rsidRDefault="00000000">
            <w:pPr>
              <w:pStyle w:val="Compact"/>
            </w:pPr>
            <w:r>
              <w:t>Executive sponsor</w:t>
            </w:r>
          </w:p>
        </w:tc>
        <w:tc>
          <w:tcPr>
            <w:tcW w:w="0" w:type="auto"/>
          </w:tcPr>
          <w:p w14:paraId="5E7793E0" w14:textId="77777777" w:rsidR="000A07C0" w:rsidRDefault="00000000">
            <w:pPr>
              <w:pStyle w:val="Compact"/>
            </w:pPr>
            <w:r>
              <w:t>Makes AI governance an enterprise priority and funds it</w:t>
            </w:r>
          </w:p>
        </w:tc>
        <w:tc>
          <w:tcPr>
            <w:tcW w:w="0" w:type="auto"/>
          </w:tcPr>
          <w:p w14:paraId="2C70F1FC" w14:textId="77777777" w:rsidR="000A07C0" w:rsidRDefault="00000000">
            <w:pPr>
              <w:pStyle w:val="Compact"/>
            </w:pPr>
            <w:r>
              <w:t>Can require remediation or pause major deployments</w:t>
            </w:r>
          </w:p>
        </w:tc>
        <w:tc>
          <w:tcPr>
            <w:tcW w:w="0" w:type="auto"/>
          </w:tcPr>
          <w:p w14:paraId="040022D2" w14:textId="77777777" w:rsidR="000A07C0" w:rsidRDefault="00000000">
            <w:pPr>
              <w:pStyle w:val="Compact"/>
            </w:pPr>
            <w:r>
              <w:t xml:space="preserve">Without this role, governance usually loses to delivery pressure. </w:t>
            </w:r>
            <w:hyperlink r:id="rId39">
              <w:r>
                <w:rPr>
                  <w:rStyle w:val="Hyperlink"/>
                </w:rPr>
                <w:t>[31]</w:t>
              </w:r>
            </w:hyperlink>
          </w:p>
        </w:tc>
      </w:tr>
      <w:tr w:rsidR="000A07C0" w14:paraId="0C86CC51" w14:textId="77777777" w:rsidTr="003457B1">
        <w:tc>
          <w:tcPr>
            <w:tcW w:w="0" w:type="auto"/>
          </w:tcPr>
          <w:p w14:paraId="265624A6" w14:textId="77777777" w:rsidR="000A07C0" w:rsidRDefault="00000000">
            <w:pPr>
              <w:pStyle w:val="Compact"/>
            </w:pPr>
            <w:r>
              <w:t>AI governance council</w:t>
            </w:r>
          </w:p>
        </w:tc>
        <w:tc>
          <w:tcPr>
            <w:tcW w:w="0" w:type="auto"/>
          </w:tcPr>
          <w:p w14:paraId="51C8C30E" w14:textId="77777777" w:rsidR="000A07C0" w:rsidRDefault="00000000">
            <w:pPr>
              <w:pStyle w:val="Compact"/>
            </w:pPr>
            <w:r>
              <w:t>Cross-functional decision body for standards, exceptions, risk classification, and escalations</w:t>
            </w:r>
          </w:p>
        </w:tc>
        <w:tc>
          <w:tcPr>
            <w:tcW w:w="0" w:type="auto"/>
          </w:tcPr>
          <w:p w14:paraId="1DEFC642" w14:textId="77777777" w:rsidR="000A07C0" w:rsidRDefault="00000000">
            <w:pPr>
              <w:pStyle w:val="Compact"/>
            </w:pPr>
            <w:r>
              <w:t>Approves high-risk use cases and standards</w:t>
            </w:r>
          </w:p>
        </w:tc>
        <w:tc>
          <w:tcPr>
            <w:tcW w:w="0" w:type="auto"/>
          </w:tcPr>
          <w:p w14:paraId="1295811C" w14:textId="77777777" w:rsidR="000A07C0" w:rsidRDefault="00000000">
            <w:pPr>
              <w:pStyle w:val="Compact"/>
            </w:pPr>
            <w:r>
              <w:t xml:space="preserve">Mirrors the cross-functional actor model in NIST and OECD. </w:t>
            </w:r>
            <w:hyperlink r:id="rId40">
              <w:r>
                <w:rPr>
                  <w:rStyle w:val="Hyperlink"/>
                </w:rPr>
                <w:t>[32]</w:t>
              </w:r>
            </w:hyperlink>
          </w:p>
        </w:tc>
      </w:tr>
      <w:tr w:rsidR="000A07C0" w14:paraId="5B6BC79D" w14:textId="77777777" w:rsidTr="003457B1">
        <w:tc>
          <w:tcPr>
            <w:tcW w:w="0" w:type="auto"/>
          </w:tcPr>
          <w:p w14:paraId="2A58FB4C" w14:textId="77777777" w:rsidR="000A07C0" w:rsidRDefault="00000000">
            <w:pPr>
              <w:pStyle w:val="Compact"/>
            </w:pPr>
            <w:r>
              <w:t>AI program lead / CAIO-equivalent</w:t>
            </w:r>
          </w:p>
        </w:tc>
        <w:tc>
          <w:tcPr>
            <w:tcW w:w="0" w:type="auto"/>
          </w:tcPr>
          <w:p w14:paraId="32AD4B1B" w14:textId="77777777" w:rsidR="000A07C0" w:rsidRDefault="00000000">
            <w:pPr>
              <w:pStyle w:val="Compact"/>
            </w:pPr>
            <w:r>
              <w:t>Runs the program office, inventory, reporting, and control system</w:t>
            </w:r>
          </w:p>
        </w:tc>
        <w:tc>
          <w:tcPr>
            <w:tcW w:w="0" w:type="auto"/>
          </w:tcPr>
          <w:p w14:paraId="3D272300" w14:textId="77777777" w:rsidR="000A07C0" w:rsidRDefault="00000000">
            <w:pPr>
              <w:pStyle w:val="Compact"/>
            </w:pPr>
            <w:r>
              <w:t>Can block noncompliant launches pending review</w:t>
            </w:r>
          </w:p>
        </w:tc>
        <w:tc>
          <w:tcPr>
            <w:tcW w:w="0" w:type="auto"/>
          </w:tcPr>
          <w:p w14:paraId="217688D3" w14:textId="77777777" w:rsidR="000A07C0" w:rsidRDefault="00000000">
            <w:pPr>
              <w:pStyle w:val="Compact"/>
            </w:pPr>
            <w:r>
              <w:t xml:space="preserve">Public-sector OMB guidance formalizes a Chief AI Officer; private-sector titles vary. </w:t>
            </w:r>
            <w:hyperlink r:id="rId41">
              <w:r>
                <w:rPr>
                  <w:rStyle w:val="Hyperlink"/>
                </w:rPr>
                <w:t>[33]</w:t>
              </w:r>
            </w:hyperlink>
          </w:p>
        </w:tc>
      </w:tr>
      <w:tr w:rsidR="000A07C0" w14:paraId="681C8CB6" w14:textId="77777777" w:rsidTr="003457B1">
        <w:tc>
          <w:tcPr>
            <w:tcW w:w="0" w:type="auto"/>
          </w:tcPr>
          <w:p w14:paraId="50D5BE61" w14:textId="77777777" w:rsidR="000A07C0" w:rsidRDefault="00000000">
            <w:pPr>
              <w:pStyle w:val="Compact"/>
            </w:pPr>
            <w:r>
              <w:t>Business owner</w:t>
            </w:r>
          </w:p>
        </w:tc>
        <w:tc>
          <w:tcPr>
            <w:tcW w:w="0" w:type="auto"/>
          </w:tcPr>
          <w:p w14:paraId="32F5821B" w14:textId="77777777" w:rsidR="000A07C0" w:rsidRDefault="00000000">
            <w:pPr>
              <w:pStyle w:val="Compact"/>
            </w:pPr>
            <w:r>
              <w:t xml:space="preserve">Owns purpose, outcomes, budget, </w:t>
            </w:r>
            <w:r>
              <w:lastRenderedPageBreak/>
              <w:t>and operational risk of a specific AI use case</w:t>
            </w:r>
          </w:p>
        </w:tc>
        <w:tc>
          <w:tcPr>
            <w:tcW w:w="0" w:type="auto"/>
          </w:tcPr>
          <w:p w14:paraId="0F8D0ABF" w14:textId="77777777" w:rsidR="000A07C0" w:rsidRDefault="00000000">
            <w:pPr>
              <w:pStyle w:val="Compact"/>
            </w:pPr>
            <w:r>
              <w:lastRenderedPageBreak/>
              <w:t xml:space="preserve">Accountable for use-case </w:t>
            </w:r>
            <w:r>
              <w:lastRenderedPageBreak/>
              <w:t>justification and business controls</w:t>
            </w:r>
          </w:p>
        </w:tc>
        <w:tc>
          <w:tcPr>
            <w:tcW w:w="0" w:type="auto"/>
          </w:tcPr>
          <w:p w14:paraId="30E1F90F" w14:textId="77777777" w:rsidR="000A07C0" w:rsidRDefault="00000000">
            <w:pPr>
              <w:pStyle w:val="Compact"/>
            </w:pPr>
            <w:r>
              <w:lastRenderedPageBreak/>
              <w:t xml:space="preserve">Critical: technology should not “own” the business </w:t>
            </w:r>
            <w:r>
              <w:lastRenderedPageBreak/>
              <w:t xml:space="preserve">decision alone. </w:t>
            </w:r>
            <w:hyperlink r:id="rId42">
              <w:r>
                <w:rPr>
                  <w:rStyle w:val="Hyperlink"/>
                </w:rPr>
                <w:t>[34]</w:t>
              </w:r>
            </w:hyperlink>
          </w:p>
        </w:tc>
      </w:tr>
      <w:tr w:rsidR="000A07C0" w14:paraId="48328A7A" w14:textId="77777777" w:rsidTr="003457B1">
        <w:tc>
          <w:tcPr>
            <w:tcW w:w="0" w:type="auto"/>
          </w:tcPr>
          <w:p w14:paraId="2A4F2146" w14:textId="77777777" w:rsidR="000A07C0" w:rsidRDefault="00000000">
            <w:pPr>
              <w:pStyle w:val="Compact"/>
            </w:pPr>
            <w:r>
              <w:lastRenderedPageBreak/>
              <w:t>Model / product owner</w:t>
            </w:r>
          </w:p>
        </w:tc>
        <w:tc>
          <w:tcPr>
            <w:tcW w:w="0" w:type="auto"/>
          </w:tcPr>
          <w:p w14:paraId="38BC3746" w14:textId="77777777" w:rsidR="000A07C0" w:rsidRDefault="00000000">
            <w:pPr>
              <w:pStyle w:val="Compact"/>
            </w:pPr>
            <w:r>
              <w:t xml:space="preserve">Owns technical lifecycle, testing, </w:t>
            </w:r>
            <w:proofErr w:type="gramStart"/>
            <w:r>
              <w:t>change</w:t>
            </w:r>
            <w:proofErr w:type="gramEnd"/>
            <w:r>
              <w:t xml:space="preserve"> control, and monitoring</w:t>
            </w:r>
          </w:p>
        </w:tc>
        <w:tc>
          <w:tcPr>
            <w:tcW w:w="0" w:type="auto"/>
          </w:tcPr>
          <w:p w14:paraId="27A13ECA" w14:textId="77777777" w:rsidR="000A07C0" w:rsidRDefault="00000000">
            <w:pPr>
              <w:pStyle w:val="Compact"/>
            </w:pPr>
            <w:r>
              <w:t>Recommends readiness for release and rollback</w:t>
            </w:r>
          </w:p>
        </w:tc>
        <w:tc>
          <w:tcPr>
            <w:tcW w:w="0" w:type="auto"/>
          </w:tcPr>
          <w:p w14:paraId="6FF2945C" w14:textId="77777777" w:rsidR="000A07C0" w:rsidRDefault="00000000">
            <w:pPr>
              <w:pStyle w:val="Compact"/>
            </w:pPr>
            <w:r>
              <w:t xml:space="preserve">Should maintain documentation and evidence package. </w:t>
            </w:r>
            <w:hyperlink r:id="rId43">
              <w:r>
                <w:rPr>
                  <w:rStyle w:val="Hyperlink"/>
                </w:rPr>
                <w:t>[35]</w:t>
              </w:r>
            </w:hyperlink>
          </w:p>
        </w:tc>
      </w:tr>
      <w:tr w:rsidR="000A07C0" w14:paraId="5CC46F6D" w14:textId="77777777" w:rsidTr="003457B1">
        <w:tc>
          <w:tcPr>
            <w:tcW w:w="0" w:type="auto"/>
          </w:tcPr>
          <w:p w14:paraId="55F74A4D" w14:textId="77777777" w:rsidR="000A07C0" w:rsidRDefault="00000000">
            <w:pPr>
              <w:pStyle w:val="Compact"/>
            </w:pPr>
            <w:r>
              <w:t>Legal / privacy</w:t>
            </w:r>
          </w:p>
        </w:tc>
        <w:tc>
          <w:tcPr>
            <w:tcW w:w="0" w:type="auto"/>
          </w:tcPr>
          <w:p w14:paraId="0AEA5FF7" w14:textId="77777777" w:rsidR="000A07C0" w:rsidRDefault="00000000">
            <w:pPr>
              <w:pStyle w:val="Compact"/>
            </w:pPr>
            <w:proofErr w:type="gramStart"/>
            <w:r>
              <w:t>Reviews</w:t>
            </w:r>
            <w:proofErr w:type="gramEnd"/>
            <w:r>
              <w:t xml:space="preserve"> lawful basis, notices, rights, IP, contracts, and jurisdictional obligations</w:t>
            </w:r>
          </w:p>
        </w:tc>
        <w:tc>
          <w:tcPr>
            <w:tcW w:w="0" w:type="auto"/>
          </w:tcPr>
          <w:p w14:paraId="5C704119" w14:textId="77777777" w:rsidR="000A07C0" w:rsidRDefault="00000000">
            <w:pPr>
              <w:pStyle w:val="Compact"/>
            </w:pPr>
            <w:r>
              <w:t>Can require design or disclosure changes</w:t>
            </w:r>
          </w:p>
        </w:tc>
        <w:tc>
          <w:tcPr>
            <w:tcW w:w="0" w:type="auto"/>
          </w:tcPr>
          <w:p w14:paraId="597E4907" w14:textId="77777777" w:rsidR="000A07C0" w:rsidRDefault="00000000">
            <w:pPr>
              <w:pStyle w:val="Compact"/>
            </w:pPr>
            <w:r>
              <w:t xml:space="preserve">Especially important for employment, consumer, and personal-data use. </w:t>
            </w:r>
            <w:hyperlink r:id="rId44">
              <w:r>
                <w:rPr>
                  <w:rStyle w:val="Hyperlink"/>
                </w:rPr>
                <w:t>[36]</w:t>
              </w:r>
            </w:hyperlink>
          </w:p>
        </w:tc>
      </w:tr>
      <w:tr w:rsidR="000A07C0" w14:paraId="1086BD72" w14:textId="77777777" w:rsidTr="003457B1">
        <w:tc>
          <w:tcPr>
            <w:tcW w:w="0" w:type="auto"/>
          </w:tcPr>
          <w:p w14:paraId="76F39949" w14:textId="77777777" w:rsidR="000A07C0" w:rsidRDefault="00000000">
            <w:pPr>
              <w:pStyle w:val="Compact"/>
            </w:pPr>
            <w:r>
              <w:t>Security</w:t>
            </w:r>
          </w:p>
        </w:tc>
        <w:tc>
          <w:tcPr>
            <w:tcW w:w="0" w:type="auto"/>
          </w:tcPr>
          <w:p w14:paraId="7A4C8CE9" w14:textId="77777777" w:rsidR="000A07C0" w:rsidRDefault="00000000">
            <w:pPr>
              <w:pStyle w:val="Compact"/>
            </w:pPr>
            <w:r>
              <w:t>Owns AI threat modeling, abuse testing, secure deployment, IAM, and incident response</w:t>
            </w:r>
          </w:p>
        </w:tc>
        <w:tc>
          <w:tcPr>
            <w:tcW w:w="0" w:type="auto"/>
          </w:tcPr>
          <w:p w14:paraId="65C6CF89" w14:textId="77777777" w:rsidR="000A07C0" w:rsidRDefault="00000000">
            <w:pPr>
              <w:pStyle w:val="Compact"/>
            </w:pPr>
            <w:r>
              <w:t>Can block production release on security grounds</w:t>
            </w:r>
          </w:p>
        </w:tc>
        <w:tc>
          <w:tcPr>
            <w:tcW w:w="0" w:type="auto"/>
          </w:tcPr>
          <w:p w14:paraId="1714B594" w14:textId="77777777" w:rsidR="000A07C0" w:rsidRDefault="00000000">
            <w:pPr>
              <w:pStyle w:val="Compact"/>
            </w:pPr>
            <w:r>
              <w:t xml:space="preserve">AI-specific security review must extend beyond normal </w:t>
            </w:r>
            <w:proofErr w:type="spellStart"/>
            <w:r>
              <w:t>appsec</w:t>
            </w:r>
            <w:proofErr w:type="spellEnd"/>
            <w:r>
              <w:t xml:space="preserve">. </w:t>
            </w:r>
            <w:hyperlink r:id="rId45">
              <w:r>
                <w:rPr>
                  <w:rStyle w:val="Hyperlink"/>
                </w:rPr>
                <w:t>[37]</w:t>
              </w:r>
            </w:hyperlink>
          </w:p>
        </w:tc>
      </w:tr>
      <w:tr w:rsidR="000A07C0" w14:paraId="364A8F71" w14:textId="77777777" w:rsidTr="003457B1">
        <w:tc>
          <w:tcPr>
            <w:tcW w:w="0" w:type="auto"/>
          </w:tcPr>
          <w:p w14:paraId="1C1E6741" w14:textId="77777777" w:rsidR="000A07C0" w:rsidRDefault="00000000">
            <w:pPr>
              <w:pStyle w:val="Compact"/>
            </w:pPr>
            <w:r>
              <w:t>Procurement / vendor risk</w:t>
            </w:r>
          </w:p>
        </w:tc>
        <w:tc>
          <w:tcPr>
            <w:tcW w:w="0" w:type="auto"/>
          </w:tcPr>
          <w:p w14:paraId="556BDBDD" w14:textId="77777777" w:rsidR="000A07C0" w:rsidRDefault="00000000">
            <w:pPr>
              <w:pStyle w:val="Compact"/>
            </w:pPr>
            <w:r>
              <w:t>Conducts AI due diligence and enforces contractual controls</w:t>
            </w:r>
          </w:p>
        </w:tc>
        <w:tc>
          <w:tcPr>
            <w:tcW w:w="0" w:type="auto"/>
          </w:tcPr>
          <w:p w14:paraId="25DE906B" w14:textId="77777777" w:rsidR="000A07C0" w:rsidRDefault="00000000">
            <w:pPr>
              <w:pStyle w:val="Compact"/>
            </w:pPr>
            <w:r>
              <w:t>Can reject vendors or require addenda</w:t>
            </w:r>
          </w:p>
        </w:tc>
        <w:tc>
          <w:tcPr>
            <w:tcW w:w="0" w:type="auto"/>
          </w:tcPr>
          <w:p w14:paraId="66571842" w14:textId="77777777" w:rsidR="000A07C0" w:rsidRDefault="00000000">
            <w:pPr>
              <w:pStyle w:val="Compact"/>
            </w:pPr>
            <w:r>
              <w:t xml:space="preserve">Essential because many companies consume more AI than they build. </w:t>
            </w:r>
            <w:hyperlink r:id="rId46">
              <w:r>
                <w:rPr>
                  <w:rStyle w:val="Hyperlink"/>
                </w:rPr>
                <w:t>[21]</w:t>
              </w:r>
            </w:hyperlink>
          </w:p>
        </w:tc>
      </w:tr>
      <w:tr w:rsidR="000A07C0" w14:paraId="2C7BE57F" w14:textId="77777777" w:rsidTr="003457B1">
        <w:tc>
          <w:tcPr>
            <w:tcW w:w="0" w:type="auto"/>
          </w:tcPr>
          <w:p w14:paraId="656DB85E" w14:textId="77777777" w:rsidR="000A07C0" w:rsidRDefault="00000000">
            <w:pPr>
              <w:pStyle w:val="Compact"/>
            </w:pPr>
            <w:r>
              <w:t>Internal audit</w:t>
            </w:r>
          </w:p>
        </w:tc>
        <w:tc>
          <w:tcPr>
            <w:tcW w:w="0" w:type="auto"/>
          </w:tcPr>
          <w:p w14:paraId="3D46D194" w14:textId="77777777" w:rsidR="000A07C0" w:rsidRDefault="00000000">
            <w:pPr>
              <w:pStyle w:val="Compact"/>
            </w:pPr>
            <w:r>
              <w:t>Independently tests control design and operating effectiveness</w:t>
            </w:r>
          </w:p>
        </w:tc>
        <w:tc>
          <w:tcPr>
            <w:tcW w:w="0" w:type="auto"/>
          </w:tcPr>
          <w:p w14:paraId="60E2F607" w14:textId="77777777" w:rsidR="000A07C0" w:rsidRDefault="00000000">
            <w:pPr>
              <w:pStyle w:val="Compact"/>
            </w:pPr>
            <w:r>
              <w:t>Reports independently to management and board</w:t>
            </w:r>
          </w:p>
        </w:tc>
        <w:tc>
          <w:tcPr>
            <w:tcW w:w="0" w:type="auto"/>
          </w:tcPr>
          <w:p w14:paraId="7E054D85" w14:textId="77777777" w:rsidR="000A07C0" w:rsidRDefault="00000000">
            <w:pPr>
              <w:pStyle w:val="Compact"/>
            </w:pPr>
            <w:r>
              <w:t xml:space="preserve">Audit should not own the framework it later audits. </w:t>
            </w:r>
            <w:hyperlink r:id="rId47">
              <w:r>
                <w:rPr>
                  <w:rStyle w:val="Hyperlink"/>
                </w:rPr>
                <w:t>[38]</w:t>
              </w:r>
            </w:hyperlink>
          </w:p>
        </w:tc>
      </w:tr>
    </w:tbl>
    <w:p w14:paraId="28200E7B" w14:textId="77777777" w:rsidR="000A07C0" w:rsidRDefault="00000000">
      <w:pPr>
        <w:pStyle w:val="Heading2"/>
      </w:pPr>
      <w:bookmarkStart w:id="9" w:name="X309475ee249cd558c7767ff8d3b0ab1e01873d7"/>
      <w:bookmarkStart w:id="10" w:name="_Toc228645494"/>
      <w:bookmarkEnd w:id="7"/>
      <w:r>
        <w:t>Operating model and implementation roadmap</w:t>
      </w:r>
      <w:bookmarkEnd w:id="10"/>
    </w:p>
    <w:p w14:paraId="70D85A40" w14:textId="77777777" w:rsidR="000A07C0" w:rsidRDefault="00000000">
      <w:pPr>
        <w:pStyle w:val="FirstParagraph"/>
      </w:pPr>
      <w:r>
        <w:t xml:space="preserve">The operating model should make governance routine, not exceptional. The most efficient design is a gated workflow tied to use-case criticality. Low-risk productivity uses should move through lightweight registration and standard controls. </w:t>
      </w:r>
      <w:proofErr w:type="gramStart"/>
      <w:r>
        <w:t>Medium-risk</w:t>
      </w:r>
      <w:proofErr w:type="gramEnd"/>
      <w:r>
        <w:t xml:space="preserve"> uses should require documented testing, business ownership, and vendor review. High-risk or rights-affecting uses should require formal impact assessment, legal/privacy/security sign-off, human oversight design, traceability evidence, and post-launch monitoring. That logic is consistent with NIST’s risk-based approach, the EU AI Act’s role- and risk-based obligations, OECD due diligence, and the UK’s principle-based but context-sensitive approach. </w:t>
      </w:r>
      <w:hyperlink r:id="rId48">
        <w:r>
          <w:rPr>
            <w:rStyle w:val="Hyperlink"/>
          </w:rPr>
          <w:t>[39]</w:t>
        </w:r>
      </w:hyperlink>
    </w:p>
    <w:p w14:paraId="370B33B9" w14:textId="77777777" w:rsidR="000A07C0" w:rsidRDefault="00000000">
      <w:pPr>
        <w:pStyle w:val="BodyText"/>
      </w:pPr>
      <w:r>
        <w:t>A typical lifecycle flow should look like this.</w:t>
      </w:r>
    </w:p>
    <w:p w14:paraId="676AE20B" w14:textId="480EFE96" w:rsidR="003457B1" w:rsidRDefault="003457B1">
      <w:pPr>
        <w:pStyle w:val="BodyText"/>
      </w:pPr>
      <w:r w:rsidRPr="003457B1">
        <w:lastRenderedPageBreak/>
        <w:drawing>
          <wp:inline distT="0" distB="0" distL="0" distR="0" wp14:anchorId="0249A846" wp14:editId="5C59DABA">
            <wp:extent cx="5943600" cy="598170"/>
            <wp:effectExtent l="0" t="0" r="0" b="0"/>
            <wp:docPr id="132757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77810" name=""/>
                    <pic:cNvPicPr/>
                  </pic:nvPicPr>
                  <pic:blipFill>
                    <a:blip r:embed="rId49"/>
                    <a:stretch>
                      <a:fillRect/>
                    </a:stretch>
                  </pic:blipFill>
                  <pic:spPr>
                    <a:xfrm>
                      <a:off x="0" y="0"/>
                      <a:ext cx="5943600" cy="598170"/>
                    </a:xfrm>
                    <a:prstGeom prst="rect">
                      <a:avLst/>
                    </a:prstGeom>
                  </pic:spPr>
                </pic:pic>
              </a:graphicData>
            </a:graphic>
          </wp:inline>
        </w:drawing>
      </w:r>
    </w:p>
    <w:p w14:paraId="045FFB5D" w14:textId="77777777" w:rsidR="003457B1" w:rsidRDefault="003457B1">
      <w:pPr>
        <w:pStyle w:val="BodyText"/>
      </w:pPr>
    </w:p>
    <w:p w14:paraId="08B6C889" w14:textId="77777777" w:rsidR="000A07C0" w:rsidRDefault="00000000">
      <w:pPr>
        <w:pStyle w:val="FirstParagraph"/>
      </w:pPr>
      <w:r>
        <w:t xml:space="preserve">This lifecycle synthesizes NIST’s govern-map-measure-manage flow, ISO/IEC 42001’s management-system approach, AI-specific documentation practices such as model cards and datasheets, and modern system-card style release evidence. </w:t>
      </w:r>
      <w:hyperlink r:id="rId50">
        <w:r>
          <w:rPr>
            <w:rStyle w:val="Hyperlink"/>
          </w:rPr>
          <w:t>[40]</w:t>
        </w:r>
      </w:hyperlink>
    </w:p>
    <w:p w14:paraId="6737D9F4" w14:textId="77777777" w:rsidR="000A07C0" w:rsidRDefault="00000000">
      <w:pPr>
        <w:pStyle w:val="BodyText"/>
      </w:pPr>
      <w:r>
        <w:t xml:space="preserve">A pragmatic roadmap is below. The timing and staffing are planning estimates, not universal benchmarks; they are inferred from the control depth expected by NIST, ISO/IEC 42001, OECD due diligence, ICO guidance, and the EU AI Act. Smaller companies can centralize more; larger enterprises usually need both a central program and embedded domain owners. </w:t>
      </w:r>
      <w:hyperlink r:id="rId51">
        <w:r>
          <w:rPr>
            <w:rStyle w:val="Hyperlink"/>
          </w:rPr>
          <w:t>[41]</w:t>
        </w:r>
      </w:hyperlink>
    </w:p>
    <w:tbl>
      <w:tblPr>
        <w:tblStyle w:val="TableGrid"/>
        <w:tblW w:w="0" w:type="auto"/>
        <w:tblLook w:val="0020" w:firstRow="1" w:lastRow="0" w:firstColumn="0" w:lastColumn="0" w:noHBand="0" w:noVBand="0"/>
      </w:tblPr>
      <w:tblGrid>
        <w:gridCol w:w="1139"/>
        <w:gridCol w:w="3376"/>
        <w:gridCol w:w="2807"/>
        <w:gridCol w:w="2254"/>
      </w:tblGrid>
      <w:tr w:rsidR="000A07C0" w14:paraId="59454051" w14:textId="77777777" w:rsidTr="003457B1">
        <w:tc>
          <w:tcPr>
            <w:tcW w:w="0" w:type="auto"/>
          </w:tcPr>
          <w:p w14:paraId="64B14998" w14:textId="77777777" w:rsidR="000A07C0" w:rsidRDefault="00000000">
            <w:pPr>
              <w:pStyle w:val="Compact"/>
            </w:pPr>
            <w:r>
              <w:t>Window</w:t>
            </w:r>
          </w:p>
        </w:tc>
        <w:tc>
          <w:tcPr>
            <w:tcW w:w="0" w:type="auto"/>
          </w:tcPr>
          <w:p w14:paraId="006131E7" w14:textId="77777777" w:rsidR="000A07C0" w:rsidRDefault="00000000">
            <w:pPr>
              <w:pStyle w:val="Compact"/>
            </w:pPr>
            <w:r>
              <w:t>Core outcomes</w:t>
            </w:r>
          </w:p>
        </w:tc>
        <w:tc>
          <w:tcPr>
            <w:tcW w:w="0" w:type="auto"/>
          </w:tcPr>
          <w:p w14:paraId="2BC40AB0" w14:textId="77777777" w:rsidR="000A07C0" w:rsidRDefault="00000000">
            <w:pPr>
              <w:pStyle w:val="Compact"/>
            </w:pPr>
            <w:r>
              <w:t>Indicative staffing</w:t>
            </w:r>
          </w:p>
        </w:tc>
        <w:tc>
          <w:tcPr>
            <w:tcW w:w="0" w:type="auto"/>
          </w:tcPr>
          <w:p w14:paraId="1ADADC61" w14:textId="77777777" w:rsidR="000A07C0" w:rsidRDefault="00000000">
            <w:pPr>
              <w:pStyle w:val="Compact"/>
            </w:pPr>
            <w:r>
              <w:t>Typical artifacts</w:t>
            </w:r>
          </w:p>
        </w:tc>
      </w:tr>
      <w:tr w:rsidR="000A07C0" w14:paraId="057F5DF5" w14:textId="77777777" w:rsidTr="003457B1">
        <w:tc>
          <w:tcPr>
            <w:tcW w:w="0" w:type="auto"/>
          </w:tcPr>
          <w:p w14:paraId="50C13D6A" w14:textId="77777777" w:rsidR="000A07C0" w:rsidRDefault="00000000">
            <w:pPr>
              <w:pStyle w:val="Compact"/>
            </w:pPr>
            <w:r>
              <w:t>First month</w:t>
            </w:r>
          </w:p>
        </w:tc>
        <w:tc>
          <w:tcPr>
            <w:tcW w:w="0" w:type="auto"/>
          </w:tcPr>
          <w:p w14:paraId="205DEB1E" w14:textId="77777777" w:rsidR="000A07C0" w:rsidRDefault="00000000">
            <w:pPr>
              <w:pStyle w:val="Compact"/>
            </w:pPr>
            <w:r>
              <w:t>Name executive sponsor and program lead; create interim AI council; inventory existing AI uses; publish interim acceptable-use rules; freeze new high-risk deployments pending review</w:t>
            </w:r>
          </w:p>
        </w:tc>
        <w:tc>
          <w:tcPr>
            <w:tcW w:w="0" w:type="auto"/>
          </w:tcPr>
          <w:p w14:paraId="4E11AF0C" w14:textId="77777777" w:rsidR="000A07C0" w:rsidRDefault="00000000">
            <w:pPr>
              <w:pStyle w:val="Compact"/>
            </w:pPr>
            <w:r>
              <w:t>1 program lead, 0.25–0.5 executive sponsor, plus fractional legal, privacy, security, data, and procurement support</w:t>
            </w:r>
          </w:p>
        </w:tc>
        <w:tc>
          <w:tcPr>
            <w:tcW w:w="0" w:type="auto"/>
          </w:tcPr>
          <w:p w14:paraId="17752E56" w14:textId="77777777" w:rsidR="000A07C0" w:rsidRDefault="00000000">
            <w:pPr>
              <w:pStyle w:val="Compact"/>
            </w:pPr>
            <w:r>
              <w:t>Interim AI acceptable-use policy, inventory template, immediate-risk register</w:t>
            </w:r>
          </w:p>
        </w:tc>
      </w:tr>
      <w:tr w:rsidR="000A07C0" w14:paraId="5CEF541D" w14:textId="77777777" w:rsidTr="003457B1">
        <w:tc>
          <w:tcPr>
            <w:tcW w:w="0" w:type="auto"/>
          </w:tcPr>
          <w:p w14:paraId="024422C6" w14:textId="77777777" w:rsidR="000A07C0" w:rsidRDefault="00000000">
            <w:pPr>
              <w:pStyle w:val="Compact"/>
            </w:pPr>
            <w:r>
              <w:t>First quarter</w:t>
            </w:r>
          </w:p>
        </w:tc>
        <w:tc>
          <w:tcPr>
            <w:tcW w:w="0" w:type="auto"/>
          </w:tcPr>
          <w:p w14:paraId="0AF6C433" w14:textId="77777777" w:rsidR="000A07C0" w:rsidRDefault="00000000">
            <w:pPr>
              <w:pStyle w:val="Compact"/>
            </w:pPr>
            <w:r>
              <w:t>Risk-tiering method; intake workflow; vendor due diligence; security review checklist; privacy review; model/use-case documentation standard; role-based training for users and builders</w:t>
            </w:r>
          </w:p>
        </w:tc>
        <w:tc>
          <w:tcPr>
            <w:tcW w:w="0" w:type="auto"/>
          </w:tcPr>
          <w:p w14:paraId="37D189D5" w14:textId="77777777" w:rsidR="000A07C0" w:rsidRDefault="00000000">
            <w:pPr>
              <w:pStyle w:val="Compact"/>
            </w:pPr>
            <w:r>
              <w:t>Small company: 3–5 dedicated/fractional FTEs; large enterprise: 5–8 core FTEs plus embedded SMEs</w:t>
            </w:r>
          </w:p>
        </w:tc>
        <w:tc>
          <w:tcPr>
            <w:tcW w:w="0" w:type="auto"/>
          </w:tcPr>
          <w:p w14:paraId="7CA18EC7" w14:textId="77777777" w:rsidR="000A07C0" w:rsidRDefault="00000000">
            <w:pPr>
              <w:pStyle w:val="Compact"/>
            </w:pPr>
            <w:r>
              <w:t>AI impact assessment, vendor questionnaire, contract addendum, model card template, training deck</w:t>
            </w:r>
          </w:p>
        </w:tc>
      </w:tr>
      <w:tr w:rsidR="000A07C0" w14:paraId="1708B766" w14:textId="77777777" w:rsidTr="003457B1">
        <w:tc>
          <w:tcPr>
            <w:tcW w:w="0" w:type="auto"/>
          </w:tcPr>
          <w:p w14:paraId="647AC50F" w14:textId="77777777" w:rsidR="000A07C0" w:rsidRDefault="00000000">
            <w:pPr>
              <w:pStyle w:val="Compact"/>
            </w:pPr>
            <w:r>
              <w:t>First two quarters</w:t>
            </w:r>
          </w:p>
        </w:tc>
        <w:tc>
          <w:tcPr>
            <w:tcW w:w="0" w:type="auto"/>
          </w:tcPr>
          <w:p w14:paraId="54E6B933" w14:textId="77777777" w:rsidR="000A07C0" w:rsidRDefault="00000000">
            <w:pPr>
              <w:pStyle w:val="Compact"/>
            </w:pPr>
            <w:r>
              <w:t>Formal approval gates; testing and evaluation harnesses; incident taxonomy; monitoring requirements; exception process; quarterly reporting; high-risk human oversight patterns</w:t>
            </w:r>
          </w:p>
        </w:tc>
        <w:tc>
          <w:tcPr>
            <w:tcW w:w="0" w:type="auto"/>
          </w:tcPr>
          <w:p w14:paraId="325BB0D2" w14:textId="77777777" w:rsidR="000A07C0" w:rsidRDefault="00000000">
            <w:pPr>
              <w:pStyle w:val="Compact"/>
            </w:pPr>
            <w:r>
              <w:t>Small/midmarket: 4–7 core FTEs; large enterprise: 8–12 core FTEs</w:t>
            </w:r>
          </w:p>
        </w:tc>
        <w:tc>
          <w:tcPr>
            <w:tcW w:w="0" w:type="auto"/>
          </w:tcPr>
          <w:p w14:paraId="029B3339" w14:textId="77777777" w:rsidR="000A07C0" w:rsidRDefault="00000000">
            <w:pPr>
              <w:pStyle w:val="Compact"/>
            </w:pPr>
            <w:r>
              <w:t>Approval memo, red-team report template, monitoring dashboard, incident playbook, exception register</w:t>
            </w:r>
          </w:p>
        </w:tc>
      </w:tr>
      <w:tr w:rsidR="000A07C0" w14:paraId="013F1CFD" w14:textId="77777777" w:rsidTr="003457B1">
        <w:tc>
          <w:tcPr>
            <w:tcW w:w="0" w:type="auto"/>
          </w:tcPr>
          <w:p w14:paraId="4470858B" w14:textId="77777777" w:rsidR="000A07C0" w:rsidRDefault="00000000">
            <w:pPr>
              <w:pStyle w:val="Compact"/>
            </w:pPr>
            <w:r>
              <w:t>First year</w:t>
            </w:r>
          </w:p>
        </w:tc>
        <w:tc>
          <w:tcPr>
            <w:tcW w:w="0" w:type="auto"/>
          </w:tcPr>
          <w:p w14:paraId="2BC00CE6" w14:textId="77777777" w:rsidR="000A07C0" w:rsidRDefault="00000000">
            <w:pPr>
              <w:pStyle w:val="Compact"/>
            </w:pPr>
            <w:r>
              <w:t xml:space="preserve">Internal audit alignment; portfolio metrics; recurring committee cadence; decommissioning rules; assurance reporting for major </w:t>
            </w:r>
            <w:r>
              <w:lastRenderedPageBreak/>
              <w:t>systems; board or risk-committee reporting</w:t>
            </w:r>
          </w:p>
        </w:tc>
        <w:tc>
          <w:tcPr>
            <w:tcW w:w="0" w:type="auto"/>
          </w:tcPr>
          <w:p w14:paraId="01BBA083" w14:textId="77777777" w:rsidR="000A07C0" w:rsidRDefault="00000000">
            <w:pPr>
              <w:pStyle w:val="Compact"/>
            </w:pPr>
            <w:r>
              <w:lastRenderedPageBreak/>
              <w:t>Mid-to-large enterprise: 8–15 FTEs across program, risk, security, and technical assurance</w:t>
            </w:r>
          </w:p>
        </w:tc>
        <w:tc>
          <w:tcPr>
            <w:tcW w:w="0" w:type="auto"/>
          </w:tcPr>
          <w:p w14:paraId="1609639C" w14:textId="77777777" w:rsidR="000A07C0" w:rsidRDefault="00000000">
            <w:pPr>
              <w:pStyle w:val="Compact"/>
            </w:pPr>
            <w:r>
              <w:t>Audit workpapers, policy suite, annual review calendar, evidence repository</w:t>
            </w:r>
          </w:p>
        </w:tc>
      </w:tr>
      <w:tr w:rsidR="000A07C0" w14:paraId="23103C3C" w14:textId="77777777" w:rsidTr="003457B1">
        <w:tc>
          <w:tcPr>
            <w:tcW w:w="0" w:type="auto"/>
          </w:tcPr>
          <w:p w14:paraId="6D47BAB3" w14:textId="77777777" w:rsidR="000A07C0" w:rsidRDefault="00000000">
            <w:pPr>
              <w:pStyle w:val="Compact"/>
            </w:pPr>
            <w:r>
              <w:t>Beyond year one</w:t>
            </w:r>
          </w:p>
        </w:tc>
        <w:tc>
          <w:tcPr>
            <w:tcW w:w="0" w:type="auto"/>
          </w:tcPr>
          <w:p w14:paraId="73D245FC" w14:textId="77777777" w:rsidR="000A07C0" w:rsidRDefault="00000000">
            <w:pPr>
              <w:pStyle w:val="Compact"/>
            </w:pPr>
            <w:r>
              <w:t>Control automation; policy maintenance; advanced agent controls; jurisdiction-specific packs; certification/readiness effort where useful; model and vendor concentration management</w:t>
            </w:r>
          </w:p>
        </w:tc>
        <w:tc>
          <w:tcPr>
            <w:tcW w:w="0" w:type="auto"/>
          </w:tcPr>
          <w:p w14:paraId="64D3BB92" w14:textId="77777777" w:rsidR="000A07C0" w:rsidRDefault="00000000">
            <w:pPr>
              <w:pStyle w:val="Compact"/>
            </w:pPr>
            <w:r>
              <w:t>Large global enterprise: 10–20 FTEs centrally plus business-line owners</w:t>
            </w:r>
          </w:p>
        </w:tc>
        <w:tc>
          <w:tcPr>
            <w:tcW w:w="0" w:type="auto"/>
          </w:tcPr>
          <w:p w14:paraId="29CFC6F4" w14:textId="77777777" w:rsidR="000A07C0" w:rsidRDefault="00000000">
            <w:pPr>
              <w:pStyle w:val="Compact"/>
            </w:pPr>
            <w:r>
              <w:t xml:space="preserve">Automated evidence </w:t>
            </w:r>
            <w:proofErr w:type="gramStart"/>
            <w:r>
              <w:t>capture</w:t>
            </w:r>
            <w:proofErr w:type="gramEnd"/>
            <w:r>
              <w:t>, control library, regulator-ready documentation sets</w:t>
            </w:r>
          </w:p>
        </w:tc>
      </w:tr>
    </w:tbl>
    <w:p w14:paraId="40E3891D" w14:textId="77777777" w:rsidR="000A07C0" w:rsidRDefault="00000000">
      <w:pPr>
        <w:pStyle w:val="BodyText"/>
      </w:pPr>
      <w:r>
        <w:t>The core governance artifacts every organization should have are below.</w:t>
      </w:r>
    </w:p>
    <w:tbl>
      <w:tblPr>
        <w:tblStyle w:val="TableGrid"/>
        <w:tblW w:w="0" w:type="auto"/>
        <w:tblLook w:val="0020" w:firstRow="1" w:lastRow="0" w:firstColumn="0" w:lastColumn="0" w:noHBand="0" w:noVBand="0"/>
      </w:tblPr>
      <w:tblGrid>
        <w:gridCol w:w="2183"/>
        <w:gridCol w:w="3818"/>
        <w:gridCol w:w="2500"/>
        <w:gridCol w:w="1075"/>
      </w:tblGrid>
      <w:tr w:rsidR="000A07C0" w14:paraId="08EE0BEC" w14:textId="77777777" w:rsidTr="003457B1">
        <w:tc>
          <w:tcPr>
            <w:tcW w:w="0" w:type="auto"/>
          </w:tcPr>
          <w:p w14:paraId="740FE3AA" w14:textId="77777777" w:rsidR="000A07C0" w:rsidRDefault="00000000">
            <w:pPr>
              <w:pStyle w:val="Compact"/>
            </w:pPr>
            <w:r>
              <w:t>Artifact</w:t>
            </w:r>
          </w:p>
        </w:tc>
        <w:tc>
          <w:tcPr>
            <w:tcW w:w="0" w:type="auto"/>
          </w:tcPr>
          <w:p w14:paraId="209DF190" w14:textId="77777777" w:rsidR="000A07C0" w:rsidRDefault="00000000">
            <w:pPr>
              <w:pStyle w:val="Compact"/>
            </w:pPr>
            <w:r>
              <w:t>What it should contain</w:t>
            </w:r>
          </w:p>
        </w:tc>
        <w:tc>
          <w:tcPr>
            <w:tcW w:w="0" w:type="auto"/>
          </w:tcPr>
          <w:p w14:paraId="6648DE14" w14:textId="77777777" w:rsidR="000A07C0" w:rsidRDefault="00000000">
            <w:pPr>
              <w:pStyle w:val="Compact"/>
            </w:pPr>
            <w:r>
              <w:t>Why it matters</w:t>
            </w:r>
          </w:p>
        </w:tc>
        <w:tc>
          <w:tcPr>
            <w:tcW w:w="0" w:type="auto"/>
          </w:tcPr>
          <w:p w14:paraId="147C8B05" w14:textId="77777777" w:rsidR="000A07C0" w:rsidRDefault="00000000">
            <w:pPr>
              <w:pStyle w:val="Compact"/>
            </w:pPr>
            <w:r>
              <w:t>Source anchor</w:t>
            </w:r>
          </w:p>
        </w:tc>
      </w:tr>
      <w:tr w:rsidR="000A07C0" w14:paraId="522BBA71" w14:textId="77777777" w:rsidTr="003457B1">
        <w:tc>
          <w:tcPr>
            <w:tcW w:w="0" w:type="auto"/>
          </w:tcPr>
          <w:p w14:paraId="2F4C0CB1" w14:textId="77777777" w:rsidR="000A07C0" w:rsidRDefault="00000000">
            <w:pPr>
              <w:pStyle w:val="Compact"/>
            </w:pPr>
            <w:r>
              <w:t>AI policy and standard set</w:t>
            </w:r>
          </w:p>
        </w:tc>
        <w:tc>
          <w:tcPr>
            <w:tcW w:w="0" w:type="auto"/>
          </w:tcPr>
          <w:p w14:paraId="138F9F5F" w14:textId="77777777" w:rsidR="000A07C0" w:rsidRDefault="00000000">
            <w:pPr>
              <w:pStyle w:val="Compact"/>
            </w:pPr>
            <w:r>
              <w:t>Principles, allowed/restricted uses, role definitions, documentation rules, escalation thresholds</w:t>
            </w:r>
          </w:p>
        </w:tc>
        <w:tc>
          <w:tcPr>
            <w:tcW w:w="0" w:type="auto"/>
          </w:tcPr>
          <w:p w14:paraId="07E1B46A" w14:textId="77777777" w:rsidR="000A07C0" w:rsidRDefault="00000000">
            <w:pPr>
              <w:pStyle w:val="Compact"/>
            </w:pPr>
            <w:r>
              <w:t>Establishes enforceable expectations</w:t>
            </w:r>
          </w:p>
        </w:tc>
        <w:tc>
          <w:tcPr>
            <w:tcW w:w="0" w:type="auto"/>
          </w:tcPr>
          <w:p w14:paraId="78D3031F" w14:textId="77777777" w:rsidR="000A07C0" w:rsidRDefault="00000000">
            <w:pPr>
              <w:pStyle w:val="Compact"/>
            </w:pPr>
            <w:hyperlink r:id="rId52">
              <w:r>
                <w:rPr>
                  <w:rStyle w:val="Hyperlink"/>
                </w:rPr>
                <w:t>[42]</w:t>
              </w:r>
            </w:hyperlink>
          </w:p>
        </w:tc>
      </w:tr>
      <w:tr w:rsidR="000A07C0" w14:paraId="17E9785A" w14:textId="77777777" w:rsidTr="003457B1">
        <w:tc>
          <w:tcPr>
            <w:tcW w:w="0" w:type="auto"/>
          </w:tcPr>
          <w:p w14:paraId="729C5664" w14:textId="77777777" w:rsidR="000A07C0" w:rsidRDefault="00000000">
            <w:pPr>
              <w:pStyle w:val="Compact"/>
            </w:pPr>
            <w:r>
              <w:t>AI use-case inventory</w:t>
            </w:r>
          </w:p>
        </w:tc>
        <w:tc>
          <w:tcPr>
            <w:tcW w:w="0" w:type="auto"/>
          </w:tcPr>
          <w:p w14:paraId="72AB3642" w14:textId="77777777" w:rsidR="000A07C0" w:rsidRDefault="00000000">
            <w:pPr>
              <w:pStyle w:val="Compact"/>
            </w:pPr>
            <w:r>
              <w:t>Owner, purpose, model/vendor, data used, risk tier, approvals, status</w:t>
            </w:r>
          </w:p>
        </w:tc>
        <w:tc>
          <w:tcPr>
            <w:tcW w:w="0" w:type="auto"/>
          </w:tcPr>
          <w:p w14:paraId="2D4D6C9A" w14:textId="77777777" w:rsidR="000A07C0" w:rsidRDefault="00000000">
            <w:pPr>
              <w:pStyle w:val="Compact"/>
            </w:pPr>
            <w:r>
              <w:t>Without inventory there is no portfolio governance</w:t>
            </w:r>
          </w:p>
        </w:tc>
        <w:tc>
          <w:tcPr>
            <w:tcW w:w="0" w:type="auto"/>
          </w:tcPr>
          <w:p w14:paraId="0E4C15B5" w14:textId="77777777" w:rsidR="000A07C0" w:rsidRDefault="00000000">
            <w:pPr>
              <w:pStyle w:val="Compact"/>
            </w:pPr>
            <w:hyperlink r:id="rId53">
              <w:r>
                <w:rPr>
                  <w:rStyle w:val="Hyperlink"/>
                </w:rPr>
                <w:t>[43]</w:t>
              </w:r>
            </w:hyperlink>
          </w:p>
        </w:tc>
      </w:tr>
      <w:tr w:rsidR="000A07C0" w14:paraId="7AEA43A0" w14:textId="77777777" w:rsidTr="003457B1">
        <w:tc>
          <w:tcPr>
            <w:tcW w:w="0" w:type="auto"/>
          </w:tcPr>
          <w:p w14:paraId="72BAE5FD" w14:textId="77777777" w:rsidR="000A07C0" w:rsidRDefault="00000000">
            <w:pPr>
              <w:pStyle w:val="Compact"/>
            </w:pPr>
            <w:r>
              <w:t>AI impact assessment</w:t>
            </w:r>
          </w:p>
        </w:tc>
        <w:tc>
          <w:tcPr>
            <w:tcW w:w="0" w:type="auto"/>
          </w:tcPr>
          <w:p w14:paraId="07161E30" w14:textId="77777777" w:rsidR="000A07C0" w:rsidRDefault="00000000">
            <w:pPr>
              <w:pStyle w:val="Compact"/>
            </w:pPr>
            <w:r>
              <w:t>Purpose, stakeholders, harms, rights/privacy effects, mitigations, human oversight, monitoring plan</w:t>
            </w:r>
          </w:p>
        </w:tc>
        <w:tc>
          <w:tcPr>
            <w:tcW w:w="0" w:type="auto"/>
          </w:tcPr>
          <w:p w14:paraId="7690D3E7" w14:textId="77777777" w:rsidR="000A07C0" w:rsidRDefault="00000000">
            <w:pPr>
              <w:pStyle w:val="Compact"/>
            </w:pPr>
            <w:r>
              <w:t>Converts ethics into operational approval evidence</w:t>
            </w:r>
          </w:p>
        </w:tc>
        <w:tc>
          <w:tcPr>
            <w:tcW w:w="0" w:type="auto"/>
          </w:tcPr>
          <w:p w14:paraId="2D1E3529" w14:textId="77777777" w:rsidR="000A07C0" w:rsidRDefault="00000000">
            <w:pPr>
              <w:pStyle w:val="Compact"/>
            </w:pPr>
            <w:hyperlink r:id="rId54">
              <w:r>
                <w:rPr>
                  <w:rStyle w:val="Hyperlink"/>
                </w:rPr>
                <w:t>[44]</w:t>
              </w:r>
            </w:hyperlink>
          </w:p>
        </w:tc>
      </w:tr>
      <w:tr w:rsidR="000A07C0" w14:paraId="782D3D97" w14:textId="77777777" w:rsidTr="003457B1">
        <w:tc>
          <w:tcPr>
            <w:tcW w:w="0" w:type="auto"/>
          </w:tcPr>
          <w:p w14:paraId="08315A3F" w14:textId="77777777" w:rsidR="000A07C0" w:rsidRDefault="00000000">
            <w:pPr>
              <w:pStyle w:val="Compact"/>
            </w:pPr>
            <w:r>
              <w:t>Risk-tiering checklist</w:t>
            </w:r>
          </w:p>
        </w:tc>
        <w:tc>
          <w:tcPr>
            <w:tcW w:w="0" w:type="auto"/>
          </w:tcPr>
          <w:p w14:paraId="685FE5F2" w14:textId="77777777" w:rsidR="000A07C0" w:rsidRDefault="00000000">
            <w:pPr>
              <w:pStyle w:val="Compact"/>
            </w:pPr>
            <w:r>
              <w:t>Decision impact, affected population, autonomy, data sensitivity, external exposure, regulatory trigger</w:t>
            </w:r>
          </w:p>
        </w:tc>
        <w:tc>
          <w:tcPr>
            <w:tcW w:w="0" w:type="auto"/>
          </w:tcPr>
          <w:p w14:paraId="4205648F" w14:textId="77777777" w:rsidR="000A07C0" w:rsidRDefault="00000000">
            <w:pPr>
              <w:pStyle w:val="Compact"/>
            </w:pPr>
            <w:r>
              <w:t>Supports proportionate review and control depth</w:t>
            </w:r>
          </w:p>
        </w:tc>
        <w:tc>
          <w:tcPr>
            <w:tcW w:w="0" w:type="auto"/>
          </w:tcPr>
          <w:p w14:paraId="63EF8E26" w14:textId="77777777" w:rsidR="000A07C0" w:rsidRDefault="00000000">
            <w:pPr>
              <w:pStyle w:val="Compact"/>
            </w:pPr>
            <w:hyperlink r:id="rId55">
              <w:r>
                <w:rPr>
                  <w:rStyle w:val="Hyperlink"/>
                </w:rPr>
                <w:t>[45]</w:t>
              </w:r>
            </w:hyperlink>
          </w:p>
        </w:tc>
      </w:tr>
      <w:tr w:rsidR="000A07C0" w14:paraId="759193F4" w14:textId="77777777" w:rsidTr="003457B1">
        <w:tc>
          <w:tcPr>
            <w:tcW w:w="0" w:type="auto"/>
          </w:tcPr>
          <w:p w14:paraId="7AA0B85F" w14:textId="77777777" w:rsidR="000A07C0" w:rsidRDefault="00000000">
            <w:pPr>
              <w:pStyle w:val="Compact"/>
            </w:pPr>
            <w:r>
              <w:t>Vendor questionnaire and contract addendum</w:t>
            </w:r>
          </w:p>
        </w:tc>
        <w:tc>
          <w:tcPr>
            <w:tcW w:w="0" w:type="auto"/>
          </w:tcPr>
          <w:p w14:paraId="02CE11B9" w14:textId="77777777" w:rsidR="000A07C0" w:rsidRDefault="00000000">
            <w:pPr>
              <w:pStyle w:val="Compact"/>
            </w:pPr>
            <w:r>
              <w:t>Security, privacy, training data practices, sub-processors, testing, logging, change notice, non-use of customer data terms</w:t>
            </w:r>
          </w:p>
        </w:tc>
        <w:tc>
          <w:tcPr>
            <w:tcW w:w="0" w:type="auto"/>
          </w:tcPr>
          <w:p w14:paraId="368A8767" w14:textId="77777777" w:rsidR="000A07C0" w:rsidRDefault="00000000">
            <w:pPr>
              <w:pStyle w:val="Compact"/>
            </w:pPr>
            <w:r>
              <w:t>Necessary because third-party AI creates major hidden risk</w:t>
            </w:r>
          </w:p>
        </w:tc>
        <w:tc>
          <w:tcPr>
            <w:tcW w:w="0" w:type="auto"/>
          </w:tcPr>
          <w:p w14:paraId="7B793FCD" w14:textId="77777777" w:rsidR="000A07C0" w:rsidRDefault="00000000">
            <w:pPr>
              <w:pStyle w:val="Compact"/>
            </w:pPr>
            <w:hyperlink r:id="rId56">
              <w:r>
                <w:rPr>
                  <w:rStyle w:val="Hyperlink"/>
                </w:rPr>
                <w:t>[21]</w:t>
              </w:r>
            </w:hyperlink>
          </w:p>
        </w:tc>
      </w:tr>
      <w:tr w:rsidR="000A07C0" w14:paraId="307FEF0C" w14:textId="77777777" w:rsidTr="003457B1">
        <w:tc>
          <w:tcPr>
            <w:tcW w:w="0" w:type="auto"/>
          </w:tcPr>
          <w:p w14:paraId="6CE5FAD6" w14:textId="77777777" w:rsidR="000A07C0" w:rsidRDefault="00000000">
            <w:pPr>
              <w:pStyle w:val="Compact"/>
            </w:pPr>
            <w:r>
              <w:t>Dataset datasheet</w:t>
            </w:r>
          </w:p>
        </w:tc>
        <w:tc>
          <w:tcPr>
            <w:tcW w:w="0" w:type="auto"/>
          </w:tcPr>
          <w:p w14:paraId="4DD4E60B" w14:textId="77777777" w:rsidR="000A07C0" w:rsidRDefault="00000000">
            <w:pPr>
              <w:pStyle w:val="Compact"/>
            </w:pPr>
            <w:r>
              <w:t>Source, composition, collection method, rights, limitations, maintenance</w:t>
            </w:r>
          </w:p>
        </w:tc>
        <w:tc>
          <w:tcPr>
            <w:tcW w:w="0" w:type="auto"/>
          </w:tcPr>
          <w:p w14:paraId="7B8A0909" w14:textId="77777777" w:rsidR="000A07C0" w:rsidRDefault="00000000">
            <w:pPr>
              <w:pStyle w:val="Compact"/>
            </w:pPr>
            <w:r>
              <w:t>Improves transparency and downstream quality</w:t>
            </w:r>
          </w:p>
        </w:tc>
        <w:tc>
          <w:tcPr>
            <w:tcW w:w="0" w:type="auto"/>
          </w:tcPr>
          <w:p w14:paraId="7989A4B0" w14:textId="77777777" w:rsidR="000A07C0" w:rsidRDefault="00000000">
            <w:pPr>
              <w:pStyle w:val="Compact"/>
            </w:pPr>
            <w:hyperlink r:id="rId57">
              <w:r>
                <w:rPr>
                  <w:rStyle w:val="Hyperlink"/>
                </w:rPr>
                <w:t>[46]</w:t>
              </w:r>
            </w:hyperlink>
          </w:p>
        </w:tc>
      </w:tr>
      <w:tr w:rsidR="000A07C0" w14:paraId="1B0D5BF0" w14:textId="77777777" w:rsidTr="003457B1">
        <w:tc>
          <w:tcPr>
            <w:tcW w:w="0" w:type="auto"/>
          </w:tcPr>
          <w:p w14:paraId="3702639F" w14:textId="77777777" w:rsidR="000A07C0" w:rsidRDefault="00000000">
            <w:pPr>
              <w:pStyle w:val="Compact"/>
            </w:pPr>
            <w:r>
              <w:t>Model card / system card</w:t>
            </w:r>
          </w:p>
        </w:tc>
        <w:tc>
          <w:tcPr>
            <w:tcW w:w="0" w:type="auto"/>
          </w:tcPr>
          <w:p w14:paraId="71B49071" w14:textId="77777777" w:rsidR="000A07C0" w:rsidRDefault="00000000">
            <w:pPr>
              <w:pStyle w:val="Compact"/>
            </w:pPr>
            <w:r>
              <w:t>Intended use, limitations, evaluations, subgroup performance where relevant, known risks, release conditions</w:t>
            </w:r>
          </w:p>
        </w:tc>
        <w:tc>
          <w:tcPr>
            <w:tcW w:w="0" w:type="auto"/>
          </w:tcPr>
          <w:p w14:paraId="37163C68" w14:textId="77777777" w:rsidR="000A07C0" w:rsidRDefault="00000000">
            <w:pPr>
              <w:pStyle w:val="Compact"/>
            </w:pPr>
            <w:r>
              <w:t>Supports traceability and informed deployment</w:t>
            </w:r>
          </w:p>
        </w:tc>
        <w:tc>
          <w:tcPr>
            <w:tcW w:w="0" w:type="auto"/>
          </w:tcPr>
          <w:p w14:paraId="6B183746" w14:textId="77777777" w:rsidR="000A07C0" w:rsidRDefault="00000000">
            <w:pPr>
              <w:pStyle w:val="Compact"/>
            </w:pPr>
            <w:hyperlink r:id="rId58">
              <w:r>
                <w:rPr>
                  <w:rStyle w:val="Hyperlink"/>
                </w:rPr>
                <w:t>[47]</w:t>
              </w:r>
            </w:hyperlink>
          </w:p>
        </w:tc>
      </w:tr>
      <w:tr w:rsidR="000A07C0" w14:paraId="1C8981D1" w14:textId="77777777" w:rsidTr="003457B1">
        <w:tc>
          <w:tcPr>
            <w:tcW w:w="0" w:type="auto"/>
          </w:tcPr>
          <w:p w14:paraId="6A8CC20E" w14:textId="77777777" w:rsidR="000A07C0" w:rsidRDefault="00000000">
            <w:pPr>
              <w:pStyle w:val="Compact"/>
            </w:pPr>
            <w:r>
              <w:t>Evaluation and red-team report</w:t>
            </w:r>
          </w:p>
        </w:tc>
        <w:tc>
          <w:tcPr>
            <w:tcW w:w="0" w:type="auto"/>
          </w:tcPr>
          <w:p w14:paraId="34FD71F2" w14:textId="77777777" w:rsidR="000A07C0" w:rsidRDefault="00000000">
            <w:pPr>
              <w:pStyle w:val="Compact"/>
            </w:pPr>
            <w:r>
              <w:t xml:space="preserve">Test scope, metrics, adversarial results, unresolved risks, release </w:t>
            </w:r>
            <w:r>
              <w:lastRenderedPageBreak/>
              <w:t>recommendation</w:t>
            </w:r>
          </w:p>
        </w:tc>
        <w:tc>
          <w:tcPr>
            <w:tcW w:w="0" w:type="auto"/>
          </w:tcPr>
          <w:p w14:paraId="7A09291A" w14:textId="77777777" w:rsidR="000A07C0" w:rsidRDefault="00000000">
            <w:pPr>
              <w:pStyle w:val="Compact"/>
            </w:pPr>
            <w:r>
              <w:lastRenderedPageBreak/>
              <w:t xml:space="preserve">Shows whether controls worked </w:t>
            </w:r>
            <w:r>
              <w:lastRenderedPageBreak/>
              <w:t>before launch</w:t>
            </w:r>
          </w:p>
        </w:tc>
        <w:tc>
          <w:tcPr>
            <w:tcW w:w="0" w:type="auto"/>
          </w:tcPr>
          <w:p w14:paraId="4C7AC2A1" w14:textId="77777777" w:rsidR="000A07C0" w:rsidRDefault="00000000">
            <w:pPr>
              <w:pStyle w:val="Compact"/>
            </w:pPr>
            <w:hyperlink r:id="rId59">
              <w:r>
                <w:rPr>
                  <w:rStyle w:val="Hyperlink"/>
                </w:rPr>
                <w:t>[48]</w:t>
              </w:r>
            </w:hyperlink>
          </w:p>
        </w:tc>
      </w:tr>
      <w:tr w:rsidR="000A07C0" w14:paraId="070961EF" w14:textId="77777777" w:rsidTr="003457B1">
        <w:tc>
          <w:tcPr>
            <w:tcW w:w="0" w:type="auto"/>
          </w:tcPr>
          <w:p w14:paraId="6245F4E8" w14:textId="77777777" w:rsidR="000A07C0" w:rsidRDefault="00000000">
            <w:pPr>
              <w:pStyle w:val="Compact"/>
            </w:pPr>
            <w:r>
              <w:t>Incident playbook</w:t>
            </w:r>
          </w:p>
        </w:tc>
        <w:tc>
          <w:tcPr>
            <w:tcW w:w="0" w:type="auto"/>
          </w:tcPr>
          <w:p w14:paraId="30D15B26" w14:textId="77777777" w:rsidR="000A07C0" w:rsidRDefault="00000000">
            <w:pPr>
              <w:pStyle w:val="Compact"/>
            </w:pPr>
            <w:r>
              <w:t>Detection, severity, roles, containment, rollback, notification, evidence preservation</w:t>
            </w:r>
          </w:p>
        </w:tc>
        <w:tc>
          <w:tcPr>
            <w:tcW w:w="0" w:type="auto"/>
          </w:tcPr>
          <w:p w14:paraId="6AA285BD" w14:textId="77777777" w:rsidR="000A07C0" w:rsidRDefault="00000000">
            <w:pPr>
              <w:pStyle w:val="Compact"/>
            </w:pPr>
            <w:r>
              <w:t>AI failures often need faster rollback than ordinary software issues</w:t>
            </w:r>
          </w:p>
        </w:tc>
        <w:tc>
          <w:tcPr>
            <w:tcW w:w="0" w:type="auto"/>
          </w:tcPr>
          <w:p w14:paraId="77F181B1" w14:textId="77777777" w:rsidR="000A07C0" w:rsidRDefault="00000000">
            <w:pPr>
              <w:pStyle w:val="Compact"/>
            </w:pPr>
            <w:hyperlink r:id="rId60">
              <w:r>
                <w:rPr>
                  <w:rStyle w:val="Hyperlink"/>
                </w:rPr>
                <w:t>[49]</w:t>
              </w:r>
            </w:hyperlink>
          </w:p>
        </w:tc>
      </w:tr>
      <w:tr w:rsidR="000A07C0" w14:paraId="45AC0CAC" w14:textId="77777777" w:rsidTr="003457B1">
        <w:tc>
          <w:tcPr>
            <w:tcW w:w="0" w:type="auto"/>
          </w:tcPr>
          <w:p w14:paraId="0DFEC067" w14:textId="77777777" w:rsidR="000A07C0" w:rsidRDefault="00000000">
            <w:pPr>
              <w:pStyle w:val="Compact"/>
            </w:pPr>
            <w:r>
              <w:t>Monitoring dashboard</w:t>
            </w:r>
          </w:p>
        </w:tc>
        <w:tc>
          <w:tcPr>
            <w:tcW w:w="0" w:type="auto"/>
          </w:tcPr>
          <w:p w14:paraId="0127FA33" w14:textId="77777777" w:rsidR="000A07C0" w:rsidRDefault="00000000">
            <w:pPr>
              <w:pStyle w:val="Compact"/>
            </w:pPr>
            <w:r>
              <w:t>Drift, confabulation, abuse attempts, override rates, documentation completeness, overdue exceptions</w:t>
            </w:r>
          </w:p>
        </w:tc>
        <w:tc>
          <w:tcPr>
            <w:tcW w:w="0" w:type="auto"/>
          </w:tcPr>
          <w:p w14:paraId="75B634A4" w14:textId="77777777" w:rsidR="000A07C0" w:rsidRDefault="00000000">
            <w:pPr>
              <w:pStyle w:val="Compact"/>
            </w:pPr>
            <w:r>
              <w:t>Keeps governance alive after launch</w:t>
            </w:r>
          </w:p>
        </w:tc>
        <w:tc>
          <w:tcPr>
            <w:tcW w:w="0" w:type="auto"/>
          </w:tcPr>
          <w:p w14:paraId="6A0E67AB" w14:textId="77777777" w:rsidR="000A07C0" w:rsidRDefault="00000000">
            <w:pPr>
              <w:pStyle w:val="Compact"/>
            </w:pPr>
            <w:hyperlink r:id="rId61">
              <w:r>
                <w:rPr>
                  <w:rStyle w:val="Hyperlink"/>
                </w:rPr>
                <w:t>[50]</w:t>
              </w:r>
            </w:hyperlink>
          </w:p>
        </w:tc>
      </w:tr>
    </w:tbl>
    <w:p w14:paraId="746EFE7E" w14:textId="77777777" w:rsidR="000A07C0" w:rsidRDefault="00000000">
      <w:pPr>
        <w:pStyle w:val="Heading2"/>
      </w:pPr>
      <w:bookmarkStart w:id="11" w:name="controls-metrics-and-culture"/>
      <w:bookmarkStart w:id="12" w:name="_Toc228645495"/>
      <w:bookmarkEnd w:id="9"/>
      <w:r>
        <w:t>Controls, metrics, and culture</w:t>
      </w:r>
      <w:bookmarkEnd w:id="12"/>
    </w:p>
    <w:p w14:paraId="61262A12" w14:textId="77777777" w:rsidR="000A07C0" w:rsidRDefault="00000000">
      <w:pPr>
        <w:pStyle w:val="FirstParagraph"/>
      </w:pPr>
      <w:r>
        <w:t xml:space="preserve">The most effective AI controls are layered. Policy alone fails because </w:t>
      </w:r>
      <w:proofErr w:type="gramStart"/>
      <w:r>
        <w:t>employees</w:t>
      </w:r>
      <w:proofErr w:type="gramEnd"/>
      <w:r>
        <w:t xml:space="preserve"> route </w:t>
      </w:r>
      <w:r w:rsidRPr="00233818">
        <w:t>around it. Pure technical controls fail because business owners still choose risky uses. Good governance therefore combines policy controls, workflow controls, technical controls, and assurance controls. NIST’s Playbook, the ICO toolkit, OWASP guidance, ENISA security work, and CISA/NCSC secure-development guidance all point toward this same conclusion.</w:t>
      </w:r>
      <w:r>
        <w:t xml:space="preserve"> </w:t>
      </w:r>
      <w:hyperlink r:id="rId62">
        <w:r>
          <w:rPr>
            <w:rStyle w:val="Hyperlink"/>
          </w:rPr>
          <w:t>[51]</w:t>
        </w:r>
      </w:hyperlink>
    </w:p>
    <w:p w14:paraId="1028EFF3" w14:textId="77777777" w:rsidR="000A07C0" w:rsidRDefault="00000000">
      <w:pPr>
        <w:pStyle w:val="BodyText"/>
      </w:pPr>
      <w:r>
        <w:t>Below is a practical risk-control matrix that organizations can adapt immediately.</w:t>
      </w:r>
    </w:p>
    <w:tbl>
      <w:tblPr>
        <w:tblStyle w:val="TableGrid"/>
        <w:tblW w:w="0" w:type="auto"/>
        <w:tblLook w:val="0020" w:firstRow="1" w:lastRow="0" w:firstColumn="0" w:lastColumn="0" w:noHBand="0" w:noVBand="0"/>
      </w:tblPr>
      <w:tblGrid>
        <w:gridCol w:w="1920"/>
        <w:gridCol w:w="2897"/>
        <w:gridCol w:w="2630"/>
        <w:gridCol w:w="2129"/>
      </w:tblGrid>
      <w:tr w:rsidR="000A07C0" w14:paraId="64956281" w14:textId="77777777" w:rsidTr="003457B1">
        <w:tc>
          <w:tcPr>
            <w:tcW w:w="0" w:type="auto"/>
          </w:tcPr>
          <w:p w14:paraId="0D89F6FA" w14:textId="77777777" w:rsidR="000A07C0" w:rsidRDefault="00000000">
            <w:pPr>
              <w:pStyle w:val="Compact"/>
            </w:pPr>
            <w:r>
              <w:t>Risk area</w:t>
            </w:r>
          </w:p>
        </w:tc>
        <w:tc>
          <w:tcPr>
            <w:tcW w:w="0" w:type="auto"/>
          </w:tcPr>
          <w:p w14:paraId="00D4830E" w14:textId="77777777" w:rsidR="000A07C0" w:rsidRDefault="00000000">
            <w:pPr>
              <w:pStyle w:val="Compact"/>
            </w:pPr>
            <w:r>
              <w:t>Practical controls</w:t>
            </w:r>
          </w:p>
        </w:tc>
        <w:tc>
          <w:tcPr>
            <w:tcW w:w="0" w:type="auto"/>
          </w:tcPr>
          <w:p w14:paraId="73B46655" w14:textId="77777777" w:rsidR="000A07C0" w:rsidRDefault="00000000">
            <w:pPr>
              <w:pStyle w:val="Compact"/>
            </w:pPr>
            <w:r>
              <w:t>Technical measures</w:t>
            </w:r>
          </w:p>
        </w:tc>
        <w:tc>
          <w:tcPr>
            <w:tcW w:w="0" w:type="auto"/>
          </w:tcPr>
          <w:p w14:paraId="6AC6B833" w14:textId="77777777" w:rsidR="000A07C0" w:rsidRDefault="00000000">
            <w:pPr>
              <w:pStyle w:val="Compact"/>
            </w:pPr>
            <w:r>
              <w:t>Evidence to retain</w:t>
            </w:r>
          </w:p>
        </w:tc>
      </w:tr>
      <w:tr w:rsidR="000A07C0" w14:paraId="1045203E" w14:textId="77777777" w:rsidTr="003457B1">
        <w:tc>
          <w:tcPr>
            <w:tcW w:w="0" w:type="auto"/>
          </w:tcPr>
          <w:p w14:paraId="51F0D0F2" w14:textId="77777777" w:rsidR="000A07C0" w:rsidRDefault="00000000">
            <w:pPr>
              <w:pStyle w:val="Compact"/>
            </w:pPr>
            <w:r>
              <w:t>Inaccuracy / confabulation</w:t>
            </w:r>
          </w:p>
        </w:tc>
        <w:tc>
          <w:tcPr>
            <w:tcW w:w="0" w:type="auto"/>
          </w:tcPr>
          <w:p w14:paraId="1E8CA4D7" w14:textId="77777777" w:rsidR="000A07C0" w:rsidRDefault="00000000">
            <w:pPr>
              <w:pStyle w:val="Compact"/>
            </w:pPr>
            <w:r>
              <w:t>Restrict high-stakes decision use; require source-grounding where feasible; human review for material outputs; define acceptable error thresholds</w:t>
            </w:r>
          </w:p>
        </w:tc>
        <w:tc>
          <w:tcPr>
            <w:tcW w:w="0" w:type="auto"/>
          </w:tcPr>
          <w:p w14:paraId="149C862E" w14:textId="77777777" w:rsidR="000A07C0" w:rsidRDefault="00000000">
            <w:pPr>
              <w:pStyle w:val="Compact"/>
            </w:pPr>
            <w:r>
              <w:t>Retrieval grounding, citation checks, evaluation harnesses, fallback logic, confidence or abstention rules where appropriate</w:t>
            </w:r>
          </w:p>
        </w:tc>
        <w:tc>
          <w:tcPr>
            <w:tcW w:w="0" w:type="auto"/>
          </w:tcPr>
          <w:p w14:paraId="53D43D6B" w14:textId="77777777" w:rsidR="000A07C0" w:rsidRDefault="00000000">
            <w:pPr>
              <w:pStyle w:val="Compact"/>
            </w:pPr>
            <w:r>
              <w:t xml:space="preserve">Validation report, sample outputs, post-launch quality metrics </w:t>
            </w:r>
            <w:hyperlink r:id="rId63">
              <w:r>
                <w:rPr>
                  <w:rStyle w:val="Hyperlink"/>
                </w:rPr>
                <w:t>[52]</w:t>
              </w:r>
            </w:hyperlink>
          </w:p>
        </w:tc>
      </w:tr>
      <w:tr w:rsidR="000A07C0" w14:paraId="4B0910DC" w14:textId="77777777" w:rsidTr="003457B1">
        <w:tc>
          <w:tcPr>
            <w:tcW w:w="0" w:type="auto"/>
          </w:tcPr>
          <w:p w14:paraId="46F2B35B" w14:textId="77777777" w:rsidR="000A07C0" w:rsidRDefault="00000000">
            <w:pPr>
              <w:pStyle w:val="Compact"/>
            </w:pPr>
            <w:r>
              <w:t>Bias / discrimination</w:t>
            </w:r>
          </w:p>
        </w:tc>
        <w:tc>
          <w:tcPr>
            <w:tcW w:w="0" w:type="auto"/>
          </w:tcPr>
          <w:p w14:paraId="67D772D0" w14:textId="77777777" w:rsidR="000A07C0" w:rsidRDefault="00000000">
            <w:pPr>
              <w:pStyle w:val="Compact"/>
            </w:pPr>
            <w:r>
              <w:t>Fairness review for employment, lending, pricing, education, healthcare, and similar uses; subgroup testing; contestability</w:t>
            </w:r>
          </w:p>
        </w:tc>
        <w:tc>
          <w:tcPr>
            <w:tcW w:w="0" w:type="auto"/>
          </w:tcPr>
          <w:p w14:paraId="4F5C7DB6" w14:textId="77777777" w:rsidR="000A07C0" w:rsidRDefault="00000000">
            <w:pPr>
              <w:pStyle w:val="Compact"/>
            </w:pPr>
            <w:r>
              <w:t>Representative testing datasets, bias metrics, documented thresholds, review queue for adverse decisions</w:t>
            </w:r>
          </w:p>
        </w:tc>
        <w:tc>
          <w:tcPr>
            <w:tcW w:w="0" w:type="auto"/>
          </w:tcPr>
          <w:p w14:paraId="2A4F9B64" w14:textId="77777777" w:rsidR="000A07C0" w:rsidRDefault="00000000">
            <w:pPr>
              <w:pStyle w:val="Compact"/>
            </w:pPr>
            <w:r>
              <w:t xml:space="preserve">Impact assessment, subgroup results, remediation log </w:t>
            </w:r>
            <w:hyperlink r:id="rId64">
              <w:r>
                <w:rPr>
                  <w:rStyle w:val="Hyperlink"/>
                </w:rPr>
                <w:t>[53]</w:t>
              </w:r>
            </w:hyperlink>
          </w:p>
        </w:tc>
      </w:tr>
      <w:tr w:rsidR="000A07C0" w14:paraId="16181E2C" w14:textId="77777777" w:rsidTr="003457B1">
        <w:tc>
          <w:tcPr>
            <w:tcW w:w="0" w:type="auto"/>
          </w:tcPr>
          <w:p w14:paraId="35D8B757" w14:textId="77777777" w:rsidR="000A07C0" w:rsidRDefault="00000000">
            <w:pPr>
              <w:pStyle w:val="Compact"/>
            </w:pPr>
            <w:r>
              <w:t>Privacy / secret leakage</w:t>
            </w:r>
          </w:p>
        </w:tc>
        <w:tc>
          <w:tcPr>
            <w:tcW w:w="0" w:type="auto"/>
          </w:tcPr>
          <w:p w14:paraId="55FE6244" w14:textId="77777777" w:rsidR="000A07C0" w:rsidRDefault="00000000">
            <w:pPr>
              <w:pStyle w:val="Compact"/>
            </w:pPr>
            <w:r>
              <w:t>Prohibit sensitive data entry into unauthorized tools; data minimization; lawful-basis and notice review; retention limits</w:t>
            </w:r>
          </w:p>
        </w:tc>
        <w:tc>
          <w:tcPr>
            <w:tcW w:w="0" w:type="auto"/>
          </w:tcPr>
          <w:p w14:paraId="1B0CA67E" w14:textId="77777777" w:rsidR="000A07C0" w:rsidRDefault="00000000">
            <w:pPr>
              <w:pStyle w:val="Compact"/>
            </w:pPr>
            <w:r>
              <w:t>DLP, redaction, private endpoints, encryption, key management, access controls, log minimization</w:t>
            </w:r>
          </w:p>
        </w:tc>
        <w:tc>
          <w:tcPr>
            <w:tcW w:w="0" w:type="auto"/>
          </w:tcPr>
          <w:p w14:paraId="4F5BF6CE" w14:textId="77777777" w:rsidR="000A07C0" w:rsidRDefault="00000000">
            <w:pPr>
              <w:pStyle w:val="Compact"/>
            </w:pPr>
            <w:r>
              <w:t xml:space="preserve">DPIA/AIIA, data-flow map, access logs </w:t>
            </w:r>
            <w:hyperlink r:id="rId65">
              <w:r>
                <w:rPr>
                  <w:rStyle w:val="Hyperlink"/>
                </w:rPr>
                <w:t>[54]</w:t>
              </w:r>
            </w:hyperlink>
          </w:p>
        </w:tc>
      </w:tr>
      <w:tr w:rsidR="000A07C0" w14:paraId="20D821D0" w14:textId="77777777" w:rsidTr="003457B1">
        <w:tc>
          <w:tcPr>
            <w:tcW w:w="0" w:type="auto"/>
          </w:tcPr>
          <w:p w14:paraId="364A2F96" w14:textId="77777777" w:rsidR="000A07C0" w:rsidRDefault="00000000">
            <w:pPr>
              <w:pStyle w:val="Compact"/>
            </w:pPr>
            <w:r>
              <w:t>Prompt injection / tool abuse</w:t>
            </w:r>
          </w:p>
        </w:tc>
        <w:tc>
          <w:tcPr>
            <w:tcW w:w="0" w:type="auto"/>
          </w:tcPr>
          <w:p w14:paraId="571070C5" w14:textId="77777777" w:rsidR="000A07C0" w:rsidRDefault="00000000">
            <w:pPr>
              <w:pStyle w:val="Compact"/>
            </w:pPr>
            <w:r>
              <w:t xml:space="preserve">Treat the model as untrusted at boundaries; least privilege; approve </w:t>
            </w:r>
            <w:r>
              <w:lastRenderedPageBreak/>
              <w:t>high-risk actions; isolate untrusted content</w:t>
            </w:r>
          </w:p>
        </w:tc>
        <w:tc>
          <w:tcPr>
            <w:tcW w:w="0" w:type="auto"/>
          </w:tcPr>
          <w:p w14:paraId="2CC32942" w14:textId="77777777" w:rsidR="000A07C0" w:rsidRDefault="00000000">
            <w:pPr>
              <w:pStyle w:val="Compact"/>
            </w:pPr>
            <w:r>
              <w:lastRenderedPageBreak/>
              <w:t xml:space="preserve">Input/output filtering, </w:t>
            </w:r>
            <w:proofErr w:type="gramStart"/>
            <w:r>
              <w:t>allowlisted</w:t>
            </w:r>
            <w:proofErr w:type="gramEnd"/>
            <w:r>
              <w:t xml:space="preserve"> tools, privilege separation, </w:t>
            </w:r>
            <w:r>
              <w:lastRenderedPageBreak/>
              <w:t>sandboxing, HITL for privileged actions, adversarial testing</w:t>
            </w:r>
          </w:p>
        </w:tc>
        <w:tc>
          <w:tcPr>
            <w:tcW w:w="0" w:type="auto"/>
          </w:tcPr>
          <w:p w14:paraId="56128DD6" w14:textId="77777777" w:rsidR="000A07C0" w:rsidRDefault="00000000">
            <w:pPr>
              <w:pStyle w:val="Compact"/>
            </w:pPr>
            <w:r>
              <w:lastRenderedPageBreak/>
              <w:t xml:space="preserve">Threat model, red-team findings, incident records </w:t>
            </w:r>
            <w:hyperlink r:id="rId66">
              <w:r>
                <w:rPr>
                  <w:rStyle w:val="Hyperlink"/>
                </w:rPr>
                <w:t>[55]</w:t>
              </w:r>
            </w:hyperlink>
          </w:p>
        </w:tc>
      </w:tr>
      <w:tr w:rsidR="000A07C0" w14:paraId="3BD4735B" w14:textId="77777777" w:rsidTr="003457B1">
        <w:tc>
          <w:tcPr>
            <w:tcW w:w="0" w:type="auto"/>
          </w:tcPr>
          <w:p w14:paraId="1E95DE97" w14:textId="77777777" w:rsidR="000A07C0" w:rsidRDefault="00000000">
            <w:pPr>
              <w:pStyle w:val="Compact"/>
            </w:pPr>
            <w:r>
              <w:lastRenderedPageBreak/>
              <w:t>Supply-chain / vendor risk</w:t>
            </w:r>
          </w:p>
        </w:tc>
        <w:tc>
          <w:tcPr>
            <w:tcW w:w="0" w:type="auto"/>
          </w:tcPr>
          <w:p w14:paraId="7688F8E8" w14:textId="77777777" w:rsidR="000A07C0" w:rsidRDefault="00000000">
            <w:pPr>
              <w:pStyle w:val="Compact"/>
            </w:pPr>
            <w:r>
              <w:t>AI-specific procurement review, change-notice clauses, concentration monitoring, fallback vendor plan</w:t>
            </w:r>
          </w:p>
        </w:tc>
        <w:tc>
          <w:tcPr>
            <w:tcW w:w="0" w:type="auto"/>
          </w:tcPr>
          <w:p w14:paraId="7FC1C301" w14:textId="77777777" w:rsidR="000A07C0" w:rsidRDefault="00000000">
            <w:pPr>
              <w:pStyle w:val="Compact"/>
            </w:pPr>
            <w:r>
              <w:t>Dependency inventory, SBOM/AIBOM where available, version pinning, vendor telemetry, failover patterns</w:t>
            </w:r>
          </w:p>
        </w:tc>
        <w:tc>
          <w:tcPr>
            <w:tcW w:w="0" w:type="auto"/>
          </w:tcPr>
          <w:p w14:paraId="4762FEC4" w14:textId="77777777" w:rsidR="000A07C0" w:rsidRDefault="00000000">
            <w:pPr>
              <w:pStyle w:val="Compact"/>
            </w:pPr>
            <w:r>
              <w:t xml:space="preserve">Vendor questionnaire, contract, concentration report </w:t>
            </w:r>
            <w:hyperlink r:id="rId67">
              <w:r>
                <w:rPr>
                  <w:rStyle w:val="Hyperlink"/>
                </w:rPr>
                <w:t>[56]</w:t>
              </w:r>
            </w:hyperlink>
          </w:p>
        </w:tc>
      </w:tr>
      <w:tr w:rsidR="000A07C0" w14:paraId="548AE0C8" w14:textId="77777777" w:rsidTr="003457B1">
        <w:tc>
          <w:tcPr>
            <w:tcW w:w="0" w:type="auto"/>
          </w:tcPr>
          <w:p w14:paraId="605A2ED7" w14:textId="77777777" w:rsidR="000A07C0" w:rsidRDefault="00000000">
            <w:pPr>
              <w:pStyle w:val="Compact"/>
            </w:pPr>
            <w:r>
              <w:t>IP / copyright risk</w:t>
            </w:r>
          </w:p>
        </w:tc>
        <w:tc>
          <w:tcPr>
            <w:tcW w:w="0" w:type="auto"/>
          </w:tcPr>
          <w:p w14:paraId="7EC3E490" w14:textId="77777777" w:rsidR="000A07C0" w:rsidRDefault="00000000">
            <w:pPr>
              <w:pStyle w:val="Compact"/>
            </w:pPr>
            <w:r>
              <w:t>Define permitted use of copyrighted materials; review model and output terms; train staff on reuse and attribution; route external publication through review when needed</w:t>
            </w:r>
          </w:p>
        </w:tc>
        <w:tc>
          <w:tcPr>
            <w:tcW w:w="0" w:type="auto"/>
          </w:tcPr>
          <w:p w14:paraId="3C246F2F" w14:textId="77777777" w:rsidR="000A07C0" w:rsidRDefault="00000000">
            <w:pPr>
              <w:pStyle w:val="Compact"/>
            </w:pPr>
            <w:r>
              <w:t xml:space="preserve">Content provenance tools </w:t>
            </w:r>
            <w:proofErr w:type="gramStart"/>
            <w:r>
              <w:t>where</w:t>
            </w:r>
            <w:proofErr w:type="gramEnd"/>
            <w:r>
              <w:t xml:space="preserve"> useful, repository controls, prompt/output retention for disputes</w:t>
            </w:r>
          </w:p>
        </w:tc>
        <w:tc>
          <w:tcPr>
            <w:tcW w:w="0" w:type="auto"/>
          </w:tcPr>
          <w:p w14:paraId="5CCA361D" w14:textId="77777777" w:rsidR="000A07C0" w:rsidRDefault="00000000">
            <w:pPr>
              <w:pStyle w:val="Compact"/>
            </w:pPr>
            <w:r>
              <w:t xml:space="preserve">Rights review, publication approval, output provenance record </w:t>
            </w:r>
            <w:hyperlink r:id="rId68">
              <w:r>
                <w:rPr>
                  <w:rStyle w:val="Hyperlink"/>
                </w:rPr>
                <w:t>[57]</w:t>
              </w:r>
            </w:hyperlink>
          </w:p>
        </w:tc>
      </w:tr>
      <w:tr w:rsidR="000A07C0" w14:paraId="03A09A65" w14:textId="77777777" w:rsidTr="003457B1">
        <w:tc>
          <w:tcPr>
            <w:tcW w:w="0" w:type="auto"/>
          </w:tcPr>
          <w:p w14:paraId="6EDE4839" w14:textId="77777777" w:rsidR="000A07C0" w:rsidRDefault="00000000">
            <w:pPr>
              <w:pStyle w:val="Compact"/>
            </w:pPr>
            <w:r>
              <w:t>Security / adversarial ML</w:t>
            </w:r>
          </w:p>
        </w:tc>
        <w:tc>
          <w:tcPr>
            <w:tcW w:w="0" w:type="auto"/>
          </w:tcPr>
          <w:p w14:paraId="60859E4D" w14:textId="77777777" w:rsidR="000A07C0" w:rsidRDefault="00000000">
            <w:pPr>
              <w:pStyle w:val="Compact"/>
            </w:pPr>
            <w:r>
              <w:t>Include AI in secure SDLC; monitor for poisoning, exfiltration, model theft, and misuse</w:t>
            </w:r>
          </w:p>
        </w:tc>
        <w:tc>
          <w:tcPr>
            <w:tcW w:w="0" w:type="auto"/>
          </w:tcPr>
          <w:p w14:paraId="0116E9E3" w14:textId="77777777" w:rsidR="000A07C0" w:rsidRDefault="00000000">
            <w:pPr>
              <w:pStyle w:val="Compact"/>
            </w:pPr>
            <w:r>
              <w:t>IAM, segmented environments, logging, anomaly detection, AML testing, incident response, secure-by-design patterns</w:t>
            </w:r>
          </w:p>
        </w:tc>
        <w:tc>
          <w:tcPr>
            <w:tcW w:w="0" w:type="auto"/>
          </w:tcPr>
          <w:p w14:paraId="67174AE1" w14:textId="77777777" w:rsidR="000A07C0" w:rsidRDefault="00000000">
            <w:pPr>
              <w:pStyle w:val="Compact"/>
            </w:pPr>
            <w:r>
              <w:t xml:space="preserve">Security review, monitoring baseline, exercise results </w:t>
            </w:r>
            <w:hyperlink r:id="rId69">
              <w:r>
                <w:rPr>
                  <w:rStyle w:val="Hyperlink"/>
                </w:rPr>
                <w:t>[58]</w:t>
              </w:r>
            </w:hyperlink>
          </w:p>
        </w:tc>
      </w:tr>
      <w:tr w:rsidR="000A07C0" w14:paraId="256BBE04" w14:textId="77777777" w:rsidTr="003457B1">
        <w:tc>
          <w:tcPr>
            <w:tcW w:w="0" w:type="auto"/>
          </w:tcPr>
          <w:p w14:paraId="434FCEE9" w14:textId="77777777" w:rsidR="000A07C0" w:rsidRDefault="00000000">
            <w:pPr>
              <w:pStyle w:val="Compact"/>
            </w:pPr>
            <w:r>
              <w:t>Misleading claims / transparency failures</w:t>
            </w:r>
          </w:p>
        </w:tc>
        <w:tc>
          <w:tcPr>
            <w:tcW w:w="0" w:type="auto"/>
          </w:tcPr>
          <w:p w14:paraId="67C19FA7" w14:textId="77777777" w:rsidR="000A07C0" w:rsidRDefault="00000000">
            <w:pPr>
              <w:pStyle w:val="Compact"/>
            </w:pPr>
            <w:r>
              <w:t>Marketing and sales claims review; disclose AI interaction where appropriate; publish limits and intended use</w:t>
            </w:r>
          </w:p>
        </w:tc>
        <w:tc>
          <w:tcPr>
            <w:tcW w:w="0" w:type="auto"/>
          </w:tcPr>
          <w:p w14:paraId="0A16AFCD" w14:textId="77777777" w:rsidR="000A07C0" w:rsidRDefault="00000000">
            <w:pPr>
              <w:pStyle w:val="Compact"/>
            </w:pPr>
            <w:r>
              <w:t xml:space="preserve">Output labels </w:t>
            </w:r>
            <w:proofErr w:type="gramStart"/>
            <w:r>
              <w:t>where</w:t>
            </w:r>
            <w:proofErr w:type="gramEnd"/>
            <w:r>
              <w:t xml:space="preserve"> needed, audit trails, review workflows for public claims</w:t>
            </w:r>
          </w:p>
        </w:tc>
        <w:tc>
          <w:tcPr>
            <w:tcW w:w="0" w:type="auto"/>
          </w:tcPr>
          <w:p w14:paraId="2362EEB1" w14:textId="77777777" w:rsidR="000A07C0" w:rsidRDefault="00000000">
            <w:pPr>
              <w:pStyle w:val="Compact"/>
            </w:pPr>
            <w:r>
              <w:t xml:space="preserve">Claims substantiation file, disclosures, approvals </w:t>
            </w:r>
            <w:hyperlink r:id="rId70">
              <w:r>
                <w:rPr>
                  <w:rStyle w:val="Hyperlink"/>
                </w:rPr>
                <w:t>[59]</w:t>
              </w:r>
            </w:hyperlink>
          </w:p>
        </w:tc>
      </w:tr>
    </w:tbl>
    <w:p w14:paraId="31655E65" w14:textId="77777777" w:rsidR="000A07C0" w:rsidRDefault="00000000">
      <w:pPr>
        <w:pStyle w:val="BodyText"/>
      </w:pPr>
      <w:r>
        <w:t xml:space="preserve">For generative AI and agents, several technical measures deserve special emphasis. The most important are: separate model prompts from executable system actions; avoid granting agents broad standing permissions; require human approval for payments, HR actions, legal communications, code merges, or external publication; validate outputs before they trigger downstream systems; isolate untrusted retrieved content; and log enough context to investigate incidents without retaining more personal data than necessary. Those priorities are directly aligned with OWASP’s 2025 LLM risk categories, NIST adversarial-ML work, and recent CISA guidance on agentic-AI adoption. </w:t>
      </w:r>
      <w:hyperlink r:id="rId71">
        <w:r>
          <w:rPr>
            <w:rStyle w:val="Hyperlink"/>
          </w:rPr>
          <w:t>[60]</w:t>
        </w:r>
      </w:hyperlink>
    </w:p>
    <w:p w14:paraId="18E31259" w14:textId="77777777" w:rsidR="000A07C0" w:rsidRDefault="00000000">
      <w:pPr>
        <w:pStyle w:val="BodyText"/>
      </w:pPr>
      <w:r>
        <w:t xml:space="preserve">Metrics should demonstrate both risk reduction and business control quality. The most useful KPIs are usually: percentage of AI use cases registered in inventory; percentage of medium/high-risk uses with completed impact assessments; percentage of systems with current model cards or equivalent release documentation; fair-testing coverage rate for sensitive uses; prompt-injection or abuse-block rate; confabulation/grounding error rate </w:t>
      </w:r>
      <w:r>
        <w:lastRenderedPageBreak/>
        <w:t xml:space="preserve">for selected workflows; percentage of privileged AI actions requiring human approval; vendor concentration by critical workflow; mean time to detect and contain AI incidents; training completion by role; overdue exceptions; and audit findings closed on time. NIST’s Measure function strongly supports this emphasis on explicit methods, metrics, thresholds, and post-deployment tracking. </w:t>
      </w:r>
      <w:hyperlink r:id="rId72">
        <w:r>
          <w:rPr>
            <w:rStyle w:val="Hyperlink"/>
          </w:rPr>
          <w:t>[27]</w:t>
        </w:r>
      </w:hyperlink>
    </w:p>
    <w:p w14:paraId="5A43A903" w14:textId="77777777" w:rsidR="000A07C0" w:rsidRDefault="00000000">
      <w:pPr>
        <w:pStyle w:val="BodyText"/>
      </w:pPr>
      <w:r>
        <w:t xml:space="preserve">Culture is the multiplier. High-performing AI governance programs make safe use easier than unsafe use. They provide approved tools, approved patterns, rapid review lanes for low-risk productivity cases, communities of practice, office hours, playbooks, and a non-punitive reporting path for near misses. They also train managers to redesign work rather than merely announce AI policies. The EU AI Act’s AI-literacy requirement, the UK’s emphasis on explainability and contestability, and labor-market guidance from international bodies all point to the same conclusion: governance is partly a people capability, not only a compliance process. </w:t>
      </w:r>
      <w:hyperlink r:id="rId73">
        <w:r>
          <w:rPr>
            <w:rStyle w:val="Hyperlink"/>
          </w:rPr>
          <w:t>[61]</w:t>
        </w:r>
      </w:hyperlink>
    </w:p>
    <w:p w14:paraId="70B7B945" w14:textId="77777777" w:rsidR="000A07C0" w:rsidRDefault="00000000">
      <w:pPr>
        <w:pStyle w:val="Heading2"/>
      </w:pPr>
      <w:bookmarkStart w:id="13" w:name="legal-and-regulatory-landscape"/>
      <w:bookmarkStart w:id="14" w:name="_Toc228645496"/>
      <w:bookmarkEnd w:id="11"/>
      <w:r>
        <w:t>Legal and regulatory landscape</w:t>
      </w:r>
      <w:bookmarkEnd w:id="14"/>
    </w:p>
    <w:p w14:paraId="534B7C75" w14:textId="77777777" w:rsidR="000A07C0" w:rsidRDefault="00000000">
      <w:pPr>
        <w:pStyle w:val="FirstParagraph"/>
      </w:pPr>
      <w:r>
        <w:t xml:space="preserve">The regulatory picture is converging around a few durable themes: lifecycle accountability, differentiated duties for different actors, risk-based obligations, transparency, human oversight, documentation, testing, and training. But the mechanisms differ sharply across jurisdictions. A company-wide governance program should therefore be built to the </w:t>
      </w:r>
      <w:r w:rsidRPr="00233818">
        <w:t>strictest common denominator</w:t>
      </w:r>
      <w:r>
        <w:t xml:space="preserve"> for documentation, approvals, evidence retention, and monitoring, then layered with local legal requirements. </w:t>
      </w:r>
      <w:hyperlink r:id="rId74">
        <w:r>
          <w:rPr>
            <w:rStyle w:val="Hyperlink"/>
          </w:rPr>
          <w:t>[62]</w:t>
        </w:r>
      </w:hyperlink>
    </w:p>
    <w:p w14:paraId="11F28007" w14:textId="77777777" w:rsidR="000A07C0" w:rsidRDefault="00000000">
      <w:pPr>
        <w:pStyle w:val="BodyText"/>
      </w:pPr>
      <w:r>
        <w:t xml:space="preserve">In the EU, the AI Act is the anchor. The European Commission describes it as the first comprehensive legal framework on AI worldwide, with progressively applicable requirements through August 2027. Definitions and AI literacy obligations and certain prohibitions already apply; obligations for general-purpose AI models began applying in August 2025; and full rollout is foreseen by August 2027. Providers of high-risk systems must maintain a documented quality-management system, and deployers face role-specific duties as well. The Commission’s guidance and FAQs also make clear that prohibited practices include, among other things, certain emotion recognition uses in the workplace and education. </w:t>
      </w:r>
      <w:hyperlink r:id="rId75">
        <w:r>
          <w:rPr>
            <w:rStyle w:val="Hyperlink"/>
          </w:rPr>
          <w:t>[63]</w:t>
        </w:r>
      </w:hyperlink>
    </w:p>
    <w:p w14:paraId="1F26591F" w14:textId="77777777" w:rsidR="000A07C0" w:rsidRDefault="00000000">
      <w:pPr>
        <w:pStyle w:val="BodyText"/>
      </w:pPr>
      <w:r>
        <w:t xml:space="preserve">In the U.S., the private-sector landscape remains fragmented and is best understood as </w:t>
      </w:r>
      <w:r>
        <w:rPr>
          <w:b/>
          <w:bCs/>
        </w:rPr>
        <w:t>existing-law enforcement plus procurement and government-use rules plus growing state legislation</w:t>
      </w:r>
      <w:r>
        <w:t>. Federal agencies have repeatedly stated that existing legal authorities apply to automated systems and AI. A 2023 joint statement by the Federal Trade Commission</w:t>
      </w:r>
      <w:hyperlink r:id="rId76">
        <w:r>
          <w:rPr>
            <w:rStyle w:val="Hyperlink"/>
          </w:rPr>
          <w:t>[64]</w:t>
        </w:r>
      </w:hyperlink>
      <w:r>
        <w:t>, the Consumer Financial Protection Bureau, the Civil Rights Division of the Department of Justice, and the Equal Employment Opportunity Commission</w:t>
      </w:r>
      <w:hyperlink r:id="rId77">
        <w:r>
          <w:rPr>
            <w:rStyle w:val="Hyperlink"/>
          </w:rPr>
          <w:t>[65]</w:t>
        </w:r>
      </w:hyperlink>
      <w:r>
        <w:t xml:space="preserve"> said that AI does not create an exemption from civil-rights, fair-lending, consumer-protection, and competition law. The FTC has since brought multiple AI-related actions around deceptive claims and harmful tools. For federal agencies, OMB’s 2025 memorandum replaced earlier guidance but still requires governance, clear workforce expectations, designated AI leadership, and safeguards for civil rights, civil liberties, and privacy. At the </w:t>
      </w:r>
      <w:r>
        <w:lastRenderedPageBreak/>
        <w:t xml:space="preserve">state level, Colorado enacted SB24-205 on high-risk AI and algorithmic discrimination, and Utah enacted disclosure-oriented AI legislation. Stanford HAI’s 2025 AI Index also found that U.S. AI regulation was increasingly moving to the states amid relatively slow federal legislative progress. </w:t>
      </w:r>
      <w:hyperlink r:id="rId78">
        <w:r>
          <w:rPr>
            <w:rStyle w:val="Hyperlink"/>
          </w:rPr>
          <w:t>[66]</w:t>
        </w:r>
      </w:hyperlink>
    </w:p>
    <w:p w14:paraId="1D35C62B" w14:textId="77777777" w:rsidR="000A07C0" w:rsidRDefault="00000000">
      <w:pPr>
        <w:pStyle w:val="BodyText"/>
      </w:pPr>
      <w:r>
        <w:t xml:space="preserve">The current federal executive branch policy direction in the U.S. is more pro-adoption and less prescriptive than the earlier 2024 approach, but that does </w:t>
      </w:r>
      <w:r>
        <w:rPr>
          <w:b/>
          <w:bCs/>
        </w:rPr>
        <w:t>not</w:t>
      </w:r>
      <w:r>
        <w:t xml:space="preserve"> eliminate legal exposure. The 2025 OMB memo emphasizes innovation and public trust together, and the White House’s later actions seek a more uniform national policy framework relative to state laws. For companies, the practical takeaway is that even if federal AI-specific legislation remains limited, the compliance burden is still real because it arises through privacy, consumer protection, civil rights, sector law, procurement, and state obligations. </w:t>
      </w:r>
      <w:hyperlink r:id="rId79">
        <w:r>
          <w:rPr>
            <w:rStyle w:val="Hyperlink"/>
          </w:rPr>
          <w:t>[67]</w:t>
        </w:r>
      </w:hyperlink>
    </w:p>
    <w:p w14:paraId="3300132C" w14:textId="77777777" w:rsidR="000A07C0" w:rsidRDefault="00000000">
      <w:pPr>
        <w:pStyle w:val="BodyText"/>
      </w:pPr>
      <w:r>
        <w:t xml:space="preserve">The UK continues to emphasize a sector-based, </w:t>
      </w:r>
      <w:proofErr w:type="gramStart"/>
      <w:r>
        <w:t>principles</w:t>
      </w:r>
      <w:proofErr w:type="gramEnd"/>
      <w:r>
        <w:t>-led model rather than a single horizontal AI statute. The government’s AI white paper sets out five cross-sector principles: safety, security and robustness; appropriate transparency and explainability; fairness; accountability and governance; and contestability and redress. The UK has also advanced a broader economic and public-sector adoption agenda through its AI Opportunities Action Plan and 2026 progress update, while the Information Commissioner's Office</w:t>
      </w:r>
      <w:hyperlink r:id="rId80">
        <w:r>
          <w:rPr>
            <w:rStyle w:val="Hyperlink"/>
          </w:rPr>
          <w:t>[68]</w:t>
        </w:r>
      </w:hyperlink>
      <w:r>
        <w:t xml:space="preserve"> continues to maintain detailed AI and data-protection guidance and a practical risk toolkit. </w:t>
      </w:r>
      <w:hyperlink r:id="rId81">
        <w:r>
          <w:rPr>
            <w:rStyle w:val="Hyperlink"/>
          </w:rPr>
          <w:t>[69]</w:t>
        </w:r>
      </w:hyperlink>
    </w:p>
    <w:p w14:paraId="24EC57A0" w14:textId="77777777" w:rsidR="000A07C0" w:rsidRDefault="00000000">
      <w:pPr>
        <w:pStyle w:val="BodyText"/>
      </w:pPr>
      <w:r>
        <w:t xml:space="preserve">Global trends matter even for companies that think of themselves as “domestic.” The </w:t>
      </w:r>
      <w:proofErr w:type="spellStart"/>
      <w:r>
        <w:t>Organisation</w:t>
      </w:r>
      <w:proofErr w:type="spellEnd"/>
      <w:r>
        <w:t xml:space="preserve"> for Economic Co-operation and Development</w:t>
      </w:r>
      <w:hyperlink r:id="rId82">
        <w:r>
          <w:rPr>
            <w:rStyle w:val="Hyperlink"/>
          </w:rPr>
          <w:t>[70]</w:t>
        </w:r>
      </w:hyperlink>
      <w:r>
        <w:t xml:space="preserve"> AI Principles were updated in 2024 and remain a major interoperability reference, emphasizing human rights, transparency, robustness, safety, security, accountability, traceability, labor rights, privacy, and IP. In 2026 the OECD published due-diligence guidance that translates those principles into practical enterprise due diligence across the AI value chain. UNESCO</w:t>
      </w:r>
      <w:hyperlink r:id="rId83">
        <w:r>
          <w:rPr>
            <w:rStyle w:val="Hyperlink"/>
          </w:rPr>
          <w:t>[71]</w:t>
        </w:r>
      </w:hyperlink>
      <w:r>
        <w:t>’s Recommendation on the Ethics of AI remains a globally applicable normative instrument for its member states. The Council of Europe</w:t>
      </w:r>
      <w:hyperlink r:id="rId84">
        <w:r>
          <w:rPr>
            <w:rStyle w:val="Hyperlink"/>
          </w:rPr>
          <w:t>[72]</w:t>
        </w:r>
      </w:hyperlink>
      <w:r>
        <w:t xml:space="preserve"> Framework Convention on AI is the first international legally binding treaty in this domain and requires risk and impact assessments, mitigation measures, transparency, remedies, and safeguards tied to human rights, democracy, and the rule of law. </w:t>
      </w:r>
      <w:hyperlink r:id="rId85">
        <w:r>
          <w:rPr>
            <w:rStyle w:val="Hyperlink"/>
          </w:rPr>
          <w:t>[73]</w:t>
        </w:r>
      </w:hyperlink>
    </w:p>
    <w:p w14:paraId="19EA6A65" w14:textId="77777777" w:rsidR="000A07C0" w:rsidRDefault="00000000">
      <w:pPr>
        <w:pStyle w:val="BodyText"/>
      </w:pPr>
      <w:r>
        <w:t xml:space="preserve">The compliance implication is important: a company that builds a rigorous governance program will usually be better positioned to absorb new legal requirements than a company that waits for each jurisdiction to legislate separately. Most of the hard work is not the legal memo. It is the operational evidence: inventory, documentation, testing, approvals, training, and monitoring. </w:t>
      </w:r>
      <w:hyperlink r:id="rId86">
        <w:r>
          <w:rPr>
            <w:rStyle w:val="Hyperlink"/>
          </w:rPr>
          <w:t>[74]</w:t>
        </w:r>
      </w:hyperlink>
    </w:p>
    <w:p w14:paraId="5100734A" w14:textId="77777777" w:rsidR="000A07C0" w:rsidRDefault="00000000">
      <w:pPr>
        <w:pStyle w:val="Heading2"/>
      </w:pPr>
      <w:bookmarkStart w:id="15" w:name="Xf0f9e37e09fb8f936d89d58c6b2d8d9a1c19c46"/>
      <w:bookmarkStart w:id="16" w:name="_Toc228645497"/>
      <w:bookmarkEnd w:id="13"/>
      <w:r>
        <w:t>Risks, case studies, and failure postmortems</w:t>
      </w:r>
      <w:bookmarkEnd w:id="16"/>
    </w:p>
    <w:p w14:paraId="1953CC7B" w14:textId="77777777" w:rsidR="000A07C0" w:rsidRDefault="00000000">
      <w:pPr>
        <w:pStyle w:val="FirstParagraph"/>
      </w:pPr>
      <w:r>
        <w:t xml:space="preserve">The risk matrix below prioritizes enterprise AI risks by likely frequency and potential downside for a typical organization. These likelihood and impact ratings are a synthesis of </w:t>
      </w:r>
      <w:r>
        <w:lastRenderedPageBreak/>
        <w:t xml:space="preserve">official taxonomies, incident patterns, recent enforcement, and practical deployment realities; they are not legal classifications. </w:t>
      </w:r>
      <w:hyperlink r:id="rId87">
        <w:r>
          <w:rPr>
            <w:rStyle w:val="Hyperlink"/>
          </w:rPr>
          <w:t>[75]</w:t>
        </w:r>
      </w:hyperlink>
    </w:p>
    <w:tbl>
      <w:tblPr>
        <w:tblStyle w:val="TableGrid"/>
        <w:tblW w:w="0" w:type="auto"/>
        <w:tblLook w:val="0020" w:firstRow="1" w:lastRow="0" w:firstColumn="0" w:lastColumn="0" w:noHBand="0" w:noVBand="0"/>
      </w:tblPr>
      <w:tblGrid>
        <w:gridCol w:w="2332"/>
        <w:gridCol w:w="1349"/>
        <w:gridCol w:w="1236"/>
        <w:gridCol w:w="4659"/>
      </w:tblGrid>
      <w:tr w:rsidR="000A07C0" w14:paraId="7A2D4C5B" w14:textId="77777777" w:rsidTr="003457B1">
        <w:tc>
          <w:tcPr>
            <w:tcW w:w="0" w:type="auto"/>
          </w:tcPr>
          <w:p w14:paraId="3ED8420E" w14:textId="77777777" w:rsidR="000A07C0" w:rsidRDefault="00000000">
            <w:pPr>
              <w:pStyle w:val="Compact"/>
            </w:pPr>
            <w:r>
              <w:t>Risk</w:t>
            </w:r>
          </w:p>
        </w:tc>
        <w:tc>
          <w:tcPr>
            <w:tcW w:w="0" w:type="auto"/>
          </w:tcPr>
          <w:p w14:paraId="096AF5D8" w14:textId="77777777" w:rsidR="000A07C0" w:rsidRDefault="00000000">
            <w:pPr>
              <w:pStyle w:val="Compact"/>
            </w:pPr>
            <w:r>
              <w:t>Likelihood</w:t>
            </w:r>
          </w:p>
        </w:tc>
        <w:tc>
          <w:tcPr>
            <w:tcW w:w="0" w:type="auto"/>
          </w:tcPr>
          <w:p w14:paraId="67662261" w14:textId="77777777" w:rsidR="000A07C0" w:rsidRDefault="00000000">
            <w:pPr>
              <w:pStyle w:val="Compact"/>
            </w:pPr>
            <w:r>
              <w:t>Impact</w:t>
            </w:r>
          </w:p>
        </w:tc>
        <w:tc>
          <w:tcPr>
            <w:tcW w:w="0" w:type="auto"/>
          </w:tcPr>
          <w:p w14:paraId="5441C4F2" w14:textId="77777777" w:rsidR="000A07C0" w:rsidRDefault="00000000">
            <w:pPr>
              <w:pStyle w:val="Compact"/>
            </w:pPr>
            <w:r>
              <w:t>Why it ranks here</w:t>
            </w:r>
          </w:p>
        </w:tc>
      </w:tr>
      <w:tr w:rsidR="000A07C0" w14:paraId="7D63EF8F" w14:textId="77777777" w:rsidTr="003457B1">
        <w:tc>
          <w:tcPr>
            <w:tcW w:w="0" w:type="auto"/>
          </w:tcPr>
          <w:p w14:paraId="36D73419" w14:textId="77777777" w:rsidR="000A07C0" w:rsidRDefault="00000000">
            <w:pPr>
              <w:pStyle w:val="Compact"/>
            </w:pPr>
            <w:r>
              <w:t>Inaccuracy / confabulation</w:t>
            </w:r>
          </w:p>
        </w:tc>
        <w:tc>
          <w:tcPr>
            <w:tcW w:w="0" w:type="auto"/>
          </w:tcPr>
          <w:p w14:paraId="78F6726E" w14:textId="77777777" w:rsidR="000A07C0" w:rsidRDefault="00000000">
            <w:pPr>
              <w:pStyle w:val="Compact"/>
            </w:pPr>
            <w:r>
              <w:t>High</w:t>
            </w:r>
          </w:p>
        </w:tc>
        <w:tc>
          <w:tcPr>
            <w:tcW w:w="0" w:type="auto"/>
          </w:tcPr>
          <w:p w14:paraId="2190CD84" w14:textId="77777777" w:rsidR="000A07C0" w:rsidRDefault="00000000">
            <w:pPr>
              <w:pStyle w:val="Compact"/>
            </w:pPr>
            <w:r>
              <w:t>High</w:t>
            </w:r>
          </w:p>
        </w:tc>
        <w:tc>
          <w:tcPr>
            <w:tcW w:w="0" w:type="auto"/>
          </w:tcPr>
          <w:p w14:paraId="4B28F5A1" w14:textId="77777777" w:rsidR="000A07C0" w:rsidRDefault="00000000">
            <w:pPr>
              <w:pStyle w:val="Compact"/>
            </w:pPr>
            <w:r>
              <w:t xml:space="preserve">Common in everyday enterprise use; often the first failure mode users encounter; can create customer, operational, legal, and reputational harm. </w:t>
            </w:r>
            <w:hyperlink r:id="rId88">
              <w:r>
                <w:rPr>
                  <w:rStyle w:val="Hyperlink"/>
                </w:rPr>
                <w:t>[52]</w:t>
              </w:r>
            </w:hyperlink>
          </w:p>
        </w:tc>
      </w:tr>
      <w:tr w:rsidR="000A07C0" w14:paraId="1171038E" w14:textId="77777777" w:rsidTr="003457B1">
        <w:tc>
          <w:tcPr>
            <w:tcW w:w="0" w:type="auto"/>
          </w:tcPr>
          <w:p w14:paraId="7DEA4B7D" w14:textId="77777777" w:rsidR="000A07C0" w:rsidRDefault="00000000">
            <w:pPr>
              <w:pStyle w:val="Compact"/>
            </w:pPr>
            <w:r>
              <w:t>Sensitive-data leakage</w:t>
            </w:r>
          </w:p>
        </w:tc>
        <w:tc>
          <w:tcPr>
            <w:tcW w:w="0" w:type="auto"/>
          </w:tcPr>
          <w:p w14:paraId="205EF512" w14:textId="77777777" w:rsidR="000A07C0" w:rsidRDefault="00000000">
            <w:pPr>
              <w:pStyle w:val="Compact"/>
            </w:pPr>
            <w:r>
              <w:t>High</w:t>
            </w:r>
          </w:p>
        </w:tc>
        <w:tc>
          <w:tcPr>
            <w:tcW w:w="0" w:type="auto"/>
          </w:tcPr>
          <w:p w14:paraId="75EC7459" w14:textId="77777777" w:rsidR="000A07C0" w:rsidRDefault="00000000">
            <w:pPr>
              <w:pStyle w:val="Compact"/>
            </w:pPr>
            <w:r>
              <w:t>Very high</w:t>
            </w:r>
          </w:p>
        </w:tc>
        <w:tc>
          <w:tcPr>
            <w:tcW w:w="0" w:type="auto"/>
          </w:tcPr>
          <w:p w14:paraId="0B387F1C" w14:textId="77777777" w:rsidR="000A07C0" w:rsidRDefault="00000000">
            <w:pPr>
              <w:pStyle w:val="Compact"/>
            </w:pPr>
            <w:r>
              <w:t xml:space="preserve">Public tools, shared prompts, logs, RAG stores, and vendor misuse create constant exposure. </w:t>
            </w:r>
            <w:hyperlink r:id="rId89">
              <w:r>
                <w:rPr>
                  <w:rStyle w:val="Hyperlink"/>
                </w:rPr>
                <w:t>[76]</w:t>
              </w:r>
            </w:hyperlink>
          </w:p>
        </w:tc>
      </w:tr>
      <w:tr w:rsidR="000A07C0" w14:paraId="5105190C" w14:textId="77777777" w:rsidTr="003457B1">
        <w:tc>
          <w:tcPr>
            <w:tcW w:w="0" w:type="auto"/>
          </w:tcPr>
          <w:p w14:paraId="37A222C6" w14:textId="77777777" w:rsidR="000A07C0" w:rsidRDefault="00000000">
            <w:pPr>
              <w:pStyle w:val="Compact"/>
            </w:pPr>
            <w:r>
              <w:t>Bias / discrimination</w:t>
            </w:r>
          </w:p>
        </w:tc>
        <w:tc>
          <w:tcPr>
            <w:tcW w:w="0" w:type="auto"/>
          </w:tcPr>
          <w:p w14:paraId="621CC4A5" w14:textId="77777777" w:rsidR="000A07C0" w:rsidRDefault="00000000">
            <w:pPr>
              <w:pStyle w:val="Compact"/>
            </w:pPr>
            <w:r>
              <w:t>Medium-high</w:t>
            </w:r>
          </w:p>
        </w:tc>
        <w:tc>
          <w:tcPr>
            <w:tcW w:w="0" w:type="auto"/>
          </w:tcPr>
          <w:p w14:paraId="04B0C90F" w14:textId="77777777" w:rsidR="000A07C0" w:rsidRDefault="00000000">
            <w:pPr>
              <w:pStyle w:val="Compact"/>
            </w:pPr>
            <w:r>
              <w:t>Very high</w:t>
            </w:r>
          </w:p>
        </w:tc>
        <w:tc>
          <w:tcPr>
            <w:tcW w:w="0" w:type="auto"/>
          </w:tcPr>
          <w:p w14:paraId="0D1DF322" w14:textId="77777777" w:rsidR="000A07C0" w:rsidRDefault="00000000">
            <w:pPr>
              <w:pStyle w:val="Compact"/>
            </w:pPr>
            <w:r>
              <w:t xml:space="preserve">Lower frequency than hallucination, but severe in employment, credit, pricing, and public-service contexts. </w:t>
            </w:r>
            <w:hyperlink r:id="rId90">
              <w:r>
                <w:rPr>
                  <w:rStyle w:val="Hyperlink"/>
                </w:rPr>
                <w:t>[77]</w:t>
              </w:r>
            </w:hyperlink>
          </w:p>
        </w:tc>
      </w:tr>
      <w:tr w:rsidR="000A07C0" w14:paraId="3221C482" w14:textId="77777777" w:rsidTr="003457B1">
        <w:tc>
          <w:tcPr>
            <w:tcW w:w="0" w:type="auto"/>
          </w:tcPr>
          <w:p w14:paraId="4B9EB5F4" w14:textId="77777777" w:rsidR="000A07C0" w:rsidRDefault="00000000">
            <w:pPr>
              <w:pStyle w:val="Compact"/>
            </w:pPr>
            <w:r>
              <w:t>Prompt injection / excessive agency</w:t>
            </w:r>
          </w:p>
        </w:tc>
        <w:tc>
          <w:tcPr>
            <w:tcW w:w="0" w:type="auto"/>
          </w:tcPr>
          <w:p w14:paraId="22B72E41" w14:textId="77777777" w:rsidR="000A07C0" w:rsidRDefault="00000000">
            <w:pPr>
              <w:pStyle w:val="Compact"/>
            </w:pPr>
            <w:r>
              <w:t>Medium-high</w:t>
            </w:r>
          </w:p>
        </w:tc>
        <w:tc>
          <w:tcPr>
            <w:tcW w:w="0" w:type="auto"/>
          </w:tcPr>
          <w:p w14:paraId="68763A91" w14:textId="77777777" w:rsidR="000A07C0" w:rsidRDefault="00000000">
            <w:pPr>
              <w:pStyle w:val="Compact"/>
            </w:pPr>
            <w:r>
              <w:t>Very high</w:t>
            </w:r>
          </w:p>
        </w:tc>
        <w:tc>
          <w:tcPr>
            <w:tcW w:w="0" w:type="auto"/>
          </w:tcPr>
          <w:p w14:paraId="1AB1CD68" w14:textId="77777777" w:rsidR="000A07C0" w:rsidRDefault="00000000">
            <w:pPr>
              <w:pStyle w:val="Compact"/>
            </w:pPr>
            <w:r>
              <w:t xml:space="preserve">GenAI apps and agents widen attack surface; impact increases sharply when tools can take actions. </w:t>
            </w:r>
            <w:hyperlink r:id="rId91">
              <w:r>
                <w:rPr>
                  <w:rStyle w:val="Hyperlink"/>
                </w:rPr>
                <w:t>[78]</w:t>
              </w:r>
            </w:hyperlink>
          </w:p>
        </w:tc>
      </w:tr>
      <w:tr w:rsidR="000A07C0" w14:paraId="581D1B4C" w14:textId="77777777" w:rsidTr="003457B1">
        <w:tc>
          <w:tcPr>
            <w:tcW w:w="0" w:type="auto"/>
          </w:tcPr>
          <w:p w14:paraId="547C6BC5" w14:textId="77777777" w:rsidR="000A07C0" w:rsidRDefault="00000000">
            <w:pPr>
              <w:pStyle w:val="Compact"/>
            </w:pPr>
            <w:r>
              <w:t>Documentation and traceability failure</w:t>
            </w:r>
          </w:p>
        </w:tc>
        <w:tc>
          <w:tcPr>
            <w:tcW w:w="0" w:type="auto"/>
          </w:tcPr>
          <w:p w14:paraId="443F356A" w14:textId="77777777" w:rsidR="000A07C0" w:rsidRDefault="00000000">
            <w:pPr>
              <w:pStyle w:val="Compact"/>
            </w:pPr>
            <w:r>
              <w:t>High</w:t>
            </w:r>
          </w:p>
        </w:tc>
        <w:tc>
          <w:tcPr>
            <w:tcW w:w="0" w:type="auto"/>
          </w:tcPr>
          <w:p w14:paraId="47F0FCF9" w14:textId="77777777" w:rsidR="000A07C0" w:rsidRDefault="00000000">
            <w:pPr>
              <w:pStyle w:val="Compact"/>
            </w:pPr>
            <w:r>
              <w:t>High</w:t>
            </w:r>
          </w:p>
        </w:tc>
        <w:tc>
          <w:tcPr>
            <w:tcW w:w="0" w:type="auto"/>
          </w:tcPr>
          <w:p w14:paraId="0325B1A8" w14:textId="77777777" w:rsidR="000A07C0" w:rsidRDefault="00000000">
            <w:pPr>
              <w:pStyle w:val="Compact"/>
            </w:pPr>
            <w:r>
              <w:t xml:space="preserve">Frequently discovered during procurement, legal review, incidents, or audit; blocks defensibility. </w:t>
            </w:r>
            <w:hyperlink r:id="rId92">
              <w:r>
                <w:rPr>
                  <w:rStyle w:val="Hyperlink"/>
                </w:rPr>
                <w:t>[79]</w:t>
              </w:r>
            </w:hyperlink>
          </w:p>
        </w:tc>
      </w:tr>
      <w:tr w:rsidR="000A07C0" w14:paraId="77DFA43A" w14:textId="77777777" w:rsidTr="003457B1">
        <w:tc>
          <w:tcPr>
            <w:tcW w:w="0" w:type="auto"/>
          </w:tcPr>
          <w:p w14:paraId="6FAD2553" w14:textId="77777777" w:rsidR="000A07C0" w:rsidRDefault="00000000">
            <w:pPr>
              <w:pStyle w:val="Compact"/>
            </w:pPr>
            <w:r>
              <w:t>Vendor / supply-chain dependency</w:t>
            </w:r>
          </w:p>
        </w:tc>
        <w:tc>
          <w:tcPr>
            <w:tcW w:w="0" w:type="auto"/>
          </w:tcPr>
          <w:p w14:paraId="607DD584" w14:textId="77777777" w:rsidR="000A07C0" w:rsidRDefault="00000000">
            <w:pPr>
              <w:pStyle w:val="Compact"/>
            </w:pPr>
            <w:r>
              <w:t>Medium-high</w:t>
            </w:r>
          </w:p>
        </w:tc>
        <w:tc>
          <w:tcPr>
            <w:tcW w:w="0" w:type="auto"/>
          </w:tcPr>
          <w:p w14:paraId="5675063D" w14:textId="77777777" w:rsidR="000A07C0" w:rsidRDefault="00000000">
            <w:pPr>
              <w:pStyle w:val="Compact"/>
            </w:pPr>
            <w:r>
              <w:t>High</w:t>
            </w:r>
          </w:p>
        </w:tc>
        <w:tc>
          <w:tcPr>
            <w:tcW w:w="0" w:type="auto"/>
          </w:tcPr>
          <w:p w14:paraId="627D3178" w14:textId="77777777" w:rsidR="000A07C0" w:rsidRDefault="00000000">
            <w:pPr>
              <w:pStyle w:val="Compact"/>
            </w:pPr>
            <w:r>
              <w:t xml:space="preserve">Many firms rely heavily on a small number of providers and embedded vendor features. </w:t>
            </w:r>
            <w:hyperlink r:id="rId93">
              <w:r>
                <w:rPr>
                  <w:rStyle w:val="Hyperlink"/>
                </w:rPr>
                <w:t>[80]</w:t>
              </w:r>
            </w:hyperlink>
          </w:p>
        </w:tc>
      </w:tr>
      <w:tr w:rsidR="000A07C0" w14:paraId="794FBFEC" w14:textId="77777777" w:rsidTr="003457B1">
        <w:tc>
          <w:tcPr>
            <w:tcW w:w="0" w:type="auto"/>
          </w:tcPr>
          <w:p w14:paraId="59AC4AE4" w14:textId="77777777" w:rsidR="000A07C0" w:rsidRDefault="00000000">
            <w:pPr>
              <w:pStyle w:val="Compact"/>
            </w:pPr>
            <w:r>
              <w:t>IP / copyright and rights uncertainty</w:t>
            </w:r>
          </w:p>
        </w:tc>
        <w:tc>
          <w:tcPr>
            <w:tcW w:w="0" w:type="auto"/>
          </w:tcPr>
          <w:p w14:paraId="41C1F68D" w14:textId="77777777" w:rsidR="000A07C0" w:rsidRDefault="00000000">
            <w:pPr>
              <w:pStyle w:val="Compact"/>
            </w:pPr>
            <w:r>
              <w:t>Medium</w:t>
            </w:r>
          </w:p>
        </w:tc>
        <w:tc>
          <w:tcPr>
            <w:tcW w:w="0" w:type="auto"/>
          </w:tcPr>
          <w:p w14:paraId="491C6460" w14:textId="77777777" w:rsidR="000A07C0" w:rsidRDefault="00000000">
            <w:pPr>
              <w:pStyle w:val="Compact"/>
            </w:pPr>
            <w:r>
              <w:t>High</w:t>
            </w:r>
          </w:p>
        </w:tc>
        <w:tc>
          <w:tcPr>
            <w:tcW w:w="0" w:type="auto"/>
          </w:tcPr>
          <w:p w14:paraId="614398F4" w14:textId="77777777" w:rsidR="000A07C0" w:rsidRDefault="00000000">
            <w:pPr>
              <w:pStyle w:val="Compact"/>
            </w:pPr>
            <w:proofErr w:type="gramStart"/>
            <w:r>
              <w:t>Important for</w:t>
            </w:r>
            <w:proofErr w:type="gramEnd"/>
            <w:r>
              <w:t xml:space="preserve"> training data, output reuse, and external publication. </w:t>
            </w:r>
            <w:hyperlink r:id="rId94">
              <w:r>
                <w:rPr>
                  <w:rStyle w:val="Hyperlink"/>
                </w:rPr>
                <w:t>[57]</w:t>
              </w:r>
            </w:hyperlink>
          </w:p>
        </w:tc>
      </w:tr>
      <w:tr w:rsidR="000A07C0" w14:paraId="7A4ABB4E" w14:textId="77777777" w:rsidTr="003457B1">
        <w:tc>
          <w:tcPr>
            <w:tcW w:w="0" w:type="auto"/>
          </w:tcPr>
          <w:p w14:paraId="0382C789" w14:textId="77777777" w:rsidR="000A07C0" w:rsidRDefault="00000000">
            <w:pPr>
              <w:pStyle w:val="Compact"/>
            </w:pPr>
            <w:r>
              <w:t>Deceptive claims / overclaiming</w:t>
            </w:r>
          </w:p>
        </w:tc>
        <w:tc>
          <w:tcPr>
            <w:tcW w:w="0" w:type="auto"/>
          </w:tcPr>
          <w:p w14:paraId="4B2D7D8E" w14:textId="77777777" w:rsidR="000A07C0" w:rsidRDefault="00000000">
            <w:pPr>
              <w:pStyle w:val="Compact"/>
            </w:pPr>
            <w:r>
              <w:t>Medium</w:t>
            </w:r>
          </w:p>
        </w:tc>
        <w:tc>
          <w:tcPr>
            <w:tcW w:w="0" w:type="auto"/>
          </w:tcPr>
          <w:p w14:paraId="2B367F90" w14:textId="77777777" w:rsidR="000A07C0" w:rsidRDefault="00000000">
            <w:pPr>
              <w:pStyle w:val="Compact"/>
            </w:pPr>
            <w:r>
              <w:t>High</w:t>
            </w:r>
          </w:p>
        </w:tc>
        <w:tc>
          <w:tcPr>
            <w:tcW w:w="0" w:type="auto"/>
          </w:tcPr>
          <w:p w14:paraId="64C87C05" w14:textId="77777777" w:rsidR="000A07C0" w:rsidRDefault="00000000">
            <w:pPr>
              <w:pStyle w:val="Compact"/>
            </w:pPr>
            <w:r>
              <w:t xml:space="preserve">Marketing, sales, and product teams often outrun substantiation. </w:t>
            </w:r>
            <w:hyperlink r:id="rId95">
              <w:r>
                <w:rPr>
                  <w:rStyle w:val="Hyperlink"/>
                </w:rPr>
                <w:t>[81]</w:t>
              </w:r>
            </w:hyperlink>
          </w:p>
        </w:tc>
      </w:tr>
      <w:tr w:rsidR="000A07C0" w14:paraId="650C89B3" w14:textId="77777777" w:rsidTr="003457B1">
        <w:tc>
          <w:tcPr>
            <w:tcW w:w="0" w:type="auto"/>
          </w:tcPr>
          <w:p w14:paraId="2000AA55" w14:textId="77777777" w:rsidR="000A07C0" w:rsidRDefault="00000000">
            <w:pPr>
              <w:pStyle w:val="Compact"/>
            </w:pPr>
            <w:r>
              <w:t>Drift / uncontrolled change</w:t>
            </w:r>
          </w:p>
        </w:tc>
        <w:tc>
          <w:tcPr>
            <w:tcW w:w="0" w:type="auto"/>
          </w:tcPr>
          <w:p w14:paraId="54933041" w14:textId="77777777" w:rsidR="000A07C0" w:rsidRDefault="00000000">
            <w:pPr>
              <w:pStyle w:val="Compact"/>
            </w:pPr>
            <w:r>
              <w:t>Medium</w:t>
            </w:r>
          </w:p>
        </w:tc>
        <w:tc>
          <w:tcPr>
            <w:tcW w:w="0" w:type="auto"/>
          </w:tcPr>
          <w:p w14:paraId="2DAF225A" w14:textId="77777777" w:rsidR="000A07C0" w:rsidRDefault="00000000">
            <w:pPr>
              <w:pStyle w:val="Compact"/>
            </w:pPr>
            <w:r>
              <w:t>High</w:t>
            </w:r>
          </w:p>
        </w:tc>
        <w:tc>
          <w:tcPr>
            <w:tcW w:w="0" w:type="auto"/>
          </w:tcPr>
          <w:p w14:paraId="32C5B063" w14:textId="77777777" w:rsidR="000A07C0" w:rsidRDefault="00000000">
            <w:pPr>
              <w:pStyle w:val="Compact"/>
            </w:pPr>
            <w:r>
              <w:t xml:space="preserve">Model updates, provider changes, new prompts, and new data can invalidate earlier testing. </w:t>
            </w:r>
            <w:hyperlink r:id="rId96">
              <w:r>
                <w:rPr>
                  <w:rStyle w:val="Hyperlink"/>
                </w:rPr>
                <w:t>[82]</w:t>
              </w:r>
            </w:hyperlink>
          </w:p>
        </w:tc>
      </w:tr>
      <w:tr w:rsidR="000A07C0" w14:paraId="2D941551" w14:textId="77777777" w:rsidTr="003457B1">
        <w:tc>
          <w:tcPr>
            <w:tcW w:w="0" w:type="auto"/>
          </w:tcPr>
          <w:p w14:paraId="2D0B79A9" w14:textId="77777777" w:rsidR="000A07C0" w:rsidRDefault="00000000">
            <w:pPr>
              <w:pStyle w:val="Compact"/>
            </w:pPr>
            <w:r>
              <w:t>Shadow AI / overreliance by workforce</w:t>
            </w:r>
          </w:p>
        </w:tc>
        <w:tc>
          <w:tcPr>
            <w:tcW w:w="0" w:type="auto"/>
          </w:tcPr>
          <w:p w14:paraId="2C4715DF" w14:textId="77777777" w:rsidR="000A07C0" w:rsidRDefault="00000000">
            <w:pPr>
              <w:pStyle w:val="Compact"/>
            </w:pPr>
            <w:r>
              <w:t>High</w:t>
            </w:r>
          </w:p>
        </w:tc>
        <w:tc>
          <w:tcPr>
            <w:tcW w:w="0" w:type="auto"/>
          </w:tcPr>
          <w:p w14:paraId="3E1EDECF" w14:textId="77777777" w:rsidR="000A07C0" w:rsidRDefault="00000000">
            <w:pPr>
              <w:pStyle w:val="Compact"/>
            </w:pPr>
            <w:r>
              <w:t>Medium-high</w:t>
            </w:r>
          </w:p>
        </w:tc>
        <w:tc>
          <w:tcPr>
            <w:tcW w:w="0" w:type="auto"/>
          </w:tcPr>
          <w:p w14:paraId="41567A06" w14:textId="77777777" w:rsidR="000A07C0" w:rsidRDefault="00000000">
            <w:pPr>
              <w:pStyle w:val="Compact"/>
            </w:pPr>
            <w:r>
              <w:t xml:space="preserve">Extremely common and difficult to see without approved pathways and logging. </w:t>
            </w:r>
            <w:hyperlink r:id="rId97">
              <w:r>
                <w:rPr>
                  <w:rStyle w:val="Hyperlink"/>
                </w:rPr>
                <w:t>[83]</w:t>
              </w:r>
            </w:hyperlink>
          </w:p>
        </w:tc>
      </w:tr>
    </w:tbl>
    <w:p w14:paraId="250295CD" w14:textId="77777777" w:rsidR="000A07C0" w:rsidRDefault="00000000">
      <w:pPr>
        <w:pStyle w:val="BodyText"/>
      </w:pPr>
      <w:r>
        <w:t>The case studies below show what failure looks like when governance is incomplete.</w:t>
      </w:r>
    </w:p>
    <w:p w14:paraId="6F3996FC" w14:textId="77777777" w:rsidR="000A07C0" w:rsidRDefault="00000000">
      <w:pPr>
        <w:pStyle w:val="BodyText"/>
      </w:pPr>
      <w:r>
        <w:rPr>
          <w:b/>
          <w:bCs/>
        </w:rPr>
        <w:t>Employment discrimination and automated rejection.</w:t>
      </w:r>
      <w:r>
        <w:t xml:space="preserve"> In 2023, </w:t>
      </w:r>
      <w:proofErr w:type="spellStart"/>
      <w:r>
        <w:t>iTutorGroup</w:t>
      </w:r>
      <w:proofErr w:type="spellEnd"/>
      <w:r>
        <w:fldChar w:fldCharType="begin"/>
      </w:r>
      <w:r>
        <w:instrText>HYPERLINK "https://www.iso.org/standard/42001" \h</w:instrText>
      </w:r>
      <w:r>
        <w:fldChar w:fldCharType="separate"/>
      </w:r>
      <w:r>
        <w:rPr>
          <w:rStyle w:val="Hyperlink"/>
        </w:rPr>
        <w:t>[84]</w:t>
      </w:r>
      <w:r>
        <w:fldChar w:fldCharType="end"/>
      </w:r>
      <w:r>
        <w:t xml:space="preserve"> agreed to pay $365,000 to settle an EEOC case alleging that its tutor application software automatically rejected female applicants aged 55 or older and male applicants aged 60 or older. The postmortem lesson is clear: if AI touches hiring or employment decisions, governance must include subgroup testing, recordkeeping, legal review, and a clear human accountability model before deployment rather than after litigation. </w:t>
      </w:r>
      <w:hyperlink r:id="rId98">
        <w:r>
          <w:rPr>
            <w:rStyle w:val="Hyperlink"/>
          </w:rPr>
          <w:t>[85]</w:t>
        </w:r>
      </w:hyperlink>
    </w:p>
    <w:p w14:paraId="0F62469F" w14:textId="77777777" w:rsidR="000A07C0" w:rsidRDefault="00000000">
      <w:pPr>
        <w:pStyle w:val="BodyText"/>
      </w:pPr>
      <w:r>
        <w:rPr>
          <w:b/>
          <w:bCs/>
        </w:rPr>
        <w:lastRenderedPageBreak/>
        <w:t>Customer misinformation and enterprise liability.</w:t>
      </w:r>
      <w:r>
        <w:t xml:space="preserve"> In the well-known Air Canada chatbot matter, commentary on the tribunal decision emphasized that the airline could not evade responsibility by treating the chatbot as if it were a separate legal entity; the chatbot was part of the airline’s website. The governance lesson is that customer-facing AI needs output assurance, escalation paths, auditable content ownership, and clear rollback authority. Disclaimers do not substitute for control. Air Canada</w:t>
      </w:r>
      <w:hyperlink r:id="rId99">
        <w:r>
          <w:rPr>
            <w:rStyle w:val="Hyperlink"/>
          </w:rPr>
          <w:t>[86]</w:t>
        </w:r>
      </w:hyperlink>
      <w:r>
        <w:t xml:space="preserve"> was a company-liability case before it was an AI case. </w:t>
      </w:r>
      <w:hyperlink r:id="rId100">
        <w:r>
          <w:rPr>
            <w:rStyle w:val="Hyperlink"/>
          </w:rPr>
          <w:t>[87]</w:t>
        </w:r>
      </w:hyperlink>
    </w:p>
    <w:p w14:paraId="483C0C04" w14:textId="77777777" w:rsidR="000A07C0" w:rsidRDefault="00000000">
      <w:pPr>
        <w:pStyle w:val="BodyText"/>
      </w:pPr>
      <w:r>
        <w:rPr>
          <w:b/>
          <w:bCs/>
        </w:rPr>
        <w:t>Privacy and dependency failure in production.</w:t>
      </w:r>
      <w:r>
        <w:t xml:space="preserve"> In March 2023, OpenAI</w:t>
      </w:r>
      <w:hyperlink r:id="rId101">
        <w:r>
          <w:rPr>
            <w:rStyle w:val="Hyperlink"/>
          </w:rPr>
          <w:t>[88]</w:t>
        </w:r>
      </w:hyperlink>
      <w:r>
        <w:t xml:space="preserve"> took ChatGPT offline because a bug in an open-source library allowed some users to see titles from another active user’s chat history, and the company later said payment-related information of 1.2% of active ChatGPT Plus subscribers during a certain window may also have been exposed. The governance lesson is that AI incident response must include dependency review, privacy-by-design, logging discipline, blast-radius reduction, and rapid rollback procedures. </w:t>
      </w:r>
      <w:hyperlink r:id="rId102">
        <w:r>
          <w:rPr>
            <w:rStyle w:val="Hyperlink"/>
          </w:rPr>
          <w:t>[89]</w:t>
        </w:r>
      </w:hyperlink>
    </w:p>
    <w:p w14:paraId="42A5CF84" w14:textId="77777777" w:rsidR="000A07C0" w:rsidRDefault="00000000">
      <w:pPr>
        <w:pStyle w:val="BodyText"/>
      </w:pPr>
      <w:r>
        <w:rPr>
          <w:b/>
          <w:bCs/>
        </w:rPr>
        <w:t>Historical bias encoded into recruiting tools.</w:t>
      </w:r>
      <w:r>
        <w:t xml:space="preserve"> Reuters reported that Amazon</w:t>
      </w:r>
      <w:hyperlink r:id="rId103">
        <w:r>
          <w:rPr>
            <w:rStyle w:val="Hyperlink"/>
          </w:rPr>
          <w:t>[90]</w:t>
        </w:r>
      </w:hyperlink>
      <w:r>
        <w:t xml:space="preserve"> scrapped an internal recruiting tool that showed bias against women. The lesson is not simply “watch out for bias.” The deeper lesson is that training data, historical labels, proxy variables, and optimization objectives can encode past organizational behavior into future decision support. Governance must force a business owner to justify why AI is appropriate for that decision in the first place. </w:t>
      </w:r>
      <w:hyperlink r:id="rId104">
        <w:r>
          <w:rPr>
            <w:rStyle w:val="Hyperlink"/>
          </w:rPr>
          <w:t>[91]</w:t>
        </w:r>
      </w:hyperlink>
    </w:p>
    <w:p w14:paraId="6E16E187" w14:textId="77777777" w:rsidR="000A07C0" w:rsidRDefault="00000000">
      <w:pPr>
        <w:pStyle w:val="BodyText"/>
      </w:pPr>
      <w:r>
        <w:rPr>
          <w:b/>
          <w:bCs/>
        </w:rPr>
        <w:t>Deceptive claims and unsafe go-to-market behavior.</w:t>
      </w:r>
      <w:r>
        <w:t xml:space="preserve"> The FTC’s 2024 “Operation AI Comply” made the enforcement point explicit: there is no AI exemption from the laws already on the books. Its actions involving unsupported “AI lawyer” claims, fake-review tools, and AI-income schemes show that governance must include claim substantiation, legal review of public marketing, and approval discipline for external representations. Many organizations focus on model controls and neglect this commercial-governance layer. </w:t>
      </w:r>
      <w:hyperlink r:id="rId105">
        <w:r>
          <w:rPr>
            <w:rStyle w:val="Hyperlink"/>
          </w:rPr>
          <w:t>[81]</w:t>
        </w:r>
      </w:hyperlink>
    </w:p>
    <w:p w14:paraId="7ED6EB6E" w14:textId="77777777" w:rsidR="000A07C0" w:rsidRDefault="00000000">
      <w:pPr>
        <w:pStyle w:val="BodyText"/>
      </w:pPr>
      <w:r>
        <w:t xml:space="preserve">Taken together, these failures point to a common pattern. The proximate failure may be bias, a bug, misinformation, or deception. The root failure is typically more ordinary: missing ownership, no evidence package, no pre-release challenge process, no meaningful monitoring, or no one empowered to say no. </w:t>
      </w:r>
      <w:hyperlink r:id="rId106">
        <w:r>
          <w:rPr>
            <w:rStyle w:val="Hyperlink"/>
          </w:rPr>
          <w:t>[92]</w:t>
        </w:r>
      </w:hyperlink>
    </w:p>
    <w:p w14:paraId="1612D0AD" w14:textId="77777777" w:rsidR="000A07C0" w:rsidRDefault="00000000">
      <w:pPr>
        <w:pStyle w:val="Heading2"/>
      </w:pPr>
      <w:bookmarkStart w:id="17" w:name="Xc61ad51186ccfbe1e50dc7b5d8d4a43d721d7c8"/>
      <w:bookmarkStart w:id="18" w:name="_Toc228645498"/>
      <w:bookmarkEnd w:id="15"/>
      <w:r>
        <w:t>Future of AI in the workplace and strategic recommendations</w:t>
      </w:r>
      <w:bookmarkEnd w:id="18"/>
    </w:p>
    <w:p w14:paraId="6ADC3E1C" w14:textId="77777777" w:rsidR="000A07C0" w:rsidRDefault="00000000">
      <w:pPr>
        <w:pStyle w:val="FirstParagraph"/>
      </w:pPr>
      <w:r>
        <w:t>The future workplace impact of AI is likely to be deeper and more uneven than the early “chatbot productivity” framing suggested. According to the World Economic Forum</w:t>
      </w:r>
      <w:hyperlink r:id="rId107">
        <w:r>
          <w:rPr>
            <w:rStyle w:val="Hyperlink"/>
          </w:rPr>
          <w:t>[93]</w:t>
        </w:r>
      </w:hyperlink>
      <w:r>
        <w:t xml:space="preserve">, its 2025 report draws on over 1,000 large employers representing more than 14 million workers across 55 economies and identifies technological change as a major labor-market driver through 2030. The same report and related materials describe substantial job churn over the decade. The International </w:t>
      </w:r>
      <w:proofErr w:type="spellStart"/>
      <w:r>
        <w:t>Labour</w:t>
      </w:r>
      <w:proofErr w:type="spellEnd"/>
      <w:r>
        <w:t xml:space="preserve"> Organization</w:t>
      </w:r>
      <w:hyperlink r:id="rId108">
        <w:r>
          <w:rPr>
            <w:rStyle w:val="Hyperlink"/>
          </w:rPr>
          <w:t>[94]</w:t>
        </w:r>
      </w:hyperlink>
      <w:r>
        <w:t xml:space="preserve">’s 2025 update finds that clerical occupations remain the most exposed to generative AI, while exposure is expanding into more specialized professional and technical work. Meanwhile, the 2025 AI </w:t>
      </w:r>
      <w:r>
        <w:lastRenderedPageBreak/>
        <w:t>Index from the Stanford Institute for Human-Centered Artificial Intelligence</w:t>
      </w:r>
      <w:hyperlink r:id="rId109">
        <w:r>
          <w:rPr>
            <w:rStyle w:val="Hyperlink"/>
          </w:rPr>
          <w:t>[95]</w:t>
        </w:r>
      </w:hyperlink>
      <w:r>
        <w:t xml:space="preserve"> reports sharp growth in enterprise use, with organizational AI use rising to 78% and generative-AI use in at least one business function rising to 71% in 2024. </w:t>
      </w:r>
      <w:hyperlink r:id="rId110">
        <w:r>
          <w:rPr>
            <w:rStyle w:val="Hyperlink"/>
          </w:rPr>
          <w:t>[96]</w:t>
        </w:r>
      </w:hyperlink>
    </w:p>
    <w:p w14:paraId="1E479A08" w14:textId="77777777" w:rsidR="000A07C0" w:rsidRDefault="00000000">
      <w:pPr>
        <w:pStyle w:val="BodyText"/>
      </w:pPr>
      <w:r>
        <w:t xml:space="preserve">The most important strategic implication is that AI governance is now a workforce system, not only a technology system. Employees increasingly interact with AI in writing, coding, customer support, document drafting, analytics, HR, procurement, and operations. Governance must therefore define when AI can advise, when it can recommend, when it can draft, when it can decide, and when a human must remain the accountable decision-maker. The future of workplace safety, job quality, manager responsibility, and employee trust increasingly depends on those boundaries. OECD’s principles explicitly call for transparency about interactions with AI, including in the workplace, and for preparation for labor-market transformation. </w:t>
      </w:r>
      <w:hyperlink r:id="rId111">
        <w:r>
          <w:rPr>
            <w:rStyle w:val="Hyperlink"/>
          </w:rPr>
          <w:t>[97]</w:t>
        </w:r>
      </w:hyperlink>
    </w:p>
    <w:p w14:paraId="3BECE113" w14:textId="77777777" w:rsidR="000A07C0" w:rsidRDefault="00000000">
      <w:pPr>
        <w:pStyle w:val="BodyText"/>
      </w:pPr>
      <w:r>
        <w:t xml:space="preserve">Over the next few years, three shifts are especially likely. First, many organizations will move from “copilot” tools to more agentic systems that can take actions across tools and workflows; that sharply raises the value of least privilege, action approvals, and incident response. Second, the distinction between “ordinary software governance” and “AI governance” will narrow, because AI components will be embedded in mainstream enterprise software and line-of-business systems. Third, competitive advantage will come less from merely having access to models and more from having governed, measurable, trustworthy workflows that employees and customers will </w:t>
      </w:r>
      <w:proofErr w:type="gramStart"/>
      <w:r>
        <w:t>actually rely</w:t>
      </w:r>
      <w:proofErr w:type="gramEnd"/>
      <w:r>
        <w:t xml:space="preserve"> on. Recent CISA guidance on agentic AI, OWASP’s 2025 risk list, and the UK’s public-sector action plan all point in this direction. </w:t>
      </w:r>
      <w:hyperlink r:id="rId112">
        <w:r>
          <w:rPr>
            <w:rStyle w:val="Hyperlink"/>
          </w:rPr>
          <w:t>[98]</w:t>
        </w:r>
      </w:hyperlink>
    </w:p>
    <w:p w14:paraId="09836A46" w14:textId="77777777" w:rsidR="000A07C0" w:rsidRDefault="00000000">
      <w:pPr>
        <w:pStyle w:val="BodyText"/>
      </w:pPr>
      <w:r>
        <w:t>The strategic recommendations that follow are therefore less about writing more principles and more about building execution capacity.</w:t>
      </w:r>
    </w:p>
    <w:p w14:paraId="1190C724" w14:textId="77777777" w:rsidR="000A07C0" w:rsidRDefault="00000000">
      <w:pPr>
        <w:pStyle w:val="Compact"/>
        <w:numPr>
          <w:ilvl w:val="0"/>
          <w:numId w:val="2"/>
        </w:numPr>
      </w:pPr>
      <w:r>
        <w:t xml:space="preserve">Treat AI governance as enterprise infrastructure. Fund it like security, privacy, and internal control, not as a side project in innovation. </w:t>
      </w:r>
      <w:hyperlink r:id="rId113">
        <w:r>
          <w:rPr>
            <w:rStyle w:val="Hyperlink"/>
          </w:rPr>
          <w:t>[31]</w:t>
        </w:r>
      </w:hyperlink>
    </w:p>
    <w:p w14:paraId="7A345D08" w14:textId="77777777" w:rsidR="000A07C0" w:rsidRDefault="00000000">
      <w:pPr>
        <w:pStyle w:val="Compact"/>
        <w:numPr>
          <w:ilvl w:val="0"/>
          <w:numId w:val="2"/>
        </w:numPr>
      </w:pPr>
      <w:r>
        <w:t xml:space="preserve">Govern the </w:t>
      </w:r>
      <w:r>
        <w:rPr>
          <w:b/>
          <w:bCs/>
        </w:rPr>
        <w:t>portfolio</w:t>
      </w:r>
      <w:r>
        <w:t xml:space="preserve">, not individual headlines. Inventory every AI use case, including vendor-embedded features, and map each to a risk tier, owner, and review path. </w:t>
      </w:r>
      <w:hyperlink r:id="rId114">
        <w:r>
          <w:rPr>
            <w:rStyle w:val="Hyperlink"/>
          </w:rPr>
          <w:t>[99]</w:t>
        </w:r>
      </w:hyperlink>
    </w:p>
    <w:p w14:paraId="45E1FB82" w14:textId="77777777" w:rsidR="000A07C0" w:rsidRDefault="00000000">
      <w:pPr>
        <w:pStyle w:val="Compact"/>
        <w:numPr>
          <w:ilvl w:val="0"/>
          <w:numId w:val="2"/>
        </w:numPr>
      </w:pPr>
      <w:r>
        <w:t xml:space="preserve">Build around </w:t>
      </w:r>
      <w:r>
        <w:rPr>
          <w:b/>
          <w:bCs/>
        </w:rPr>
        <w:t>use cases and decisions</w:t>
      </w:r>
      <w:r>
        <w:t xml:space="preserve">, not around model brands. The regulatory and operational question is what the system does in context, not whether it is called a copilot, agent, or assistant. </w:t>
      </w:r>
      <w:hyperlink r:id="rId115">
        <w:r>
          <w:rPr>
            <w:rStyle w:val="Hyperlink"/>
          </w:rPr>
          <w:t>[100]</w:t>
        </w:r>
      </w:hyperlink>
    </w:p>
    <w:p w14:paraId="097A90F5" w14:textId="77777777" w:rsidR="000A07C0" w:rsidRDefault="00000000">
      <w:pPr>
        <w:pStyle w:val="Compact"/>
        <w:numPr>
          <w:ilvl w:val="0"/>
          <w:numId w:val="2"/>
        </w:numPr>
      </w:pPr>
      <w:r>
        <w:t xml:space="preserve">Make procurement a first-class governance function. Many companies’ highest-risk AI is third-party AI. Review contracts, outputs, sub-processors, change notices, training-data practices, and security evidence before relying on vendor assurances. </w:t>
      </w:r>
      <w:hyperlink r:id="rId116">
        <w:r>
          <w:rPr>
            <w:rStyle w:val="Hyperlink"/>
          </w:rPr>
          <w:t>[101]</w:t>
        </w:r>
      </w:hyperlink>
    </w:p>
    <w:p w14:paraId="3E17BB9B" w14:textId="77777777" w:rsidR="000A07C0" w:rsidRDefault="00000000">
      <w:pPr>
        <w:pStyle w:val="Compact"/>
        <w:numPr>
          <w:ilvl w:val="0"/>
          <w:numId w:val="2"/>
        </w:numPr>
      </w:pPr>
      <w:r>
        <w:t xml:space="preserve">Require evidence before deployment. No medium- or high-risk use case should go live without a completed impact assessment, technical evaluation, security review, data/privacy review, model or system documentation, and named owner. </w:t>
      </w:r>
      <w:hyperlink r:id="rId117">
        <w:r>
          <w:rPr>
            <w:rStyle w:val="Hyperlink"/>
          </w:rPr>
          <w:t>[102]</w:t>
        </w:r>
      </w:hyperlink>
    </w:p>
    <w:p w14:paraId="2F84F06B" w14:textId="77777777" w:rsidR="000A07C0" w:rsidRDefault="00000000">
      <w:pPr>
        <w:pStyle w:val="Compact"/>
        <w:numPr>
          <w:ilvl w:val="0"/>
          <w:numId w:val="2"/>
        </w:numPr>
      </w:pPr>
      <w:proofErr w:type="gramStart"/>
      <w:r>
        <w:lastRenderedPageBreak/>
        <w:t>Focus</w:t>
      </w:r>
      <w:proofErr w:type="gramEnd"/>
      <w:r>
        <w:t xml:space="preserve"> human oversight where it matters. Human-in-the-loop everywhere is often theater; human accountability at material risk points is governance. Put people at approval, exception, adverse-decision, and high-impact action points. </w:t>
      </w:r>
      <w:hyperlink r:id="rId118">
        <w:r>
          <w:rPr>
            <w:rStyle w:val="Hyperlink"/>
          </w:rPr>
          <w:t>[103]</w:t>
        </w:r>
      </w:hyperlink>
    </w:p>
    <w:p w14:paraId="1A07FAD0" w14:textId="77777777" w:rsidR="000A07C0" w:rsidRDefault="00000000">
      <w:pPr>
        <w:pStyle w:val="Compact"/>
        <w:numPr>
          <w:ilvl w:val="0"/>
          <w:numId w:val="2"/>
        </w:numPr>
      </w:pPr>
      <w:r>
        <w:t xml:space="preserve">Train the whole workforce, not only the builders. AI literacy, good prompting discipline, source checking, secure tool use, escalation, and disclosure responsibilities should be role-based and recurring. </w:t>
      </w:r>
      <w:hyperlink r:id="rId119">
        <w:r>
          <w:rPr>
            <w:rStyle w:val="Hyperlink"/>
          </w:rPr>
          <w:t>[104]</w:t>
        </w:r>
      </w:hyperlink>
    </w:p>
    <w:p w14:paraId="3F2DAB0B" w14:textId="77777777" w:rsidR="000A07C0" w:rsidRDefault="00000000">
      <w:pPr>
        <w:pStyle w:val="Compact"/>
        <w:numPr>
          <w:ilvl w:val="0"/>
          <w:numId w:val="2"/>
        </w:numPr>
      </w:pPr>
      <w:r>
        <w:t xml:space="preserve">Design for reversibility. Every deployment should have rollback, kill-switch, fallback, and decommission paths. AI systems change too quickly to govern as if they were static rules engines. </w:t>
      </w:r>
      <w:hyperlink r:id="rId120">
        <w:r>
          <w:rPr>
            <w:rStyle w:val="Hyperlink"/>
          </w:rPr>
          <w:t>[105]</w:t>
        </w:r>
      </w:hyperlink>
    </w:p>
    <w:p w14:paraId="5607A8A6" w14:textId="77777777" w:rsidR="000A07C0" w:rsidRDefault="00000000">
      <w:pPr>
        <w:pStyle w:val="FirstParagraph"/>
      </w:pPr>
      <w:r>
        <w:t xml:space="preserve">The unresolved question for many companies is not whether AI will change work. It already has. The real question is whether AI will be introduced as an ungoverned layer of hidden operational risk, or as a measurable, trustworthy layer of controlled productivity. The difference between those two futures is what an AI governance program is for. </w:t>
      </w:r>
      <w:hyperlink r:id="rId121">
        <w:r>
          <w:rPr>
            <w:rStyle w:val="Hyperlink"/>
          </w:rPr>
          <w:t>[106]</w:t>
        </w:r>
      </w:hyperlink>
    </w:p>
    <w:bookmarkEnd w:id="2"/>
    <w:bookmarkEnd w:id="1"/>
    <w:bookmarkEnd w:id="17"/>
    <w:p w14:paraId="7EDDD878" w14:textId="77777777" w:rsidR="000A07C0" w:rsidRDefault="00000000">
      <w:r>
        <w:pict w14:anchorId="059B22AC">
          <v:rect id="_x0000_i1029" style="width:0;height:1.5pt" o:hralign="center" o:hrstd="t" o:hr="t"/>
        </w:pict>
      </w:r>
    </w:p>
    <w:bookmarkStart w:id="19" w:name="citations"/>
    <w:p w14:paraId="1FC67094" w14:textId="77777777" w:rsidR="000A07C0" w:rsidRDefault="00000000">
      <w:pPr>
        <w:pStyle w:val="FirstParagraph"/>
      </w:pPr>
      <w:r>
        <w:fldChar w:fldCharType="begin"/>
      </w:r>
      <w:r>
        <w:instrText>HYPERLINK "https://airc.nist.gov/airmf-resources/airmf/5-sec-core/?utm_source=chatgpt.com" \h</w:instrText>
      </w:r>
      <w:r>
        <w:fldChar w:fldCharType="separate"/>
      </w:r>
      <w:r>
        <w:rPr>
          <w:rStyle w:val="Hyperlink"/>
        </w:rPr>
        <w:t>[1]</w:t>
      </w:r>
      <w:r>
        <w:fldChar w:fldCharType="end"/>
      </w:r>
      <w:r>
        <w:t xml:space="preserve"> </w:t>
      </w:r>
      <w:hyperlink r:id="rId122">
        <w:r>
          <w:rPr>
            <w:rStyle w:val="Hyperlink"/>
          </w:rPr>
          <w:t>[6]</w:t>
        </w:r>
      </w:hyperlink>
      <w:r>
        <w:t xml:space="preserve"> </w:t>
      </w:r>
      <w:hyperlink r:id="rId123">
        <w:r>
          <w:rPr>
            <w:rStyle w:val="Hyperlink"/>
          </w:rPr>
          <w:t>[9]</w:t>
        </w:r>
      </w:hyperlink>
      <w:r>
        <w:t xml:space="preserve"> </w:t>
      </w:r>
      <w:hyperlink r:id="rId124">
        <w:r>
          <w:rPr>
            <w:rStyle w:val="Hyperlink"/>
          </w:rPr>
          <w:t>[14]</w:t>
        </w:r>
      </w:hyperlink>
      <w:r>
        <w:t xml:space="preserve"> </w:t>
      </w:r>
      <w:hyperlink r:id="rId125">
        <w:r>
          <w:rPr>
            <w:rStyle w:val="Hyperlink"/>
          </w:rPr>
          <w:t>[88]</w:t>
        </w:r>
      </w:hyperlink>
      <w:r>
        <w:t xml:space="preserve"> AI RMF Core - AIRC - NIST AI Resource Center</w:t>
      </w:r>
    </w:p>
    <w:p w14:paraId="1AD99058" w14:textId="77777777" w:rsidR="000A07C0" w:rsidRDefault="00000000">
      <w:pPr>
        <w:pStyle w:val="BodyText"/>
      </w:pPr>
      <w:hyperlink r:id="rId126">
        <w:r>
          <w:rPr>
            <w:rStyle w:val="Hyperlink"/>
          </w:rPr>
          <w:t>https://airc.nist.gov/airmf-resources/airmf/5-sec-core/?utm_source=chatgpt.com</w:t>
        </w:r>
      </w:hyperlink>
    </w:p>
    <w:p w14:paraId="27834AC0" w14:textId="77777777" w:rsidR="000A07C0" w:rsidRDefault="00000000">
      <w:pPr>
        <w:pStyle w:val="BodyText"/>
      </w:pPr>
      <w:hyperlink r:id="rId127">
        <w:r>
          <w:rPr>
            <w:rStyle w:val="Hyperlink"/>
          </w:rPr>
          <w:t>[2]</w:t>
        </w:r>
      </w:hyperlink>
      <w:r>
        <w:t xml:space="preserve"> </w:t>
      </w:r>
      <w:hyperlink r:id="rId128">
        <w:r>
          <w:rPr>
            <w:rStyle w:val="Hyperlink"/>
          </w:rPr>
          <w:t>[7]</w:t>
        </w:r>
      </w:hyperlink>
      <w:r>
        <w:t xml:space="preserve"> Artificial Intelligence Risk Management Framework: Generative Artificial Intelligence Profile | NIST</w:t>
      </w:r>
    </w:p>
    <w:p w14:paraId="72D765DD" w14:textId="77777777" w:rsidR="000A07C0" w:rsidRDefault="00000000">
      <w:pPr>
        <w:pStyle w:val="BodyText"/>
      </w:pPr>
      <w:hyperlink r:id="rId129">
        <w:r>
          <w:rPr>
            <w:rStyle w:val="Hyperlink"/>
          </w:rPr>
          <w:t>https://www.nist.gov/publications/artificial-intelligence-risk-management-framework-generative-artificial-intelligence</w:t>
        </w:r>
      </w:hyperlink>
    </w:p>
    <w:p w14:paraId="4C6BBF61" w14:textId="77777777" w:rsidR="000A07C0" w:rsidRDefault="00000000">
      <w:pPr>
        <w:pStyle w:val="BodyText"/>
      </w:pPr>
      <w:hyperlink r:id="rId130">
        <w:r>
          <w:rPr>
            <w:rStyle w:val="Hyperlink"/>
          </w:rPr>
          <w:t>[3]</w:t>
        </w:r>
      </w:hyperlink>
      <w:r>
        <w:t xml:space="preserve"> </w:t>
      </w:r>
      <w:hyperlink r:id="rId131">
        <w:r>
          <w:rPr>
            <w:rStyle w:val="Hyperlink"/>
          </w:rPr>
          <w:t>[52]</w:t>
        </w:r>
      </w:hyperlink>
      <w:r>
        <w:t xml:space="preserve"> </w:t>
      </w:r>
      <w:hyperlink r:id="rId132">
        <w:r>
          <w:rPr>
            <w:rStyle w:val="Hyperlink"/>
          </w:rPr>
          <w:t>[56]</w:t>
        </w:r>
      </w:hyperlink>
      <w:r>
        <w:t xml:space="preserve"> </w:t>
      </w:r>
      <w:hyperlink r:id="rId133">
        <w:r>
          <w:rPr>
            <w:rStyle w:val="Hyperlink"/>
          </w:rPr>
          <w:t>[75]</w:t>
        </w:r>
      </w:hyperlink>
      <w:r>
        <w:t xml:space="preserve"> </w:t>
      </w:r>
      <w:hyperlink r:id="rId134">
        <w:r>
          <w:rPr>
            <w:rStyle w:val="Hyperlink"/>
          </w:rPr>
          <w:t>[80]</w:t>
        </w:r>
      </w:hyperlink>
      <w:r>
        <w:t xml:space="preserve"> Artificial Intelligence Risk Management Framework</w:t>
      </w:r>
    </w:p>
    <w:p w14:paraId="5C99BBE3" w14:textId="77777777" w:rsidR="000A07C0" w:rsidRDefault="00000000">
      <w:pPr>
        <w:pStyle w:val="BodyText"/>
      </w:pPr>
      <w:hyperlink r:id="rId135">
        <w:r>
          <w:rPr>
            <w:rStyle w:val="Hyperlink"/>
          </w:rPr>
          <w:t>https://nvlpubs.nist.gov/nistpubs/ai/NIST.AI.600-1.pdf?utm_source=chatgpt.com</w:t>
        </w:r>
      </w:hyperlink>
    </w:p>
    <w:p w14:paraId="10C9D087" w14:textId="77777777" w:rsidR="000A07C0" w:rsidRDefault="00000000">
      <w:pPr>
        <w:pStyle w:val="BodyText"/>
      </w:pPr>
      <w:hyperlink r:id="rId136">
        <w:r>
          <w:rPr>
            <w:rStyle w:val="Hyperlink"/>
          </w:rPr>
          <w:t>[4]</w:t>
        </w:r>
      </w:hyperlink>
      <w:r>
        <w:t xml:space="preserve"> </w:t>
      </w:r>
      <w:hyperlink r:id="rId137">
        <w:r>
          <w:rPr>
            <w:rStyle w:val="Hyperlink"/>
          </w:rPr>
          <w:t>[8]</w:t>
        </w:r>
      </w:hyperlink>
      <w:r>
        <w:t xml:space="preserve"> </w:t>
      </w:r>
      <w:hyperlink r:id="rId138">
        <w:r>
          <w:rPr>
            <w:rStyle w:val="Hyperlink"/>
          </w:rPr>
          <w:t>[11]</w:t>
        </w:r>
      </w:hyperlink>
      <w:r>
        <w:t xml:space="preserve"> </w:t>
      </w:r>
      <w:hyperlink r:id="rId139">
        <w:r>
          <w:rPr>
            <w:rStyle w:val="Hyperlink"/>
          </w:rPr>
          <w:t>[24]</w:t>
        </w:r>
      </w:hyperlink>
      <w:r>
        <w:t xml:space="preserve"> </w:t>
      </w:r>
      <w:hyperlink r:id="rId140">
        <w:r>
          <w:rPr>
            <w:rStyle w:val="Hyperlink"/>
          </w:rPr>
          <w:t>[30]</w:t>
        </w:r>
      </w:hyperlink>
      <w:r>
        <w:t xml:space="preserve"> </w:t>
      </w:r>
      <w:hyperlink r:id="rId141">
        <w:r>
          <w:rPr>
            <w:rStyle w:val="Hyperlink"/>
          </w:rPr>
          <w:t>[31]</w:t>
        </w:r>
      </w:hyperlink>
      <w:r>
        <w:t xml:space="preserve"> </w:t>
      </w:r>
      <w:hyperlink r:id="rId142">
        <w:r>
          <w:rPr>
            <w:rStyle w:val="Hyperlink"/>
          </w:rPr>
          <w:t>[38]</w:t>
        </w:r>
      </w:hyperlink>
      <w:r>
        <w:t xml:space="preserve"> </w:t>
      </w:r>
      <w:hyperlink r:id="rId143">
        <w:r>
          <w:rPr>
            <w:rStyle w:val="Hyperlink"/>
          </w:rPr>
          <w:t>[41]</w:t>
        </w:r>
      </w:hyperlink>
      <w:r>
        <w:t xml:space="preserve"> </w:t>
      </w:r>
      <w:hyperlink r:id="rId144">
        <w:r>
          <w:rPr>
            <w:rStyle w:val="Hyperlink"/>
          </w:rPr>
          <w:t>[71]</w:t>
        </w:r>
      </w:hyperlink>
      <w:r>
        <w:t xml:space="preserve"> </w:t>
      </w:r>
      <w:hyperlink r:id="rId145">
        <w:r>
          <w:rPr>
            <w:rStyle w:val="Hyperlink"/>
          </w:rPr>
          <w:t>[72]</w:t>
        </w:r>
      </w:hyperlink>
      <w:r>
        <w:t xml:space="preserve"> </w:t>
      </w:r>
      <w:hyperlink r:id="rId146">
        <w:r>
          <w:rPr>
            <w:rStyle w:val="Hyperlink"/>
          </w:rPr>
          <w:t>[74]</w:t>
        </w:r>
      </w:hyperlink>
      <w:r>
        <w:t xml:space="preserve"> </w:t>
      </w:r>
      <w:hyperlink r:id="rId147">
        <w:r>
          <w:rPr>
            <w:rStyle w:val="Hyperlink"/>
          </w:rPr>
          <w:t>[79]</w:t>
        </w:r>
      </w:hyperlink>
      <w:r>
        <w:t xml:space="preserve"> </w:t>
      </w:r>
      <w:hyperlink r:id="rId148">
        <w:r>
          <w:rPr>
            <w:rStyle w:val="Hyperlink"/>
          </w:rPr>
          <w:t>[84]</w:t>
        </w:r>
      </w:hyperlink>
      <w:r>
        <w:t xml:space="preserve"> </w:t>
      </w:r>
      <w:hyperlink r:id="rId149">
        <w:r>
          <w:rPr>
            <w:rStyle w:val="Hyperlink"/>
          </w:rPr>
          <w:t>[92]</w:t>
        </w:r>
      </w:hyperlink>
      <w:r>
        <w:t xml:space="preserve"> ISO/IEC 42001:2023 - AI management systems</w:t>
      </w:r>
    </w:p>
    <w:p w14:paraId="29519573" w14:textId="77777777" w:rsidR="000A07C0" w:rsidRDefault="00000000">
      <w:pPr>
        <w:pStyle w:val="BodyText"/>
      </w:pPr>
      <w:hyperlink r:id="rId150">
        <w:r>
          <w:rPr>
            <w:rStyle w:val="Hyperlink"/>
          </w:rPr>
          <w:t>https://www.iso.org/standard/42001</w:t>
        </w:r>
      </w:hyperlink>
    </w:p>
    <w:p w14:paraId="39DF1E6A" w14:textId="77777777" w:rsidR="000A07C0" w:rsidRDefault="00000000">
      <w:pPr>
        <w:pStyle w:val="BodyText"/>
      </w:pPr>
      <w:hyperlink r:id="rId151">
        <w:r>
          <w:rPr>
            <w:rStyle w:val="Hyperlink"/>
          </w:rPr>
          <w:t>[5]</w:t>
        </w:r>
      </w:hyperlink>
      <w:r>
        <w:t xml:space="preserve"> </w:t>
      </w:r>
      <w:hyperlink r:id="rId152">
        <w:r>
          <w:rPr>
            <w:rStyle w:val="Hyperlink"/>
          </w:rPr>
          <w:t>[53]</w:t>
        </w:r>
      </w:hyperlink>
      <w:r>
        <w:t xml:space="preserve"> </w:t>
      </w:r>
      <w:hyperlink r:id="rId153">
        <w:r>
          <w:rPr>
            <w:rStyle w:val="Hyperlink"/>
          </w:rPr>
          <w:t>[66]</w:t>
        </w:r>
      </w:hyperlink>
      <w:r>
        <w:t xml:space="preserve"> </w:t>
      </w:r>
      <w:hyperlink r:id="rId154">
        <w:r>
          <w:rPr>
            <w:rStyle w:val="Hyperlink"/>
          </w:rPr>
          <w:t>[77]</w:t>
        </w:r>
      </w:hyperlink>
      <w:r>
        <w:t xml:space="preserve"> ftc.gov</w:t>
      </w:r>
    </w:p>
    <w:p w14:paraId="3F9EA6D8" w14:textId="77777777" w:rsidR="000A07C0" w:rsidRDefault="00000000">
      <w:pPr>
        <w:pStyle w:val="BodyText"/>
      </w:pPr>
      <w:hyperlink r:id="rId155">
        <w:r>
          <w:rPr>
            <w:rStyle w:val="Hyperlink"/>
          </w:rPr>
          <w:t>https://www.ftc.gov/system/files/ftc_gov/pdf/EEOC-CRT-FTC-CFPB-AI-Joint-Statement%28final%29.pdf</w:t>
        </w:r>
      </w:hyperlink>
    </w:p>
    <w:p w14:paraId="44737A3F" w14:textId="77777777" w:rsidR="000A07C0" w:rsidRDefault="00000000">
      <w:pPr>
        <w:pStyle w:val="BodyText"/>
      </w:pPr>
      <w:hyperlink r:id="rId156">
        <w:r>
          <w:rPr>
            <w:rStyle w:val="Hyperlink"/>
          </w:rPr>
          <w:t>[10]</w:t>
        </w:r>
      </w:hyperlink>
      <w:r>
        <w:t xml:space="preserve"> </w:t>
      </w:r>
      <w:hyperlink r:id="rId157">
        <w:r>
          <w:rPr>
            <w:rStyle w:val="Hyperlink"/>
          </w:rPr>
          <w:t>[62]</w:t>
        </w:r>
      </w:hyperlink>
      <w:r>
        <w:t xml:space="preserve"> </w:t>
      </w:r>
      <w:hyperlink r:id="rId158">
        <w:r>
          <w:rPr>
            <w:rStyle w:val="Hyperlink"/>
          </w:rPr>
          <w:t>[63]</w:t>
        </w:r>
      </w:hyperlink>
      <w:r>
        <w:t xml:space="preserve"> </w:t>
      </w:r>
      <w:hyperlink r:id="rId159">
        <w:r>
          <w:rPr>
            <w:rStyle w:val="Hyperlink"/>
          </w:rPr>
          <w:t>[100]</w:t>
        </w:r>
      </w:hyperlink>
      <w:r>
        <w:t xml:space="preserve"> AI Act | Shaping Europe’s digital future</w:t>
      </w:r>
    </w:p>
    <w:p w14:paraId="1D258B32" w14:textId="77777777" w:rsidR="000A07C0" w:rsidRDefault="00000000">
      <w:pPr>
        <w:pStyle w:val="BodyText"/>
      </w:pPr>
      <w:hyperlink r:id="rId160">
        <w:r>
          <w:rPr>
            <w:rStyle w:val="Hyperlink"/>
          </w:rPr>
          <w:t>https://digital-strategy.ec.europa.eu/en/policies/regulatory-framework-ai</w:t>
        </w:r>
      </w:hyperlink>
    </w:p>
    <w:p w14:paraId="4459BB81" w14:textId="77777777" w:rsidR="000A07C0" w:rsidRDefault="00000000">
      <w:pPr>
        <w:pStyle w:val="BodyText"/>
      </w:pPr>
      <w:hyperlink r:id="rId161">
        <w:r>
          <w:rPr>
            <w:rStyle w:val="Hyperlink"/>
          </w:rPr>
          <w:t>[12]</w:t>
        </w:r>
      </w:hyperlink>
      <w:r>
        <w:t xml:space="preserve"> ISO/IEC 23894:2023 - AI — Guidance on risk management</w:t>
      </w:r>
    </w:p>
    <w:p w14:paraId="417B227F" w14:textId="77777777" w:rsidR="000A07C0" w:rsidRDefault="00000000">
      <w:pPr>
        <w:pStyle w:val="BodyText"/>
      </w:pPr>
      <w:hyperlink r:id="rId162">
        <w:r>
          <w:rPr>
            <w:rStyle w:val="Hyperlink"/>
          </w:rPr>
          <w:t>https://www.iso.org/standard/77304.html</w:t>
        </w:r>
      </w:hyperlink>
    </w:p>
    <w:p w14:paraId="2BE74BCA" w14:textId="77777777" w:rsidR="000A07C0" w:rsidRDefault="00000000">
      <w:pPr>
        <w:pStyle w:val="BodyText"/>
      </w:pPr>
      <w:hyperlink r:id="rId163">
        <w:r>
          <w:rPr>
            <w:rStyle w:val="Hyperlink"/>
          </w:rPr>
          <w:t>[13]</w:t>
        </w:r>
      </w:hyperlink>
      <w:r>
        <w:t xml:space="preserve"> </w:t>
      </w:r>
      <w:hyperlink r:id="rId164">
        <w:r>
          <w:rPr>
            <w:rStyle w:val="Hyperlink"/>
          </w:rPr>
          <w:t>[73]</w:t>
        </w:r>
      </w:hyperlink>
      <w:r>
        <w:t xml:space="preserve"> </w:t>
      </w:r>
      <w:hyperlink r:id="rId165">
        <w:r>
          <w:rPr>
            <w:rStyle w:val="Hyperlink"/>
          </w:rPr>
          <w:t>[93]</w:t>
        </w:r>
      </w:hyperlink>
      <w:r>
        <w:t xml:space="preserve"> </w:t>
      </w:r>
      <w:hyperlink r:id="rId166">
        <w:r>
          <w:rPr>
            <w:rStyle w:val="Hyperlink"/>
          </w:rPr>
          <w:t>[97]</w:t>
        </w:r>
      </w:hyperlink>
      <w:r>
        <w:t xml:space="preserve"> AI principles | OECD</w:t>
      </w:r>
    </w:p>
    <w:p w14:paraId="63533C34" w14:textId="77777777" w:rsidR="000A07C0" w:rsidRDefault="00000000">
      <w:pPr>
        <w:pStyle w:val="BodyText"/>
      </w:pPr>
      <w:hyperlink r:id="rId167">
        <w:r>
          <w:rPr>
            <w:rStyle w:val="Hyperlink"/>
          </w:rPr>
          <w:t>https://www.oecd.org/en/topics/ai-principles.html</w:t>
        </w:r>
      </w:hyperlink>
    </w:p>
    <w:p w14:paraId="0B397D19" w14:textId="77777777" w:rsidR="000A07C0" w:rsidRDefault="00000000">
      <w:pPr>
        <w:pStyle w:val="BodyText"/>
      </w:pPr>
      <w:hyperlink r:id="rId168">
        <w:r>
          <w:rPr>
            <w:rStyle w:val="Hyperlink"/>
          </w:rPr>
          <w:t>[15]</w:t>
        </w:r>
      </w:hyperlink>
      <w:r>
        <w:t xml:space="preserve"> </w:t>
      </w:r>
      <w:hyperlink r:id="rId169">
        <w:r>
          <w:rPr>
            <w:rStyle w:val="Hyperlink"/>
          </w:rPr>
          <w:t>[16]</w:t>
        </w:r>
      </w:hyperlink>
      <w:r>
        <w:t xml:space="preserve"> </w:t>
      </w:r>
      <w:hyperlink r:id="rId170">
        <w:r>
          <w:rPr>
            <w:rStyle w:val="Hyperlink"/>
          </w:rPr>
          <w:t>[17]</w:t>
        </w:r>
      </w:hyperlink>
      <w:r>
        <w:t xml:space="preserve"> </w:t>
      </w:r>
      <w:hyperlink r:id="rId171">
        <w:r>
          <w:rPr>
            <w:rStyle w:val="Hyperlink"/>
          </w:rPr>
          <w:t>[28]</w:t>
        </w:r>
      </w:hyperlink>
      <w:r>
        <w:t xml:space="preserve"> </w:t>
      </w:r>
      <w:hyperlink r:id="rId172">
        <w:r>
          <w:rPr>
            <w:rStyle w:val="Hyperlink"/>
          </w:rPr>
          <w:t>[29]</w:t>
        </w:r>
      </w:hyperlink>
      <w:r>
        <w:t xml:space="preserve"> </w:t>
      </w:r>
      <w:hyperlink r:id="rId173">
        <w:r>
          <w:rPr>
            <w:rStyle w:val="Hyperlink"/>
          </w:rPr>
          <w:t>[32]</w:t>
        </w:r>
      </w:hyperlink>
      <w:r>
        <w:t xml:space="preserve"> </w:t>
      </w:r>
      <w:hyperlink r:id="rId174">
        <w:r>
          <w:rPr>
            <w:rStyle w:val="Hyperlink"/>
          </w:rPr>
          <w:t>[34]</w:t>
        </w:r>
      </w:hyperlink>
      <w:r>
        <w:t xml:space="preserve"> </w:t>
      </w:r>
      <w:hyperlink r:id="rId175">
        <w:r>
          <w:rPr>
            <w:rStyle w:val="Hyperlink"/>
          </w:rPr>
          <w:t>[42]</w:t>
        </w:r>
      </w:hyperlink>
      <w:r>
        <w:t xml:space="preserve"> </w:t>
      </w:r>
      <w:hyperlink r:id="rId176">
        <w:r>
          <w:rPr>
            <w:rStyle w:val="Hyperlink"/>
          </w:rPr>
          <w:t>[45]</w:t>
        </w:r>
      </w:hyperlink>
      <w:r>
        <w:t xml:space="preserve"> </w:t>
      </w:r>
      <w:hyperlink r:id="rId177">
        <w:r>
          <w:rPr>
            <w:rStyle w:val="Hyperlink"/>
          </w:rPr>
          <w:t>[51]</w:t>
        </w:r>
      </w:hyperlink>
      <w:r>
        <w:t xml:space="preserve"> </w:t>
      </w:r>
      <w:hyperlink r:id="rId178">
        <w:r>
          <w:rPr>
            <w:rStyle w:val="Hyperlink"/>
          </w:rPr>
          <w:t>[65]</w:t>
        </w:r>
      </w:hyperlink>
      <w:r>
        <w:t xml:space="preserve"> </w:t>
      </w:r>
      <w:hyperlink r:id="rId179">
        <w:r>
          <w:rPr>
            <w:rStyle w:val="Hyperlink"/>
          </w:rPr>
          <w:t>[99]</w:t>
        </w:r>
      </w:hyperlink>
      <w:r>
        <w:t xml:space="preserve"> Govern - AIRC - NIST AI Resource Center</w:t>
      </w:r>
    </w:p>
    <w:p w14:paraId="3780D244" w14:textId="77777777" w:rsidR="000A07C0" w:rsidRDefault="00000000">
      <w:pPr>
        <w:pStyle w:val="BodyText"/>
      </w:pPr>
      <w:hyperlink r:id="rId180">
        <w:r>
          <w:rPr>
            <w:rStyle w:val="Hyperlink"/>
          </w:rPr>
          <w:t>https://airc.nist.gov/airmf-resources/playbook/govern/?utm_source=chatgpt.com</w:t>
        </w:r>
      </w:hyperlink>
    </w:p>
    <w:p w14:paraId="640F5EA8" w14:textId="77777777" w:rsidR="000A07C0" w:rsidRDefault="00000000">
      <w:pPr>
        <w:pStyle w:val="BodyText"/>
      </w:pPr>
      <w:hyperlink r:id="rId181">
        <w:r>
          <w:rPr>
            <w:rStyle w:val="Hyperlink"/>
          </w:rPr>
          <w:t>[18]</w:t>
        </w:r>
      </w:hyperlink>
      <w:r>
        <w:t xml:space="preserve"> </w:t>
      </w:r>
      <w:hyperlink r:id="rId182">
        <w:r>
          <w:rPr>
            <w:rStyle w:val="Hyperlink"/>
          </w:rPr>
          <w:t>[33]</w:t>
        </w:r>
      </w:hyperlink>
      <w:r>
        <w:t xml:space="preserve"> </w:t>
      </w:r>
      <w:hyperlink r:id="rId183">
        <w:r>
          <w:rPr>
            <w:rStyle w:val="Hyperlink"/>
          </w:rPr>
          <w:t>[43]</w:t>
        </w:r>
      </w:hyperlink>
      <w:r>
        <w:t xml:space="preserve"> </w:t>
      </w:r>
      <w:hyperlink r:id="rId184">
        <w:r>
          <w:rPr>
            <w:rStyle w:val="Hyperlink"/>
          </w:rPr>
          <w:t>[67]</w:t>
        </w:r>
      </w:hyperlink>
      <w:r>
        <w:t xml:space="preserve"> </w:t>
      </w:r>
      <w:hyperlink r:id="rId185">
        <w:r>
          <w:rPr>
            <w:rStyle w:val="Hyperlink"/>
          </w:rPr>
          <w:t>[68]</w:t>
        </w:r>
      </w:hyperlink>
      <w:r>
        <w:t xml:space="preserve"> whitehouse.gov</w:t>
      </w:r>
    </w:p>
    <w:p w14:paraId="3CAF38B6" w14:textId="77777777" w:rsidR="000A07C0" w:rsidRDefault="00000000">
      <w:pPr>
        <w:pStyle w:val="BodyText"/>
      </w:pPr>
      <w:hyperlink r:id="rId186">
        <w:r>
          <w:rPr>
            <w:rStyle w:val="Hyperlink"/>
          </w:rPr>
          <w:t>https://www.whitehouse.gov/wp-content/uploads/2025/02/M-25-21-Accelerating-Federal-Use-of-AI-through-Innovation-Governance-and-Public-Trust.pdf</w:t>
        </w:r>
      </w:hyperlink>
    </w:p>
    <w:p w14:paraId="291F6440" w14:textId="77777777" w:rsidR="000A07C0" w:rsidRDefault="00000000">
      <w:pPr>
        <w:pStyle w:val="BodyText"/>
      </w:pPr>
      <w:hyperlink r:id="rId187">
        <w:r>
          <w:rPr>
            <w:rStyle w:val="Hyperlink"/>
          </w:rPr>
          <w:t>[19]</w:t>
        </w:r>
      </w:hyperlink>
      <w:r>
        <w:t xml:space="preserve"> </w:t>
      </w:r>
      <w:hyperlink r:id="rId188">
        <w:r>
          <w:rPr>
            <w:rStyle w:val="Hyperlink"/>
          </w:rPr>
          <w:t>[36]</w:t>
        </w:r>
      </w:hyperlink>
      <w:r>
        <w:t xml:space="preserve"> </w:t>
      </w:r>
      <w:hyperlink r:id="rId189">
        <w:r>
          <w:rPr>
            <w:rStyle w:val="Hyperlink"/>
          </w:rPr>
          <w:t>[54]</w:t>
        </w:r>
      </w:hyperlink>
      <w:r>
        <w:t xml:space="preserve"> </w:t>
      </w:r>
      <w:hyperlink r:id="rId190">
        <w:r>
          <w:rPr>
            <w:rStyle w:val="Hyperlink"/>
          </w:rPr>
          <w:t>[70]</w:t>
        </w:r>
      </w:hyperlink>
      <w:r>
        <w:t xml:space="preserve"> AI and data protection risk toolkit | ICO</w:t>
      </w:r>
    </w:p>
    <w:p w14:paraId="3455C5B1" w14:textId="77777777" w:rsidR="000A07C0" w:rsidRDefault="00000000">
      <w:pPr>
        <w:pStyle w:val="BodyText"/>
      </w:pPr>
      <w:hyperlink r:id="rId191">
        <w:r>
          <w:rPr>
            <w:rStyle w:val="Hyperlink"/>
          </w:rPr>
          <w:t>https://ico.org.uk/for-organisations/uk-gdpr-guidance-and-resources/artificial-intelligence/guidance-on-ai-and-data-protection/ai-and-data-protection-risk-toolkit/</w:t>
        </w:r>
      </w:hyperlink>
    </w:p>
    <w:p w14:paraId="598DD3FE" w14:textId="77777777" w:rsidR="000A07C0" w:rsidRDefault="00000000">
      <w:pPr>
        <w:pStyle w:val="BodyText"/>
      </w:pPr>
      <w:hyperlink r:id="rId192">
        <w:r>
          <w:rPr>
            <w:rStyle w:val="Hyperlink"/>
          </w:rPr>
          <w:t>[20]</w:t>
        </w:r>
      </w:hyperlink>
      <w:r>
        <w:t xml:space="preserve"> </w:t>
      </w:r>
      <w:hyperlink r:id="rId193">
        <w:r>
          <w:rPr>
            <w:rStyle w:val="Hyperlink"/>
          </w:rPr>
          <w:t>[47]</w:t>
        </w:r>
      </w:hyperlink>
      <w:r>
        <w:t xml:space="preserve"> Model Cards for Model Reporting</w:t>
      </w:r>
    </w:p>
    <w:p w14:paraId="310A960F" w14:textId="77777777" w:rsidR="000A07C0" w:rsidRDefault="00000000">
      <w:pPr>
        <w:pStyle w:val="BodyText"/>
      </w:pPr>
      <w:hyperlink r:id="rId194">
        <w:r>
          <w:rPr>
            <w:rStyle w:val="Hyperlink"/>
          </w:rPr>
          <w:t>https://research.google/pubs/model-cards-for-model-reporting/?utm_source=chatgpt.com</w:t>
        </w:r>
      </w:hyperlink>
    </w:p>
    <w:p w14:paraId="7E2B8EAB" w14:textId="77777777" w:rsidR="000A07C0" w:rsidRDefault="00000000">
      <w:pPr>
        <w:pStyle w:val="BodyText"/>
      </w:pPr>
      <w:hyperlink r:id="rId195">
        <w:r>
          <w:rPr>
            <w:rStyle w:val="Hyperlink"/>
          </w:rPr>
          <w:t>[21]</w:t>
        </w:r>
      </w:hyperlink>
      <w:r>
        <w:t xml:space="preserve"> </w:t>
      </w:r>
      <w:hyperlink r:id="rId196">
        <w:r>
          <w:rPr>
            <w:rStyle w:val="Hyperlink"/>
          </w:rPr>
          <w:t>[86]</w:t>
        </w:r>
      </w:hyperlink>
      <w:r>
        <w:t xml:space="preserve"> </w:t>
      </w:r>
      <w:hyperlink r:id="rId197">
        <w:r>
          <w:rPr>
            <w:rStyle w:val="Hyperlink"/>
          </w:rPr>
          <w:t>[101]</w:t>
        </w:r>
      </w:hyperlink>
      <w:r>
        <w:t xml:space="preserve"> Driving Efficient Acquisition of Artificial Intelligence in ...</w:t>
      </w:r>
    </w:p>
    <w:p w14:paraId="680D326D" w14:textId="77777777" w:rsidR="000A07C0" w:rsidRDefault="00000000">
      <w:pPr>
        <w:pStyle w:val="BodyText"/>
      </w:pPr>
      <w:hyperlink r:id="rId198">
        <w:r>
          <w:rPr>
            <w:rStyle w:val="Hyperlink"/>
          </w:rPr>
          <w:t>https://www.whitehouse.gov/wp-content/uploads/2025/02/M-25-22-Driving-Efficient-Acquisition-of-Artificial-Intelligence-in-Government.pdf?utm_source=chatgpt.com</w:t>
        </w:r>
      </w:hyperlink>
    </w:p>
    <w:p w14:paraId="5D54669F" w14:textId="77777777" w:rsidR="000A07C0" w:rsidRDefault="00000000">
      <w:pPr>
        <w:pStyle w:val="BodyText"/>
      </w:pPr>
      <w:hyperlink r:id="rId199">
        <w:r>
          <w:rPr>
            <w:rStyle w:val="Hyperlink"/>
          </w:rPr>
          <w:t>[22]</w:t>
        </w:r>
      </w:hyperlink>
      <w:r>
        <w:t xml:space="preserve"> OWASP Top 10 for Large Language Model Applications | OWASP Foundation</w:t>
      </w:r>
    </w:p>
    <w:p w14:paraId="09F1D89A" w14:textId="77777777" w:rsidR="000A07C0" w:rsidRDefault="00000000">
      <w:pPr>
        <w:pStyle w:val="BodyText"/>
      </w:pPr>
      <w:hyperlink r:id="rId200">
        <w:r>
          <w:rPr>
            <w:rStyle w:val="Hyperlink"/>
          </w:rPr>
          <w:t>https://owasp.org/www-project-top-10-for-large-language-model-applications/</w:t>
        </w:r>
      </w:hyperlink>
    </w:p>
    <w:p w14:paraId="1E0F4292" w14:textId="77777777" w:rsidR="000A07C0" w:rsidRDefault="00000000">
      <w:pPr>
        <w:pStyle w:val="BodyText"/>
      </w:pPr>
      <w:hyperlink r:id="rId201">
        <w:r>
          <w:rPr>
            <w:rStyle w:val="Hyperlink"/>
          </w:rPr>
          <w:t>[23]</w:t>
        </w:r>
      </w:hyperlink>
      <w:r>
        <w:t xml:space="preserve"> Guidance on AI and data protection | ICO</w:t>
      </w:r>
    </w:p>
    <w:p w14:paraId="4A799E79" w14:textId="77777777" w:rsidR="000A07C0" w:rsidRDefault="00000000">
      <w:pPr>
        <w:pStyle w:val="BodyText"/>
      </w:pPr>
      <w:hyperlink r:id="rId202">
        <w:r>
          <w:rPr>
            <w:rStyle w:val="Hyperlink"/>
          </w:rPr>
          <w:t>https://ico.org.uk/for-organisations/uk-gdpr-guidance-and-resources/artificial-intelligence/guidance-on-ai-and-data-protection/</w:t>
        </w:r>
      </w:hyperlink>
    </w:p>
    <w:p w14:paraId="36C17414" w14:textId="77777777" w:rsidR="000A07C0" w:rsidRDefault="00000000">
      <w:pPr>
        <w:pStyle w:val="BodyText"/>
      </w:pPr>
      <w:hyperlink r:id="rId203">
        <w:r>
          <w:rPr>
            <w:rStyle w:val="Hyperlink"/>
          </w:rPr>
          <w:t>[25]</w:t>
        </w:r>
      </w:hyperlink>
      <w:r>
        <w:t xml:space="preserve"> </w:t>
      </w:r>
      <w:hyperlink r:id="rId204">
        <w:r>
          <w:rPr>
            <w:rStyle w:val="Hyperlink"/>
          </w:rPr>
          <w:t>[49]</w:t>
        </w:r>
      </w:hyperlink>
      <w:r>
        <w:t xml:space="preserve"> </w:t>
      </w:r>
      <w:hyperlink r:id="rId205">
        <w:r>
          <w:rPr>
            <w:rStyle w:val="Hyperlink"/>
          </w:rPr>
          <w:t>[76]</w:t>
        </w:r>
      </w:hyperlink>
      <w:r>
        <w:t xml:space="preserve"> </w:t>
      </w:r>
      <w:hyperlink r:id="rId206">
        <w:r>
          <w:rPr>
            <w:rStyle w:val="Hyperlink"/>
          </w:rPr>
          <w:t>[89]</w:t>
        </w:r>
      </w:hyperlink>
      <w:r>
        <w:t xml:space="preserve"> </w:t>
      </w:r>
      <w:hyperlink r:id="rId207">
        <w:r>
          <w:rPr>
            <w:rStyle w:val="Hyperlink"/>
          </w:rPr>
          <w:t>[90]</w:t>
        </w:r>
      </w:hyperlink>
      <w:r>
        <w:t xml:space="preserve"> March 20 ChatGPT outage: Here’s what happened | OpenAI</w:t>
      </w:r>
    </w:p>
    <w:p w14:paraId="368F013A" w14:textId="77777777" w:rsidR="000A07C0" w:rsidRDefault="00000000">
      <w:pPr>
        <w:pStyle w:val="BodyText"/>
      </w:pPr>
      <w:hyperlink r:id="rId208">
        <w:r>
          <w:rPr>
            <w:rStyle w:val="Hyperlink"/>
          </w:rPr>
          <w:t>https://openai.com/index/march-20-chatgpt-outage/</w:t>
        </w:r>
      </w:hyperlink>
    </w:p>
    <w:p w14:paraId="272EDF5F" w14:textId="77777777" w:rsidR="000A07C0" w:rsidRDefault="00000000">
      <w:pPr>
        <w:pStyle w:val="BodyText"/>
      </w:pPr>
      <w:hyperlink r:id="rId209">
        <w:r>
          <w:rPr>
            <w:rStyle w:val="Hyperlink"/>
          </w:rPr>
          <w:t>[26]</w:t>
        </w:r>
      </w:hyperlink>
      <w:r>
        <w:t xml:space="preserve"> </w:t>
      </w:r>
      <w:hyperlink r:id="rId210">
        <w:r>
          <w:rPr>
            <w:rStyle w:val="Hyperlink"/>
          </w:rPr>
          <w:t>[61]</w:t>
        </w:r>
      </w:hyperlink>
      <w:r>
        <w:t xml:space="preserve"> </w:t>
      </w:r>
      <w:hyperlink r:id="rId211">
        <w:r>
          <w:rPr>
            <w:rStyle w:val="Hyperlink"/>
          </w:rPr>
          <w:t>[103]</w:t>
        </w:r>
      </w:hyperlink>
      <w:r>
        <w:t xml:space="preserve"> </w:t>
      </w:r>
      <w:hyperlink r:id="rId212">
        <w:r>
          <w:rPr>
            <w:rStyle w:val="Hyperlink"/>
          </w:rPr>
          <w:t>[104]</w:t>
        </w:r>
      </w:hyperlink>
      <w:r>
        <w:t xml:space="preserve"> AI Literacy - Questions &amp; Answers</w:t>
      </w:r>
    </w:p>
    <w:p w14:paraId="4C3BF60F" w14:textId="77777777" w:rsidR="000A07C0" w:rsidRDefault="00000000">
      <w:pPr>
        <w:pStyle w:val="BodyText"/>
      </w:pPr>
      <w:hyperlink r:id="rId213">
        <w:r>
          <w:rPr>
            <w:rStyle w:val="Hyperlink"/>
          </w:rPr>
          <w:t>https://digital-strategy.ec.europa.eu/en/faqs/ai-literacy-questions-answers?utm_source=chatgpt.com</w:t>
        </w:r>
      </w:hyperlink>
    </w:p>
    <w:p w14:paraId="335B8048" w14:textId="77777777" w:rsidR="000A07C0" w:rsidRDefault="00000000">
      <w:pPr>
        <w:pStyle w:val="BodyText"/>
      </w:pPr>
      <w:hyperlink r:id="rId214">
        <w:r>
          <w:rPr>
            <w:rStyle w:val="Hyperlink"/>
          </w:rPr>
          <w:t>[27]</w:t>
        </w:r>
      </w:hyperlink>
      <w:r>
        <w:t xml:space="preserve"> </w:t>
      </w:r>
      <w:hyperlink r:id="rId215">
        <w:r>
          <w:rPr>
            <w:rStyle w:val="Hyperlink"/>
          </w:rPr>
          <w:t>[35]</w:t>
        </w:r>
      </w:hyperlink>
      <w:r>
        <w:t xml:space="preserve"> </w:t>
      </w:r>
      <w:hyperlink r:id="rId216">
        <w:r>
          <w:rPr>
            <w:rStyle w:val="Hyperlink"/>
          </w:rPr>
          <w:t>[48]</w:t>
        </w:r>
      </w:hyperlink>
      <w:r>
        <w:t xml:space="preserve"> </w:t>
      </w:r>
      <w:hyperlink r:id="rId217">
        <w:r>
          <w:rPr>
            <w:rStyle w:val="Hyperlink"/>
          </w:rPr>
          <w:t>[50]</w:t>
        </w:r>
      </w:hyperlink>
      <w:r>
        <w:t xml:space="preserve"> </w:t>
      </w:r>
      <w:hyperlink r:id="rId218">
        <w:r>
          <w:rPr>
            <w:rStyle w:val="Hyperlink"/>
          </w:rPr>
          <w:t>[82]</w:t>
        </w:r>
      </w:hyperlink>
      <w:r>
        <w:t xml:space="preserve"> </w:t>
      </w:r>
      <w:hyperlink r:id="rId219">
        <w:r>
          <w:rPr>
            <w:rStyle w:val="Hyperlink"/>
          </w:rPr>
          <w:t>[95]</w:t>
        </w:r>
      </w:hyperlink>
      <w:r>
        <w:t xml:space="preserve"> </w:t>
      </w:r>
      <w:hyperlink r:id="rId220">
        <w:r>
          <w:rPr>
            <w:rStyle w:val="Hyperlink"/>
          </w:rPr>
          <w:t>[102]</w:t>
        </w:r>
      </w:hyperlink>
      <w:r>
        <w:t xml:space="preserve"> </w:t>
      </w:r>
      <w:hyperlink r:id="rId221">
        <w:r>
          <w:rPr>
            <w:rStyle w:val="Hyperlink"/>
          </w:rPr>
          <w:t>[105]</w:t>
        </w:r>
      </w:hyperlink>
      <w:r>
        <w:t xml:space="preserve"> Measure - AIRC - NIST AI Resource Center</w:t>
      </w:r>
    </w:p>
    <w:p w14:paraId="58551409" w14:textId="77777777" w:rsidR="000A07C0" w:rsidRDefault="00000000">
      <w:pPr>
        <w:pStyle w:val="BodyText"/>
      </w:pPr>
      <w:hyperlink r:id="rId222">
        <w:r>
          <w:rPr>
            <w:rStyle w:val="Hyperlink"/>
          </w:rPr>
          <w:t>https://airc.nist.gov/airmf-resources/playbook/measure/?utm_source=chatgpt.com</w:t>
        </w:r>
      </w:hyperlink>
    </w:p>
    <w:p w14:paraId="52EE7ADB" w14:textId="77777777" w:rsidR="000A07C0" w:rsidRDefault="00000000">
      <w:pPr>
        <w:pStyle w:val="BodyText"/>
      </w:pPr>
      <w:hyperlink r:id="rId223">
        <w:r>
          <w:rPr>
            <w:rStyle w:val="Hyperlink"/>
          </w:rPr>
          <w:t>[37]</w:t>
        </w:r>
      </w:hyperlink>
      <w:r>
        <w:t xml:space="preserve"> </w:t>
      </w:r>
      <w:hyperlink r:id="rId224">
        <w:r>
          <w:rPr>
            <w:rStyle w:val="Hyperlink"/>
          </w:rPr>
          <w:t>[55]</w:t>
        </w:r>
      </w:hyperlink>
      <w:r>
        <w:t xml:space="preserve"> OWASP Top 10 for LLM Applications 2025</w:t>
      </w:r>
    </w:p>
    <w:p w14:paraId="21EBF861" w14:textId="77777777" w:rsidR="000A07C0" w:rsidRDefault="00000000">
      <w:pPr>
        <w:pStyle w:val="BodyText"/>
      </w:pPr>
      <w:hyperlink r:id="rId225">
        <w:r>
          <w:rPr>
            <w:rStyle w:val="Hyperlink"/>
          </w:rPr>
          <w:t>https://genai.owasp.org/resource/owasp-top-10-for-llm-applications-2025/</w:t>
        </w:r>
      </w:hyperlink>
    </w:p>
    <w:p w14:paraId="74A46C63" w14:textId="77777777" w:rsidR="000A07C0" w:rsidRDefault="00000000">
      <w:pPr>
        <w:pStyle w:val="BodyText"/>
      </w:pPr>
      <w:hyperlink r:id="rId226">
        <w:r>
          <w:rPr>
            <w:rStyle w:val="Hyperlink"/>
          </w:rPr>
          <w:t>[39]</w:t>
        </w:r>
      </w:hyperlink>
      <w:r>
        <w:t xml:space="preserve"> </w:t>
      </w:r>
      <w:hyperlink r:id="rId227">
        <w:r>
          <w:rPr>
            <w:rStyle w:val="Hyperlink"/>
          </w:rPr>
          <w:t>[40]</w:t>
        </w:r>
      </w:hyperlink>
      <w:r>
        <w:t xml:space="preserve"> Executive Summary - AIRC - NIST AI Resource Center</w:t>
      </w:r>
    </w:p>
    <w:p w14:paraId="62DF1949" w14:textId="77777777" w:rsidR="000A07C0" w:rsidRDefault="00000000">
      <w:pPr>
        <w:pStyle w:val="BodyText"/>
      </w:pPr>
      <w:hyperlink r:id="rId228">
        <w:r>
          <w:rPr>
            <w:rStyle w:val="Hyperlink"/>
          </w:rPr>
          <w:t>https://airc.nist.gov/airmf-resources/airmf/0-ai-rmf-1-0/?utm_source=chatgpt.com</w:t>
        </w:r>
      </w:hyperlink>
    </w:p>
    <w:p w14:paraId="23D9E129" w14:textId="77777777" w:rsidR="000A07C0" w:rsidRDefault="00000000">
      <w:pPr>
        <w:pStyle w:val="BodyText"/>
      </w:pPr>
      <w:hyperlink r:id="rId229">
        <w:r>
          <w:rPr>
            <w:rStyle w:val="Hyperlink"/>
          </w:rPr>
          <w:t>[44]</w:t>
        </w:r>
      </w:hyperlink>
      <w:r>
        <w:t xml:space="preserve"> The Framework Convention on Artificial Intelligence - Artificial Intelligence</w:t>
      </w:r>
    </w:p>
    <w:p w14:paraId="789F9AFD" w14:textId="77777777" w:rsidR="000A07C0" w:rsidRDefault="00000000">
      <w:pPr>
        <w:pStyle w:val="BodyText"/>
      </w:pPr>
      <w:hyperlink r:id="rId230">
        <w:r>
          <w:rPr>
            <w:rStyle w:val="Hyperlink"/>
          </w:rPr>
          <w:t>https://www.coe.int/en/web/artificial-intelligence/the-framework-convention-on-artificial-intelligence</w:t>
        </w:r>
      </w:hyperlink>
    </w:p>
    <w:p w14:paraId="1E09C57D" w14:textId="77777777" w:rsidR="000A07C0" w:rsidRDefault="00000000">
      <w:pPr>
        <w:pStyle w:val="BodyText"/>
      </w:pPr>
      <w:hyperlink r:id="rId231">
        <w:r>
          <w:rPr>
            <w:rStyle w:val="Hyperlink"/>
          </w:rPr>
          <w:t>[46]</w:t>
        </w:r>
      </w:hyperlink>
      <w:r>
        <w:t xml:space="preserve"> [1803.09010] Datasheets for Datasets</w:t>
      </w:r>
    </w:p>
    <w:p w14:paraId="77E9FD56" w14:textId="77777777" w:rsidR="000A07C0" w:rsidRDefault="00000000">
      <w:pPr>
        <w:pStyle w:val="BodyText"/>
      </w:pPr>
      <w:hyperlink r:id="rId232">
        <w:r>
          <w:rPr>
            <w:rStyle w:val="Hyperlink"/>
          </w:rPr>
          <w:t>https://arxiv.org/abs/1803.09010?utm_source=chatgpt.com</w:t>
        </w:r>
      </w:hyperlink>
    </w:p>
    <w:p w14:paraId="66A8BD88" w14:textId="77777777" w:rsidR="000A07C0" w:rsidRDefault="00000000">
      <w:pPr>
        <w:pStyle w:val="BodyText"/>
      </w:pPr>
      <w:hyperlink r:id="rId233">
        <w:r>
          <w:rPr>
            <w:rStyle w:val="Hyperlink"/>
          </w:rPr>
          <w:t>[57]</w:t>
        </w:r>
      </w:hyperlink>
      <w:r>
        <w:t xml:space="preserve"> </w:t>
      </w:r>
      <w:hyperlink r:id="rId234">
        <w:r>
          <w:rPr>
            <w:rStyle w:val="Hyperlink"/>
          </w:rPr>
          <w:t>[64]</w:t>
        </w:r>
      </w:hyperlink>
      <w:r>
        <w:t xml:space="preserve"> Copyright and Artificial Intelligence | U.S. Copyright Office</w:t>
      </w:r>
    </w:p>
    <w:p w14:paraId="727BFCD2" w14:textId="77777777" w:rsidR="000A07C0" w:rsidRDefault="00000000">
      <w:pPr>
        <w:pStyle w:val="BodyText"/>
      </w:pPr>
      <w:hyperlink r:id="rId235">
        <w:r>
          <w:rPr>
            <w:rStyle w:val="Hyperlink"/>
          </w:rPr>
          <w:t>https://www.copyright.gov/ai/?utm_source=chatgpt.com</w:t>
        </w:r>
      </w:hyperlink>
    </w:p>
    <w:p w14:paraId="199EEC24" w14:textId="77777777" w:rsidR="000A07C0" w:rsidRDefault="00000000">
      <w:pPr>
        <w:pStyle w:val="BodyText"/>
      </w:pPr>
      <w:hyperlink r:id="rId236">
        <w:r>
          <w:rPr>
            <w:rStyle w:val="Hyperlink"/>
          </w:rPr>
          <w:t>[58]</w:t>
        </w:r>
      </w:hyperlink>
      <w:r>
        <w:t xml:space="preserve"> Securing Machine Learning Algorithms - ENISA</w:t>
      </w:r>
    </w:p>
    <w:p w14:paraId="00D5F1A1" w14:textId="77777777" w:rsidR="000A07C0" w:rsidRDefault="00000000">
      <w:pPr>
        <w:pStyle w:val="BodyText"/>
      </w:pPr>
      <w:hyperlink r:id="rId237">
        <w:r>
          <w:rPr>
            <w:rStyle w:val="Hyperlink"/>
          </w:rPr>
          <w:t>https://www.enisa.europa.eu/publications/securing-machine-learning-algorithms?utm_source=chatgpt.com</w:t>
        </w:r>
      </w:hyperlink>
    </w:p>
    <w:p w14:paraId="2AA36B15" w14:textId="77777777" w:rsidR="000A07C0" w:rsidRDefault="00000000">
      <w:pPr>
        <w:pStyle w:val="BodyText"/>
      </w:pPr>
      <w:hyperlink r:id="rId238">
        <w:r>
          <w:rPr>
            <w:rStyle w:val="Hyperlink"/>
          </w:rPr>
          <w:t>[59]</w:t>
        </w:r>
      </w:hyperlink>
      <w:r>
        <w:t xml:space="preserve"> </w:t>
      </w:r>
      <w:hyperlink r:id="rId239">
        <w:r>
          <w:rPr>
            <w:rStyle w:val="Hyperlink"/>
          </w:rPr>
          <w:t>[81]</w:t>
        </w:r>
      </w:hyperlink>
      <w:r>
        <w:t xml:space="preserve"> FTC Announces Crackdown on Deceptive AI Claims and Schemes | Federal Trade Commission</w:t>
      </w:r>
    </w:p>
    <w:p w14:paraId="5A4FC3F1" w14:textId="77777777" w:rsidR="000A07C0" w:rsidRDefault="00000000">
      <w:pPr>
        <w:pStyle w:val="BodyText"/>
      </w:pPr>
      <w:hyperlink r:id="rId240">
        <w:r>
          <w:rPr>
            <w:rStyle w:val="Hyperlink"/>
          </w:rPr>
          <w:t>https://www.ftc.gov/news-events/news/press-releases/2024/09/ftc-announces-crackdown-deceptive-ai-claims-schemes</w:t>
        </w:r>
      </w:hyperlink>
    </w:p>
    <w:p w14:paraId="411CEC8C" w14:textId="77777777" w:rsidR="000A07C0" w:rsidRDefault="00000000">
      <w:pPr>
        <w:pStyle w:val="BodyText"/>
      </w:pPr>
      <w:hyperlink r:id="rId241">
        <w:r>
          <w:rPr>
            <w:rStyle w:val="Hyperlink"/>
          </w:rPr>
          <w:t>[60]</w:t>
        </w:r>
      </w:hyperlink>
      <w:r>
        <w:t xml:space="preserve"> </w:t>
      </w:r>
      <w:hyperlink r:id="rId242">
        <w:r>
          <w:rPr>
            <w:rStyle w:val="Hyperlink"/>
          </w:rPr>
          <w:t>[78]</w:t>
        </w:r>
      </w:hyperlink>
      <w:r>
        <w:t xml:space="preserve"> LLMRisks Archive - OWASP Gen AI Security Project</w:t>
      </w:r>
    </w:p>
    <w:p w14:paraId="0DAB9FEA" w14:textId="77777777" w:rsidR="000A07C0" w:rsidRDefault="00000000">
      <w:pPr>
        <w:pStyle w:val="BodyText"/>
      </w:pPr>
      <w:hyperlink r:id="rId243">
        <w:r>
          <w:rPr>
            <w:rStyle w:val="Hyperlink"/>
          </w:rPr>
          <w:t>https://genai.owasp.org/llm-top-10/?utm_source=chatgpt.com</w:t>
        </w:r>
      </w:hyperlink>
    </w:p>
    <w:p w14:paraId="0C227A73" w14:textId="77777777" w:rsidR="000A07C0" w:rsidRDefault="00000000">
      <w:pPr>
        <w:pStyle w:val="BodyText"/>
      </w:pPr>
      <w:hyperlink r:id="rId244">
        <w:r>
          <w:rPr>
            <w:rStyle w:val="Hyperlink"/>
          </w:rPr>
          <w:t>[69]</w:t>
        </w:r>
      </w:hyperlink>
      <w:r>
        <w:t xml:space="preserve"> A pro-innovation approach to AI regulation - GOV.UK</w:t>
      </w:r>
    </w:p>
    <w:p w14:paraId="21C04839" w14:textId="77777777" w:rsidR="000A07C0" w:rsidRDefault="00000000">
      <w:pPr>
        <w:pStyle w:val="BodyText"/>
      </w:pPr>
      <w:hyperlink r:id="rId245">
        <w:r>
          <w:rPr>
            <w:rStyle w:val="Hyperlink"/>
          </w:rPr>
          <w:t>https://www.gov.uk/government/publications/ai-regulation-a-pro-innovation-approach/white-paper</w:t>
        </w:r>
      </w:hyperlink>
    </w:p>
    <w:p w14:paraId="689F8041" w14:textId="77777777" w:rsidR="000A07C0" w:rsidRDefault="00000000">
      <w:pPr>
        <w:pStyle w:val="BodyText"/>
      </w:pPr>
      <w:hyperlink r:id="rId246">
        <w:r>
          <w:rPr>
            <w:rStyle w:val="Hyperlink"/>
          </w:rPr>
          <w:t>[83]</w:t>
        </w:r>
      </w:hyperlink>
      <w:r>
        <w:t xml:space="preserve"> </w:t>
      </w:r>
      <w:hyperlink r:id="rId247">
        <w:r>
          <w:rPr>
            <w:rStyle w:val="Hyperlink"/>
          </w:rPr>
          <w:t>[94]</w:t>
        </w:r>
      </w:hyperlink>
      <w:r>
        <w:t xml:space="preserve"> AI Opportunities Action Plan: One Year On - GOV.UK</w:t>
      </w:r>
    </w:p>
    <w:p w14:paraId="4A083DBE" w14:textId="77777777" w:rsidR="000A07C0" w:rsidRDefault="00000000">
      <w:pPr>
        <w:pStyle w:val="BodyText"/>
      </w:pPr>
      <w:hyperlink r:id="rId248">
        <w:r>
          <w:rPr>
            <w:rStyle w:val="Hyperlink"/>
          </w:rPr>
          <w:t>https://www.gov.uk/government/publications/ai-opportunities-action-plan-one-year-on/ai-opportunities-action-plan-one-year-on</w:t>
        </w:r>
      </w:hyperlink>
    </w:p>
    <w:p w14:paraId="39356CBA" w14:textId="77777777" w:rsidR="000A07C0" w:rsidRDefault="00000000">
      <w:pPr>
        <w:pStyle w:val="BodyText"/>
      </w:pPr>
      <w:hyperlink r:id="rId249">
        <w:r>
          <w:rPr>
            <w:rStyle w:val="Hyperlink"/>
          </w:rPr>
          <w:t>[85]</w:t>
        </w:r>
      </w:hyperlink>
      <w:r>
        <w:t xml:space="preserve"> iTutorGroup to Pay $365,000 to Settle EEOC Discriminatory Hiring Suit | U.S. Equal Employment Opportunity Commission</w:t>
      </w:r>
    </w:p>
    <w:p w14:paraId="5198F914" w14:textId="77777777" w:rsidR="000A07C0" w:rsidRDefault="00000000">
      <w:pPr>
        <w:pStyle w:val="BodyText"/>
      </w:pPr>
      <w:hyperlink r:id="rId250">
        <w:r>
          <w:rPr>
            <w:rStyle w:val="Hyperlink"/>
          </w:rPr>
          <w:t>https://www.eeoc.gov/newsroom/itutorgroup-pay-365000-settle-eeoc-discriminatory-hiring-suit</w:t>
        </w:r>
      </w:hyperlink>
    </w:p>
    <w:p w14:paraId="7498687A" w14:textId="77777777" w:rsidR="000A07C0" w:rsidRDefault="00000000">
      <w:pPr>
        <w:pStyle w:val="BodyText"/>
      </w:pPr>
      <w:hyperlink r:id="rId251">
        <w:r>
          <w:rPr>
            <w:rStyle w:val="Hyperlink"/>
          </w:rPr>
          <w:t>[87]</w:t>
        </w:r>
      </w:hyperlink>
      <w:r>
        <w:t xml:space="preserve"> Hot on CanLII | The CanLII Blog | Page 3</w:t>
      </w:r>
    </w:p>
    <w:p w14:paraId="15ED05F6" w14:textId="77777777" w:rsidR="000A07C0" w:rsidRDefault="00000000">
      <w:pPr>
        <w:pStyle w:val="BodyText"/>
      </w:pPr>
      <w:hyperlink r:id="rId252">
        <w:r>
          <w:rPr>
            <w:rStyle w:val="Hyperlink"/>
          </w:rPr>
          <w:t>https://blog.canlii.org/category/hot-on-canlii/page/3/</w:t>
        </w:r>
      </w:hyperlink>
    </w:p>
    <w:p w14:paraId="410A68BD" w14:textId="77777777" w:rsidR="000A07C0" w:rsidRDefault="00000000">
      <w:pPr>
        <w:pStyle w:val="BodyText"/>
      </w:pPr>
      <w:hyperlink r:id="rId253">
        <w:r>
          <w:rPr>
            <w:rStyle w:val="Hyperlink"/>
          </w:rPr>
          <w:t>[91]</w:t>
        </w:r>
      </w:hyperlink>
      <w:r>
        <w:t xml:space="preserve"> Amazon scraps secret AI recruiting tool that showed bias ...</w:t>
      </w:r>
    </w:p>
    <w:p w14:paraId="4760E13E" w14:textId="77777777" w:rsidR="000A07C0" w:rsidRDefault="00000000">
      <w:pPr>
        <w:pStyle w:val="BodyText"/>
      </w:pPr>
      <w:hyperlink r:id="rId254">
        <w:r>
          <w:rPr>
            <w:rStyle w:val="Hyperlink"/>
          </w:rPr>
          <w:t>https://www.reuters.com/article/us-amazon-com-jobs-automation-insight/amazon-scraps-secret-airecruiting-tool-that-showed-bias-against-women-idUSKCN1MK08G/?utm_source=chatgpt.com</w:t>
        </w:r>
      </w:hyperlink>
    </w:p>
    <w:p w14:paraId="6AADE568" w14:textId="77777777" w:rsidR="000A07C0" w:rsidRDefault="00000000">
      <w:pPr>
        <w:pStyle w:val="BodyText"/>
      </w:pPr>
      <w:hyperlink r:id="rId255">
        <w:r>
          <w:rPr>
            <w:rStyle w:val="Hyperlink"/>
          </w:rPr>
          <w:t>[96]</w:t>
        </w:r>
      </w:hyperlink>
      <w:r>
        <w:t xml:space="preserve"> The Future of Jobs Report 2025 | World Economic Forum</w:t>
      </w:r>
    </w:p>
    <w:p w14:paraId="2C46B77A" w14:textId="77777777" w:rsidR="000A07C0" w:rsidRDefault="00000000">
      <w:pPr>
        <w:pStyle w:val="BodyText"/>
      </w:pPr>
      <w:hyperlink r:id="rId256">
        <w:r>
          <w:rPr>
            <w:rStyle w:val="Hyperlink"/>
          </w:rPr>
          <w:t>https://www.weforum.org/publications/the-future-of-jobs-report-2025/</w:t>
        </w:r>
      </w:hyperlink>
    </w:p>
    <w:p w14:paraId="2FF97DFE" w14:textId="77777777" w:rsidR="000A07C0" w:rsidRDefault="00000000">
      <w:pPr>
        <w:pStyle w:val="BodyText"/>
      </w:pPr>
      <w:hyperlink r:id="rId257">
        <w:r>
          <w:rPr>
            <w:rStyle w:val="Hyperlink"/>
          </w:rPr>
          <w:t>[98]</w:t>
        </w:r>
      </w:hyperlink>
      <w:r>
        <w:t xml:space="preserve"> Careful Adoption of Agentic AI Services</w:t>
      </w:r>
    </w:p>
    <w:p w14:paraId="1163355E" w14:textId="77777777" w:rsidR="000A07C0" w:rsidRDefault="00000000">
      <w:pPr>
        <w:pStyle w:val="BodyText"/>
      </w:pPr>
      <w:hyperlink r:id="rId258">
        <w:r>
          <w:rPr>
            <w:rStyle w:val="Hyperlink"/>
          </w:rPr>
          <w:t>https://www.cisa.gov/resources-tools/resources/careful-adoption-agentic-ai-services?utm_source=chatgpt.com</w:t>
        </w:r>
      </w:hyperlink>
    </w:p>
    <w:p w14:paraId="2603248D" w14:textId="77777777" w:rsidR="000A07C0" w:rsidRDefault="00000000">
      <w:pPr>
        <w:pStyle w:val="BodyText"/>
      </w:pPr>
      <w:hyperlink r:id="rId259">
        <w:r>
          <w:rPr>
            <w:rStyle w:val="Hyperlink"/>
          </w:rPr>
          <w:t>[106]</w:t>
        </w:r>
      </w:hyperlink>
      <w:r>
        <w:t xml:space="preserve"> Generative AI and jobs: A 2025 update | International Labour Organization</w:t>
      </w:r>
    </w:p>
    <w:p w14:paraId="619E010C" w14:textId="77777777" w:rsidR="000A07C0" w:rsidRDefault="00000000">
      <w:pPr>
        <w:pStyle w:val="BodyText"/>
      </w:pPr>
      <w:hyperlink r:id="rId260">
        <w:r>
          <w:rPr>
            <w:rStyle w:val="Hyperlink"/>
          </w:rPr>
          <w:t>https://www.ilo.org/publications/generative-ai-and-jobs-2025-update</w:t>
        </w:r>
      </w:hyperlink>
      <w:bookmarkEnd w:id="19"/>
    </w:p>
    <w:sectPr w:rsidR="000A07C0" w:rsidSect="00233818">
      <w:footerReference w:type="default" r:id="rId261"/>
      <w:footnotePr>
        <w:numRestart w:val="eachSect"/>
      </w:footnotePr>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73679" w14:textId="77777777" w:rsidR="00BF53D3" w:rsidRDefault="00BF53D3" w:rsidP="00233818">
      <w:pPr>
        <w:spacing w:after="0"/>
      </w:pPr>
      <w:r>
        <w:separator/>
      </w:r>
    </w:p>
  </w:endnote>
  <w:endnote w:type="continuationSeparator" w:id="0">
    <w:p w14:paraId="16DF3A22" w14:textId="77777777" w:rsidR="00BF53D3" w:rsidRDefault="00BF53D3" w:rsidP="002338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429086"/>
      <w:docPartObj>
        <w:docPartGallery w:val="Page Numbers (Bottom of Page)"/>
        <w:docPartUnique/>
      </w:docPartObj>
    </w:sdtPr>
    <w:sdtEndPr>
      <w:rPr>
        <w:noProof/>
      </w:rPr>
    </w:sdtEndPr>
    <w:sdtContent>
      <w:p w14:paraId="5457D6EC" w14:textId="6B19D912" w:rsidR="00233818" w:rsidRDefault="002338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2BBA4C" w14:textId="77777777" w:rsidR="00233818" w:rsidRDefault="002338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1CDE1" w14:textId="77777777" w:rsidR="00BF53D3" w:rsidRDefault="00BF53D3" w:rsidP="00233818">
      <w:pPr>
        <w:spacing w:after="0"/>
      </w:pPr>
      <w:r>
        <w:separator/>
      </w:r>
    </w:p>
  </w:footnote>
  <w:footnote w:type="continuationSeparator" w:id="0">
    <w:p w14:paraId="1A45D25E" w14:textId="77777777" w:rsidR="00BF53D3" w:rsidRDefault="00BF53D3" w:rsidP="002338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924E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DE290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36028276">
    <w:abstractNumId w:val="0"/>
  </w:num>
  <w:num w:numId="2" w16cid:durableId="1880052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A07C0"/>
    <w:rsid w:val="000A07C0"/>
    <w:rsid w:val="00233818"/>
    <w:rsid w:val="00242D23"/>
    <w:rsid w:val="003457B1"/>
    <w:rsid w:val="00B43F28"/>
    <w:rsid w:val="00BF5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9ECC750"/>
  <w15:docId w15:val="{5EE4AF26-BE30-40DC-BF43-3072FBB27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3457B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233818"/>
    <w:pPr>
      <w:spacing w:after="0"/>
    </w:pPr>
    <w:rPr>
      <w:rFonts w:eastAsiaTheme="minorEastAsia"/>
      <w:sz w:val="22"/>
      <w:szCs w:val="22"/>
      <w:lang w:val="en-US"/>
    </w:rPr>
  </w:style>
  <w:style w:type="character" w:customStyle="1" w:styleId="NoSpacingChar">
    <w:name w:val="No Spacing Char"/>
    <w:basedOn w:val="DefaultParagraphFont"/>
    <w:link w:val="NoSpacing"/>
    <w:uiPriority w:val="1"/>
    <w:rsid w:val="00233818"/>
    <w:rPr>
      <w:rFonts w:eastAsiaTheme="minorEastAsia"/>
      <w:sz w:val="22"/>
      <w:szCs w:val="22"/>
      <w:lang w:val="en-US"/>
    </w:rPr>
  </w:style>
  <w:style w:type="paragraph" w:styleId="TOC1">
    <w:name w:val="toc 1"/>
    <w:basedOn w:val="Normal"/>
    <w:next w:val="Normal"/>
    <w:autoRedefine/>
    <w:uiPriority w:val="39"/>
    <w:rsid w:val="00233818"/>
    <w:pPr>
      <w:spacing w:after="100"/>
    </w:pPr>
  </w:style>
  <w:style w:type="paragraph" w:styleId="TOC2">
    <w:name w:val="toc 2"/>
    <w:basedOn w:val="Normal"/>
    <w:next w:val="Normal"/>
    <w:autoRedefine/>
    <w:uiPriority w:val="39"/>
    <w:rsid w:val="00233818"/>
    <w:pPr>
      <w:spacing w:after="100"/>
      <w:ind w:left="240"/>
    </w:pPr>
  </w:style>
  <w:style w:type="paragraph" w:styleId="Header">
    <w:name w:val="header"/>
    <w:basedOn w:val="Normal"/>
    <w:link w:val="HeaderChar"/>
    <w:rsid w:val="00233818"/>
    <w:pPr>
      <w:tabs>
        <w:tab w:val="center" w:pos="4680"/>
        <w:tab w:val="right" w:pos="9360"/>
      </w:tabs>
      <w:spacing w:after="0"/>
    </w:pPr>
  </w:style>
  <w:style w:type="character" w:customStyle="1" w:styleId="HeaderChar">
    <w:name w:val="Header Char"/>
    <w:basedOn w:val="DefaultParagraphFont"/>
    <w:link w:val="Header"/>
    <w:rsid w:val="00233818"/>
  </w:style>
  <w:style w:type="paragraph" w:styleId="Footer">
    <w:name w:val="footer"/>
    <w:basedOn w:val="Normal"/>
    <w:link w:val="FooterChar"/>
    <w:uiPriority w:val="99"/>
    <w:rsid w:val="00233818"/>
    <w:pPr>
      <w:tabs>
        <w:tab w:val="center" w:pos="4680"/>
        <w:tab w:val="right" w:pos="9360"/>
      </w:tabs>
      <w:spacing w:after="0"/>
    </w:pPr>
  </w:style>
  <w:style w:type="character" w:customStyle="1" w:styleId="FooterChar">
    <w:name w:val="Footer Char"/>
    <w:basedOn w:val="DefaultParagraphFont"/>
    <w:link w:val="Footer"/>
    <w:uiPriority w:val="99"/>
    <w:rsid w:val="002338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irc.nist.gov/airmf-resources/playbook/measure/?utm_source=chatgpt.com" TargetMode="External"/><Relationship Id="rId21" Type="http://schemas.openxmlformats.org/officeDocument/2006/relationships/hyperlink" Target="https://airc.nist.gov/airmf-resources/airmf/5-sec-core/?utm_source=chatgpt.com" TargetMode="External"/><Relationship Id="rId63" Type="http://schemas.openxmlformats.org/officeDocument/2006/relationships/hyperlink" Target="https://nvlpubs.nist.gov/nistpubs/ai/NIST.AI.600-1.pdf?utm_source=chatgpt.com" TargetMode="External"/><Relationship Id="rId159" Type="http://schemas.openxmlformats.org/officeDocument/2006/relationships/hyperlink" Target="https://digital-strategy.ec.europa.eu/en/policies/regulatory-framework-ai" TargetMode="External"/><Relationship Id="rId170" Type="http://schemas.openxmlformats.org/officeDocument/2006/relationships/hyperlink" Target="https://airc.nist.gov/airmf-resources/playbook/govern/?utm_source=chatgpt.com" TargetMode="External"/><Relationship Id="rId191" Type="http://schemas.openxmlformats.org/officeDocument/2006/relationships/hyperlink" Target="https://ico.org.uk/for-organisations/uk-gdpr-guidance-and-resources/artificial-intelligence/guidance-on-ai-and-data-protection/ai-and-data-protection-risk-toolkit/" TargetMode="External"/><Relationship Id="rId205" Type="http://schemas.openxmlformats.org/officeDocument/2006/relationships/hyperlink" Target="https://openai.com/index/march-20-chatgpt-outage/" TargetMode="External"/><Relationship Id="rId226" Type="http://schemas.openxmlformats.org/officeDocument/2006/relationships/hyperlink" Target="https://airc.nist.gov/airmf-resources/airmf/0-ai-rmf-1-0/?utm_source=chatgpt.com" TargetMode="External"/><Relationship Id="rId247" Type="http://schemas.openxmlformats.org/officeDocument/2006/relationships/hyperlink" Target="https://www.gov.uk/government/publications/ai-opportunities-action-plan-one-year-on/ai-opportunities-action-plan-one-year-on" TargetMode="External"/><Relationship Id="rId107" Type="http://schemas.openxmlformats.org/officeDocument/2006/relationships/hyperlink" Target="https://www.oecd.org/en/topics/ai-principles.html" TargetMode="External"/><Relationship Id="rId11" Type="http://schemas.openxmlformats.org/officeDocument/2006/relationships/hyperlink" Target="https://www.iso.org/standard/42001" TargetMode="External"/><Relationship Id="rId32" Type="http://schemas.openxmlformats.org/officeDocument/2006/relationships/hyperlink" Target="https://openai.com/index/march-20-chatgpt-outage/" TargetMode="External"/><Relationship Id="rId53" Type="http://schemas.openxmlformats.org/officeDocument/2006/relationships/hyperlink" Target="https://www.whitehouse.gov/wp-content/uploads/2025/02/M-25-21-Accelerating-Federal-Use-of-AI-through-Innovation-Governance-and-Public-Trust.pdf" TargetMode="External"/><Relationship Id="rId74" Type="http://schemas.openxmlformats.org/officeDocument/2006/relationships/hyperlink" Target="https://digital-strategy.ec.europa.eu/en/policies/regulatory-framework-ai" TargetMode="External"/><Relationship Id="rId128" Type="http://schemas.openxmlformats.org/officeDocument/2006/relationships/hyperlink" Target="https://www.nist.gov/publications/artificial-intelligence-risk-management-framework-generative-artificial-intelligence" TargetMode="External"/><Relationship Id="rId149" Type="http://schemas.openxmlformats.org/officeDocument/2006/relationships/hyperlink" Target="https://www.iso.org/standard/42001" TargetMode="External"/><Relationship Id="rId5" Type="http://schemas.openxmlformats.org/officeDocument/2006/relationships/webSettings" Target="webSettings.xml"/><Relationship Id="rId95" Type="http://schemas.openxmlformats.org/officeDocument/2006/relationships/hyperlink" Target="https://www.ftc.gov/news-events/news/press-releases/2024/09/ftc-announces-crackdown-deceptive-ai-claims-schemes" TargetMode="External"/><Relationship Id="rId160" Type="http://schemas.openxmlformats.org/officeDocument/2006/relationships/hyperlink" Target="https://digital-strategy.ec.europa.eu/en/policies/regulatory-framework-ai" TargetMode="External"/><Relationship Id="rId181" Type="http://schemas.openxmlformats.org/officeDocument/2006/relationships/hyperlink" Target="https://www.whitehouse.gov/wp-content/uploads/2025/02/M-25-21-Accelerating-Federal-Use-of-AI-through-Innovation-Governance-and-Public-Trust.pdf" TargetMode="External"/><Relationship Id="rId216" Type="http://schemas.openxmlformats.org/officeDocument/2006/relationships/hyperlink" Target="https://airc.nist.gov/airmf-resources/playbook/measure/?utm_source=chatgpt.com" TargetMode="External"/><Relationship Id="rId237" Type="http://schemas.openxmlformats.org/officeDocument/2006/relationships/hyperlink" Target="https://www.enisa.europa.eu/publications/securing-machine-learning-algorithms?utm_source=chatgpt.com" TargetMode="External"/><Relationship Id="rId258" Type="http://schemas.openxmlformats.org/officeDocument/2006/relationships/hyperlink" Target="https://www.cisa.gov/resources-tools/resources/careful-adoption-agentic-ai-services?utm_source=chatgpt.com" TargetMode="External"/><Relationship Id="rId22" Type="http://schemas.openxmlformats.org/officeDocument/2006/relationships/hyperlink" Target="https://airc.nist.gov/airmf-resources/playbook/govern/?utm_source=chatgpt.com" TargetMode="External"/><Relationship Id="rId43" Type="http://schemas.openxmlformats.org/officeDocument/2006/relationships/hyperlink" Target="https://airc.nist.gov/airmf-resources/playbook/measure/?utm_source=chatgpt.com" TargetMode="External"/><Relationship Id="rId64" Type="http://schemas.openxmlformats.org/officeDocument/2006/relationships/hyperlink" Target="https://www.ftc.gov/system/files/ftc_gov/pdf/EEOC-CRT-FTC-CFPB-AI-Joint-Statement%28final%29.pdf" TargetMode="External"/><Relationship Id="rId118" Type="http://schemas.openxmlformats.org/officeDocument/2006/relationships/hyperlink" Target="https://digital-strategy.ec.europa.eu/en/faqs/ai-literacy-questions-answers?utm_source=chatgpt.com" TargetMode="External"/><Relationship Id="rId139" Type="http://schemas.openxmlformats.org/officeDocument/2006/relationships/hyperlink" Target="https://www.iso.org/standard/42001" TargetMode="External"/><Relationship Id="rId85" Type="http://schemas.openxmlformats.org/officeDocument/2006/relationships/hyperlink" Target="https://www.oecd.org/en/topics/ai-principles.html" TargetMode="External"/><Relationship Id="rId150" Type="http://schemas.openxmlformats.org/officeDocument/2006/relationships/hyperlink" Target="https://www.iso.org/standard/42001" TargetMode="External"/><Relationship Id="rId171" Type="http://schemas.openxmlformats.org/officeDocument/2006/relationships/hyperlink" Target="https://airc.nist.gov/airmf-resources/playbook/govern/?utm_source=chatgpt.com" TargetMode="External"/><Relationship Id="rId192" Type="http://schemas.openxmlformats.org/officeDocument/2006/relationships/hyperlink" Target="https://research.google/pubs/model-cards-for-model-reporting/?utm_source=chatgpt.com" TargetMode="External"/><Relationship Id="rId206" Type="http://schemas.openxmlformats.org/officeDocument/2006/relationships/hyperlink" Target="https://openai.com/index/march-20-chatgpt-outage/" TargetMode="External"/><Relationship Id="rId227" Type="http://schemas.openxmlformats.org/officeDocument/2006/relationships/hyperlink" Target="https://airc.nist.gov/airmf-resources/airmf/0-ai-rmf-1-0/?utm_source=chatgpt.com" TargetMode="External"/><Relationship Id="rId248" Type="http://schemas.openxmlformats.org/officeDocument/2006/relationships/hyperlink" Target="https://www.gov.uk/government/publications/ai-opportunities-action-plan-one-year-on/ai-opportunities-action-plan-one-year-on" TargetMode="External"/><Relationship Id="rId12" Type="http://schemas.openxmlformats.org/officeDocument/2006/relationships/hyperlink" Target="https://www.ftc.gov/system/files/ftc_gov/pdf/EEOC-CRT-FTC-CFPB-AI-Joint-Statement%28final%29.pdf" TargetMode="External"/><Relationship Id="rId33" Type="http://schemas.openxmlformats.org/officeDocument/2006/relationships/hyperlink" Target="https://digital-strategy.ec.europa.eu/en/faqs/ai-literacy-questions-answers?utm_source=chatgpt.com" TargetMode="External"/><Relationship Id="rId108" Type="http://schemas.openxmlformats.org/officeDocument/2006/relationships/hyperlink" Target="https://www.gov.uk/government/publications/ai-opportunities-action-plan-one-year-on/ai-opportunities-action-plan-one-year-on" TargetMode="External"/><Relationship Id="rId129" Type="http://schemas.openxmlformats.org/officeDocument/2006/relationships/hyperlink" Target="https://www.nist.gov/publications/artificial-intelligence-risk-management-framework-generative-artificial-intelligence" TargetMode="External"/><Relationship Id="rId54" Type="http://schemas.openxmlformats.org/officeDocument/2006/relationships/hyperlink" Target="https://www.coe.int/en/web/artificial-intelligence/the-framework-convention-on-artificial-intelligence" TargetMode="External"/><Relationship Id="rId75" Type="http://schemas.openxmlformats.org/officeDocument/2006/relationships/hyperlink" Target="https://digital-strategy.ec.europa.eu/en/policies/regulatory-framework-ai" TargetMode="External"/><Relationship Id="rId96" Type="http://schemas.openxmlformats.org/officeDocument/2006/relationships/hyperlink" Target="https://airc.nist.gov/airmf-resources/playbook/measure/?utm_source=chatgpt.com" TargetMode="External"/><Relationship Id="rId140" Type="http://schemas.openxmlformats.org/officeDocument/2006/relationships/hyperlink" Target="https://www.iso.org/standard/42001" TargetMode="External"/><Relationship Id="rId161" Type="http://schemas.openxmlformats.org/officeDocument/2006/relationships/hyperlink" Target="https://www.iso.org/standard/77304.html" TargetMode="External"/><Relationship Id="rId182" Type="http://schemas.openxmlformats.org/officeDocument/2006/relationships/hyperlink" Target="https://www.whitehouse.gov/wp-content/uploads/2025/02/M-25-21-Accelerating-Federal-Use-of-AI-through-Innovation-Governance-and-Public-Trust.pdf" TargetMode="External"/><Relationship Id="rId217" Type="http://schemas.openxmlformats.org/officeDocument/2006/relationships/hyperlink" Target="https://airc.nist.gov/airmf-resources/playbook/measure/?utm_source=chatgpt.com" TargetMode="External"/><Relationship Id="rId6" Type="http://schemas.openxmlformats.org/officeDocument/2006/relationships/footnotes" Target="footnotes.xml"/><Relationship Id="rId238" Type="http://schemas.openxmlformats.org/officeDocument/2006/relationships/hyperlink" Target="https://www.ftc.gov/news-events/news/press-releases/2024/09/ftc-announces-crackdown-deceptive-ai-claims-schemes" TargetMode="External"/><Relationship Id="rId259" Type="http://schemas.openxmlformats.org/officeDocument/2006/relationships/hyperlink" Target="https://www.ilo.org/publications/generative-ai-and-jobs-2025-update" TargetMode="External"/><Relationship Id="rId23" Type="http://schemas.openxmlformats.org/officeDocument/2006/relationships/hyperlink" Target="https://airc.nist.gov/airmf-resources/playbook/govern/?utm_source=chatgpt.com" TargetMode="External"/><Relationship Id="rId119" Type="http://schemas.openxmlformats.org/officeDocument/2006/relationships/hyperlink" Target="https://digital-strategy.ec.europa.eu/en/faqs/ai-literacy-questions-answers?utm_source=chatgpt.com" TargetMode="External"/><Relationship Id="rId44" Type="http://schemas.openxmlformats.org/officeDocument/2006/relationships/hyperlink" Target="https://ico.org.uk/for-organisations/uk-gdpr-guidance-and-resources/artificial-intelligence/guidance-on-ai-and-data-protection/ai-and-data-protection-risk-toolkit/" TargetMode="External"/><Relationship Id="rId65" Type="http://schemas.openxmlformats.org/officeDocument/2006/relationships/hyperlink" Target="https://ico.org.uk/for-organisations/uk-gdpr-guidance-and-resources/artificial-intelligence/guidance-on-ai-and-data-protection/ai-and-data-protection-risk-toolkit/" TargetMode="External"/><Relationship Id="rId86" Type="http://schemas.openxmlformats.org/officeDocument/2006/relationships/hyperlink" Target="https://www.iso.org/standard/42001" TargetMode="External"/><Relationship Id="rId130" Type="http://schemas.openxmlformats.org/officeDocument/2006/relationships/hyperlink" Target="https://nvlpubs.nist.gov/nistpubs/ai/NIST.AI.600-1.pdf?utm_source=chatgpt.com" TargetMode="External"/><Relationship Id="rId151" Type="http://schemas.openxmlformats.org/officeDocument/2006/relationships/hyperlink" Target="https://www.ftc.gov/system/files/ftc_gov/pdf/EEOC-CRT-FTC-CFPB-AI-Joint-Statement%28final%29.pdf" TargetMode="External"/><Relationship Id="rId172" Type="http://schemas.openxmlformats.org/officeDocument/2006/relationships/hyperlink" Target="https://airc.nist.gov/airmf-resources/playbook/govern/?utm_source=chatgpt.com" TargetMode="External"/><Relationship Id="rId193" Type="http://schemas.openxmlformats.org/officeDocument/2006/relationships/hyperlink" Target="https://research.google/pubs/model-cards-for-model-reporting/?utm_source=chatgpt.com" TargetMode="External"/><Relationship Id="rId207" Type="http://schemas.openxmlformats.org/officeDocument/2006/relationships/hyperlink" Target="https://openai.com/index/march-20-chatgpt-outage/" TargetMode="External"/><Relationship Id="rId228" Type="http://schemas.openxmlformats.org/officeDocument/2006/relationships/hyperlink" Target="https://airc.nist.gov/airmf-resources/airmf/0-ai-rmf-1-0/?utm_source=chatgpt.com" TargetMode="External"/><Relationship Id="rId249" Type="http://schemas.openxmlformats.org/officeDocument/2006/relationships/hyperlink" Target="https://www.eeoc.gov/newsroom/itutorgroup-pay-365000-settle-eeoc-discriminatory-hiring-suit" TargetMode="External"/><Relationship Id="rId13" Type="http://schemas.openxmlformats.org/officeDocument/2006/relationships/hyperlink" Target="https://airc.nist.gov/airmf-resources/airmf/5-sec-core/?utm_source=chatgpt.com" TargetMode="External"/><Relationship Id="rId109" Type="http://schemas.openxmlformats.org/officeDocument/2006/relationships/hyperlink" Target="https://airc.nist.gov/airmf-resources/playbook/measure/?utm_source=chatgpt.com" TargetMode="External"/><Relationship Id="rId260" Type="http://schemas.openxmlformats.org/officeDocument/2006/relationships/hyperlink" Target="https://www.ilo.org/publications/generative-ai-and-jobs-2025-update" TargetMode="External"/><Relationship Id="rId34" Type="http://schemas.openxmlformats.org/officeDocument/2006/relationships/hyperlink" Target="https://airc.nist.gov/airmf-resources/playbook/measure/?utm_source=chatgpt.com" TargetMode="External"/><Relationship Id="rId55" Type="http://schemas.openxmlformats.org/officeDocument/2006/relationships/hyperlink" Target="https://airc.nist.gov/airmf-resources/playbook/govern/?utm_source=chatgpt.com" TargetMode="External"/><Relationship Id="rId76" Type="http://schemas.openxmlformats.org/officeDocument/2006/relationships/hyperlink" Target="https://www.copyright.gov/ai/?utm_source=chatgpt.com" TargetMode="External"/><Relationship Id="rId97" Type="http://schemas.openxmlformats.org/officeDocument/2006/relationships/hyperlink" Target="https://www.gov.uk/government/publications/ai-opportunities-action-plan-one-year-on/ai-opportunities-action-plan-one-year-on" TargetMode="External"/><Relationship Id="rId120" Type="http://schemas.openxmlformats.org/officeDocument/2006/relationships/hyperlink" Target="https://airc.nist.gov/airmf-resources/playbook/measure/?utm_source=chatgpt.com" TargetMode="External"/><Relationship Id="rId141" Type="http://schemas.openxmlformats.org/officeDocument/2006/relationships/hyperlink" Target="https://www.iso.org/standard/42001" TargetMode="External"/><Relationship Id="rId7" Type="http://schemas.openxmlformats.org/officeDocument/2006/relationships/endnotes" Target="endnotes.xml"/><Relationship Id="rId162" Type="http://schemas.openxmlformats.org/officeDocument/2006/relationships/hyperlink" Target="https://www.iso.org/standard/77304.html" TargetMode="External"/><Relationship Id="rId183" Type="http://schemas.openxmlformats.org/officeDocument/2006/relationships/hyperlink" Target="https://www.whitehouse.gov/wp-content/uploads/2025/02/M-25-21-Accelerating-Federal-Use-of-AI-through-Innovation-Governance-and-Public-Trust.pdf" TargetMode="External"/><Relationship Id="rId218" Type="http://schemas.openxmlformats.org/officeDocument/2006/relationships/hyperlink" Target="https://airc.nist.gov/airmf-resources/playbook/measure/?utm_source=chatgpt.com" TargetMode="External"/><Relationship Id="rId239" Type="http://schemas.openxmlformats.org/officeDocument/2006/relationships/hyperlink" Target="https://www.ftc.gov/news-events/news/press-releases/2024/09/ftc-announces-crackdown-deceptive-ai-claims-schemes" TargetMode="External"/><Relationship Id="rId250" Type="http://schemas.openxmlformats.org/officeDocument/2006/relationships/hyperlink" Target="https://www.eeoc.gov/newsroom/itutorgroup-pay-365000-settle-eeoc-discriminatory-hiring-suit" TargetMode="External"/><Relationship Id="rId24" Type="http://schemas.openxmlformats.org/officeDocument/2006/relationships/hyperlink" Target="https://airc.nist.gov/airmf-resources/playbook/govern/?utm_source=chatgpt.com" TargetMode="External"/><Relationship Id="rId45" Type="http://schemas.openxmlformats.org/officeDocument/2006/relationships/hyperlink" Target="https://genai.owasp.org/resource/owasp-top-10-for-llm-applications-2025/" TargetMode="External"/><Relationship Id="rId66" Type="http://schemas.openxmlformats.org/officeDocument/2006/relationships/hyperlink" Target="https://genai.owasp.org/resource/owasp-top-10-for-llm-applications-2025/" TargetMode="External"/><Relationship Id="rId87" Type="http://schemas.openxmlformats.org/officeDocument/2006/relationships/hyperlink" Target="https://nvlpubs.nist.gov/nistpubs/ai/NIST.AI.600-1.pdf?utm_source=chatgpt.com" TargetMode="External"/><Relationship Id="rId110" Type="http://schemas.openxmlformats.org/officeDocument/2006/relationships/hyperlink" Target="https://www.weforum.org/publications/the-future-of-jobs-report-2025/" TargetMode="External"/><Relationship Id="rId131" Type="http://schemas.openxmlformats.org/officeDocument/2006/relationships/hyperlink" Target="https://nvlpubs.nist.gov/nistpubs/ai/NIST.AI.600-1.pdf?utm_source=chatgpt.com" TargetMode="External"/><Relationship Id="rId152" Type="http://schemas.openxmlformats.org/officeDocument/2006/relationships/hyperlink" Target="https://www.ftc.gov/system/files/ftc_gov/pdf/EEOC-CRT-FTC-CFPB-AI-Joint-Statement%28final%29.pdf" TargetMode="External"/><Relationship Id="rId173" Type="http://schemas.openxmlformats.org/officeDocument/2006/relationships/hyperlink" Target="https://airc.nist.gov/airmf-resources/playbook/govern/?utm_source=chatgpt.com" TargetMode="External"/><Relationship Id="rId194" Type="http://schemas.openxmlformats.org/officeDocument/2006/relationships/hyperlink" Target="https://research.google/pubs/model-cards-for-model-reporting/?utm_source=chatgpt.com" TargetMode="External"/><Relationship Id="rId208" Type="http://schemas.openxmlformats.org/officeDocument/2006/relationships/hyperlink" Target="https://openai.com/index/march-20-chatgpt-outage/" TargetMode="External"/><Relationship Id="rId229" Type="http://schemas.openxmlformats.org/officeDocument/2006/relationships/hyperlink" Target="https://www.coe.int/en/web/artificial-intelligence/the-framework-convention-on-artificial-intelligence" TargetMode="External"/><Relationship Id="rId240" Type="http://schemas.openxmlformats.org/officeDocument/2006/relationships/hyperlink" Target="https://www.ftc.gov/news-events/news/press-releases/2024/09/ftc-announces-crackdown-deceptive-ai-claims-schemes" TargetMode="External"/><Relationship Id="rId261" Type="http://schemas.openxmlformats.org/officeDocument/2006/relationships/footer" Target="footer1.xml"/><Relationship Id="rId14" Type="http://schemas.openxmlformats.org/officeDocument/2006/relationships/hyperlink" Target="https://www.nist.gov/publications/artificial-intelligence-risk-management-framework-generative-artificial-intelligence" TargetMode="External"/><Relationship Id="rId35" Type="http://schemas.openxmlformats.org/officeDocument/2006/relationships/hyperlink" Target="https://airc.nist.gov/airmf-resources/playbook/govern/?utm_source=chatgpt.com" TargetMode="External"/><Relationship Id="rId56" Type="http://schemas.openxmlformats.org/officeDocument/2006/relationships/hyperlink" Target="https://www.whitehouse.gov/wp-content/uploads/2025/02/M-25-22-Driving-Efficient-Acquisition-of-Artificial-Intelligence-in-Government.pdf?utm_source=chatgpt.com" TargetMode="External"/><Relationship Id="rId77" Type="http://schemas.openxmlformats.org/officeDocument/2006/relationships/hyperlink" Target="https://airc.nist.gov/airmf-resources/playbook/govern/?utm_source=chatgpt.com" TargetMode="External"/><Relationship Id="rId100" Type="http://schemas.openxmlformats.org/officeDocument/2006/relationships/hyperlink" Target="https://blog.canlii.org/category/hot-on-canlii/page/3/" TargetMode="External"/><Relationship Id="rId8" Type="http://schemas.openxmlformats.org/officeDocument/2006/relationships/hyperlink" Target="https://airc.nist.gov/airmf-resources/airmf/5-sec-core/?utm_source=chatgpt.com" TargetMode="External"/><Relationship Id="rId98" Type="http://schemas.openxmlformats.org/officeDocument/2006/relationships/hyperlink" Target="https://www.eeoc.gov/newsroom/itutorgroup-pay-365000-settle-eeoc-discriminatory-hiring-suit" TargetMode="External"/><Relationship Id="rId121" Type="http://schemas.openxmlformats.org/officeDocument/2006/relationships/hyperlink" Target="https://www.ilo.org/publications/generative-ai-and-jobs-2025-update" TargetMode="External"/><Relationship Id="rId142" Type="http://schemas.openxmlformats.org/officeDocument/2006/relationships/hyperlink" Target="https://www.iso.org/standard/42001" TargetMode="External"/><Relationship Id="rId163" Type="http://schemas.openxmlformats.org/officeDocument/2006/relationships/hyperlink" Target="https://www.oecd.org/en/topics/ai-principles.html" TargetMode="External"/><Relationship Id="rId184" Type="http://schemas.openxmlformats.org/officeDocument/2006/relationships/hyperlink" Target="https://www.whitehouse.gov/wp-content/uploads/2025/02/M-25-21-Accelerating-Federal-Use-of-AI-through-Innovation-Governance-and-Public-Trust.pdf" TargetMode="External"/><Relationship Id="rId219" Type="http://schemas.openxmlformats.org/officeDocument/2006/relationships/hyperlink" Target="https://airc.nist.gov/airmf-resources/playbook/measure/?utm_source=chatgpt.com" TargetMode="External"/><Relationship Id="rId230" Type="http://schemas.openxmlformats.org/officeDocument/2006/relationships/hyperlink" Target="https://www.coe.int/en/web/artificial-intelligence/the-framework-convention-on-artificial-intelligence" TargetMode="External"/><Relationship Id="rId251" Type="http://schemas.openxmlformats.org/officeDocument/2006/relationships/hyperlink" Target="https://blog.canlii.org/category/hot-on-canlii/page/3/" TargetMode="External"/><Relationship Id="rId25" Type="http://schemas.openxmlformats.org/officeDocument/2006/relationships/hyperlink" Target="https://www.whitehouse.gov/wp-content/uploads/2025/02/M-25-21-Accelerating-Federal-Use-of-AI-through-Innovation-Governance-and-Public-Trust.pdf" TargetMode="External"/><Relationship Id="rId46" Type="http://schemas.openxmlformats.org/officeDocument/2006/relationships/hyperlink" Target="https://www.whitehouse.gov/wp-content/uploads/2025/02/M-25-22-Driving-Efficient-Acquisition-of-Artificial-Intelligence-in-Government.pdf?utm_source=chatgpt.com" TargetMode="External"/><Relationship Id="rId67" Type="http://schemas.openxmlformats.org/officeDocument/2006/relationships/hyperlink" Target="https://nvlpubs.nist.gov/nistpubs/ai/NIST.AI.600-1.pdf?utm_source=chatgpt.com" TargetMode="External"/><Relationship Id="rId88" Type="http://schemas.openxmlformats.org/officeDocument/2006/relationships/hyperlink" Target="https://nvlpubs.nist.gov/nistpubs/ai/NIST.AI.600-1.pdf?utm_source=chatgpt.com" TargetMode="External"/><Relationship Id="rId111" Type="http://schemas.openxmlformats.org/officeDocument/2006/relationships/hyperlink" Target="https://www.oecd.org/en/topics/ai-principles.html" TargetMode="External"/><Relationship Id="rId132" Type="http://schemas.openxmlformats.org/officeDocument/2006/relationships/hyperlink" Target="https://nvlpubs.nist.gov/nistpubs/ai/NIST.AI.600-1.pdf?utm_source=chatgpt.com" TargetMode="External"/><Relationship Id="rId153" Type="http://schemas.openxmlformats.org/officeDocument/2006/relationships/hyperlink" Target="https://www.ftc.gov/system/files/ftc_gov/pdf/EEOC-CRT-FTC-CFPB-AI-Joint-Statement%28final%29.pdf" TargetMode="External"/><Relationship Id="rId174" Type="http://schemas.openxmlformats.org/officeDocument/2006/relationships/hyperlink" Target="https://airc.nist.gov/airmf-resources/playbook/govern/?utm_source=chatgpt.com" TargetMode="External"/><Relationship Id="rId195" Type="http://schemas.openxmlformats.org/officeDocument/2006/relationships/hyperlink" Target="https://www.whitehouse.gov/wp-content/uploads/2025/02/M-25-22-Driving-Efficient-Acquisition-of-Artificial-Intelligence-in-Government.pdf?utm_source=chatgpt.com" TargetMode="External"/><Relationship Id="rId209" Type="http://schemas.openxmlformats.org/officeDocument/2006/relationships/hyperlink" Target="https://digital-strategy.ec.europa.eu/en/faqs/ai-literacy-questions-answers?utm_source=chatgpt.com" TargetMode="External"/><Relationship Id="rId220" Type="http://schemas.openxmlformats.org/officeDocument/2006/relationships/hyperlink" Target="https://airc.nist.gov/airmf-resources/playbook/measure/?utm_source=chatgpt.com" TargetMode="External"/><Relationship Id="rId241" Type="http://schemas.openxmlformats.org/officeDocument/2006/relationships/hyperlink" Target="https://genai.owasp.org/llm-top-10/?utm_source=chatgpt.com" TargetMode="External"/><Relationship Id="rId15" Type="http://schemas.openxmlformats.org/officeDocument/2006/relationships/hyperlink" Target="https://www.iso.org/standard/42001" TargetMode="External"/><Relationship Id="rId36" Type="http://schemas.openxmlformats.org/officeDocument/2006/relationships/image" Target="media/image1.png"/><Relationship Id="rId57" Type="http://schemas.openxmlformats.org/officeDocument/2006/relationships/hyperlink" Target="https://arxiv.org/abs/1803.09010?utm_source=chatgpt.com" TargetMode="External"/><Relationship Id="rId262" Type="http://schemas.openxmlformats.org/officeDocument/2006/relationships/fontTable" Target="fontTable.xml"/><Relationship Id="rId78" Type="http://schemas.openxmlformats.org/officeDocument/2006/relationships/hyperlink" Target="https://www.ftc.gov/system/files/ftc_gov/pdf/EEOC-CRT-FTC-CFPB-AI-Joint-Statement%28final%29.pdf" TargetMode="External"/><Relationship Id="rId99" Type="http://schemas.openxmlformats.org/officeDocument/2006/relationships/hyperlink" Target="https://www.whitehouse.gov/wp-content/uploads/2025/02/M-25-22-Driving-Efficient-Acquisition-of-Artificial-Intelligence-in-Government.pdf?utm_source=chatgpt.com" TargetMode="External"/><Relationship Id="rId101" Type="http://schemas.openxmlformats.org/officeDocument/2006/relationships/hyperlink" Target="https://airc.nist.gov/airmf-resources/airmf/5-sec-core/?utm_source=chatgpt.com" TargetMode="External"/><Relationship Id="rId122" Type="http://schemas.openxmlformats.org/officeDocument/2006/relationships/hyperlink" Target="https://airc.nist.gov/airmf-resources/airmf/5-sec-core/?utm_source=chatgpt.com" TargetMode="External"/><Relationship Id="rId143" Type="http://schemas.openxmlformats.org/officeDocument/2006/relationships/hyperlink" Target="https://www.iso.org/standard/42001" TargetMode="External"/><Relationship Id="rId164" Type="http://schemas.openxmlformats.org/officeDocument/2006/relationships/hyperlink" Target="https://www.oecd.org/en/topics/ai-principles.html" TargetMode="External"/><Relationship Id="rId185" Type="http://schemas.openxmlformats.org/officeDocument/2006/relationships/hyperlink" Target="https://www.whitehouse.gov/wp-content/uploads/2025/02/M-25-21-Accelerating-Federal-Use-of-AI-through-Innovation-Governance-and-Public-Trust.pdf" TargetMode="External"/><Relationship Id="rId9" Type="http://schemas.openxmlformats.org/officeDocument/2006/relationships/hyperlink" Target="https://www.nist.gov/publications/artificial-intelligence-risk-management-framework-generative-artificial-intelligence" TargetMode="External"/><Relationship Id="rId210" Type="http://schemas.openxmlformats.org/officeDocument/2006/relationships/hyperlink" Target="https://digital-strategy.ec.europa.eu/en/faqs/ai-literacy-questions-answers?utm_source=chatgpt.com" TargetMode="External"/><Relationship Id="rId26" Type="http://schemas.openxmlformats.org/officeDocument/2006/relationships/hyperlink" Target="https://ico.org.uk/for-organisations/uk-gdpr-guidance-and-resources/artificial-intelligence/guidance-on-ai-and-data-protection/ai-and-data-protection-risk-toolkit/" TargetMode="External"/><Relationship Id="rId231" Type="http://schemas.openxmlformats.org/officeDocument/2006/relationships/hyperlink" Target="https://arxiv.org/abs/1803.09010?utm_source=chatgpt.com" TargetMode="External"/><Relationship Id="rId252" Type="http://schemas.openxmlformats.org/officeDocument/2006/relationships/hyperlink" Target="https://blog.canlii.org/category/hot-on-canlii/page/3/" TargetMode="External"/><Relationship Id="rId47" Type="http://schemas.openxmlformats.org/officeDocument/2006/relationships/hyperlink" Target="https://www.iso.org/standard/42001" TargetMode="External"/><Relationship Id="rId68" Type="http://schemas.openxmlformats.org/officeDocument/2006/relationships/hyperlink" Target="https://www.copyright.gov/ai/?utm_source=chatgpt.com" TargetMode="External"/><Relationship Id="rId89" Type="http://schemas.openxmlformats.org/officeDocument/2006/relationships/hyperlink" Target="https://openai.com/index/march-20-chatgpt-outage/" TargetMode="External"/><Relationship Id="rId112" Type="http://schemas.openxmlformats.org/officeDocument/2006/relationships/hyperlink" Target="https://www.cisa.gov/resources-tools/resources/careful-adoption-agentic-ai-services?utm_source=chatgpt.com" TargetMode="External"/><Relationship Id="rId133" Type="http://schemas.openxmlformats.org/officeDocument/2006/relationships/hyperlink" Target="https://nvlpubs.nist.gov/nistpubs/ai/NIST.AI.600-1.pdf?utm_source=chatgpt.com" TargetMode="External"/><Relationship Id="rId154" Type="http://schemas.openxmlformats.org/officeDocument/2006/relationships/hyperlink" Target="https://www.ftc.gov/system/files/ftc_gov/pdf/EEOC-CRT-FTC-CFPB-AI-Joint-Statement%28final%29.pdf" TargetMode="External"/><Relationship Id="rId175" Type="http://schemas.openxmlformats.org/officeDocument/2006/relationships/hyperlink" Target="https://airc.nist.gov/airmf-resources/playbook/govern/?utm_source=chatgpt.com" TargetMode="External"/><Relationship Id="rId196" Type="http://schemas.openxmlformats.org/officeDocument/2006/relationships/hyperlink" Target="https://www.whitehouse.gov/wp-content/uploads/2025/02/M-25-22-Driving-Efficient-Acquisition-of-Artificial-Intelligence-in-Government.pdf?utm_source=chatgpt.com" TargetMode="External"/><Relationship Id="rId200" Type="http://schemas.openxmlformats.org/officeDocument/2006/relationships/hyperlink" Target="https://owasp.org/www-project-top-10-for-large-language-model-applications/" TargetMode="External"/><Relationship Id="rId16" Type="http://schemas.openxmlformats.org/officeDocument/2006/relationships/hyperlink" Target="https://airc.nist.gov/airmf-resources/airmf/5-sec-core/?utm_source=chatgpt.com" TargetMode="External"/><Relationship Id="rId221" Type="http://schemas.openxmlformats.org/officeDocument/2006/relationships/hyperlink" Target="https://airc.nist.gov/airmf-resources/playbook/measure/?utm_source=chatgpt.com" TargetMode="External"/><Relationship Id="rId242" Type="http://schemas.openxmlformats.org/officeDocument/2006/relationships/hyperlink" Target="https://genai.owasp.org/llm-top-10/?utm_source=chatgpt.com" TargetMode="External"/><Relationship Id="rId263" Type="http://schemas.openxmlformats.org/officeDocument/2006/relationships/theme" Target="theme/theme1.xml"/><Relationship Id="rId37" Type="http://schemas.openxmlformats.org/officeDocument/2006/relationships/hyperlink" Target="https://airc.nist.gov/airmf-resources/playbook/govern/?utm_source=chatgpt.com" TargetMode="External"/><Relationship Id="rId58" Type="http://schemas.openxmlformats.org/officeDocument/2006/relationships/hyperlink" Target="https://research.google/pubs/model-cards-for-model-reporting/?utm_source=chatgpt.com" TargetMode="External"/><Relationship Id="rId79" Type="http://schemas.openxmlformats.org/officeDocument/2006/relationships/hyperlink" Target="https://www.whitehouse.gov/wp-content/uploads/2025/02/M-25-21-Accelerating-Federal-Use-of-AI-through-Innovation-Governance-and-Public-Trust.pdf" TargetMode="External"/><Relationship Id="rId102" Type="http://schemas.openxmlformats.org/officeDocument/2006/relationships/hyperlink" Target="https://openai.com/index/march-20-chatgpt-outage/" TargetMode="External"/><Relationship Id="rId123" Type="http://schemas.openxmlformats.org/officeDocument/2006/relationships/hyperlink" Target="https://airc.nist.gov/airmf-resources/airmf/5-sec-core/?utm_source=chatgpt.com" TargetMode="External"/><Relationship Id="rId144" Type="http://schemas.openxmlformats.org/officeDocument/2006/relationships/hyperlink" Target="https://www.iso.org/standard/42001" TargetMode="External"/><Relationship Id="rId90" Type="http://schemas.openxmlformats.org/officeDocument/2006/relationships/hyperlink" Target="https://www.ftc.gov/system/files/ftc_gov/pdf/EEOC-CRT-FTC-CFPB-AI-Joint-Statement%28final%29.pdf" TargetMode="External"/><Relationship Id="rId165" Type="http://schemas.openxmlformats.org/officeDocument/2006/relationships/hyperlink" Target="https://www.oecd.org/en/topics/ai-principles.html" TargetMode="External"/><Relationship Id="rId186" Type="http://schemas.openxmlformats.org/officeDocument/2006/relationships/hyperlink" Target="https://www.whitehouse.gov/wp-content/uploads/2025/02/M-25-21-Accelerating-Federal-Use-of-AI-through-Innovation-Governance-and-Public-Trust.pdf" TargetMode="External"/><Relationship Id="rId211" Type="http://schemas.openxmlformats.org/officeDocument/2006/relationships/hyperlink" Target="https://digital-strategy.ec.europa.eu/en/faqs/ai-literacy-questions-answers?utm_source=chatgpt.com" TargetMode="External"/><Relationship Id="rId232" Type="http://schemas.openxmlformats.org/officeDocument/2006/relationships/hyperlink" Target="https://arxiv.org/abs/1803.09010?utm_source=chatgpt.com" TargetMode="External"/><Relationship Id="rId253" Type="http://schemas.openxmlformats.org/officeDocument/2006/relationships/hyperlink" Target="https://www.reuters.com/article/us-amazon-com-jobs-automation-insight/amazon-scraps-secret-airecruiting-tool-that-showed-bias-against-women-idUSKCN1MK08G/?utm_source=chatgpt.com" TargetMode="External"/><Relationship Id="rId27" Type="http://schemas.openxmlformats.org/officeDocument/2006/relationships/hyperlink" Target="https://research.google/pubs/model-cards-for-model-reporting/?utm_source=chatgpt.com" TargetMode="External"/><Relationship Id="rId48" Type="http://schemas.openxmlformats.org/officeDocument/2006/relationships/hyperlink" Target="https://airc.nist.gov/airmf-resources/airmf/0-ai-rmf-1-0/?utm_source=chatgpt.com" TargetMode="External"/><Relationship Id="rId69" Type="http://schemas.openxmlformats.org/officeDocument/2006/relationships/hyperlink" Target="https://www.enisa.europa.eu/publications/securing-machine-learning-algorithms?utm_source=chatgpt.com" TargetMode="External"/><Relationship Id="rId113" Type="http://schemas.openxmlformats.org/officeDocument/2006/relationships/hyperlink" Target="https://www.iso.org/standard/42001" TargetMode="External"/><Relationship Id="rId134" Type="http://schemas.openxmlformats.org/officeDocument/2006/relationships/hyperlink" Target="https://nvlpubs.nist.gov/nistpubs/ai/NIST.AI.600-1.pdf?utm_source=chatgpt.com" TargetMode="External"/><Relationship Id="rId80" Type="http://schemas.openxmlformats.org/officeDocument/2006/relationships/hyperlink" Target="https://www.whitehouse.gov/wp-content/uploads/2025/02/M-25-21-Accelerating-Federal-Use-of-AI-through-Innovation-Governance-and-Public-Trust.pdf" TargetMode="External"/><Relationship Id="rId155" Type="http://schemas.openxmlformats.org/officeDocument/2006/relationships/hyperlink" Target="https://www.ftc.gov/system/files/ftc_gov/pdf/EEOC-CRT-FTC-CFPB-AI-Joint-Statement%28final%29.pdf" TargetMode="External"/><Relationship Id="rId176" Type="http://schemas.openxmlformats.org/officeDocument/2006/relationships/hyperlink" Target="https://airc.nist.gov/airmf-resources/playbook/govern/?utm_source=chatgpt.com" TargetMode="External"/><Relationship Id="rId197" Type="http://schemas.openxmlformats.org/officeDocument/2006/relationships/hyperlink" Target="https://www.whitehouse.gov/wp-content/uploads/2025/02/M-25-22-Driving-Efficient-Acquisition-of-Artificial-Intelligence-in-Government.pdf?utm_source=chatgpt.com" TargetMode="External"/><Relationship Id="rId201" Type="http://schemas.openxmlformats.org/officeDocument/2006/relationships/hyperlink" Target="https://ico.org.uk/for-organisations/uk-gdpr-guidance-and-resources/artificial-intelligence/guidance-on-ai-and-data-protection/" TargetMode="External"/><Relationship Id="rId222" Type="http://schemas.openxmlformats.org/officeDocument/2006/relationships/hyperlink" Target="https://airc.nist.gov/airmf-resources/playbook/measure/?utm_source=chatgpt.com" TargetMode="External"/><Relationship Id="rId243" Type="http://schemas.openxmlformats.org/officeDocument/2006/relationships/hyperlink" Target="https://genai.owasp.org/llm-top-10/?utm_source=chatgpt.com" TargetMode="External"/><Relationship Id="rId17" Type="http://schemas.openxmlformats.org/officeDocument/2006/relationships/hyperlink" Target="https://digital-strategy.ec.europa.eu/en/policies/regulatory-framework-ai" TargetMode="External"/><Relationship Id="rId38" Type="http://schemas.openxmlformats.org/officeDocument/2006/relationships/hyperlink" Target="https://www.iso.org/standard/42001" TargetMode="External"/><Relationship Id="rId59" Type="http://schemas.openxmlformats.org/officeDocument/2006/relationships/hyperlink" Target="https://airc.nist.gov/airmf-resources/playbook/measure/?utm_source=chatgpt.com" TargetMode="External"/><Relationship Id="rId103" Type="http://schemas.openxmlformats.org/officeDocument/2006/relationships/hyperlink" Target="https://openai.com/index/march-20-chatgpt-outage/" TargetMode="External"/><Relationship Id="rId124" Type="http://schemas.openxmlformats.org/officeDocument/2006/relationships/hyperlink" Target="https://airc.nist.gov/airmf-resources/airmf/5-sec-core/?utm_source=chatgpt.com" TargetMode="External"/><Relationship Id="rId70" Type="http://schemas.openxmlformats.org/officeDocument/2006/relationships/hyperlink" Target="https://www.ftc.gov/news-events/news/press-releases/2024/09/ftc-announces-crackdown-deceptive-ai-claims-schemes" TargetMode="External"/><Relationship Id="rId91" Type="http://schemas.openxmlformats.org/officeDocument/2006/relationships/hyperlink" Target="https://genai.owasp.org/llm-top-10/?utm_source=chatgpt.com" TargetMode="External"/><Relationship Id="rId145" Type="http://schemas.openxmlformats.org/officeDocument/2006/relationships/hyperlink" Target="https://www.iso.org/standard/42001" TargetMode="External"/><Relationship Id="rId166" Type="http://schemas.openxmlformats.org/officeDocument/2006/relationships/hyperlink" Target="https://www.oecd.org/en/topics/ai-principles.html" TargetMode="External"/><Relationship Id="rId187" Type="http://schemas.openxmlformats.org/officeDocument/2006/relationships/hyperlink" Target="https://ico.org.uk/for-organisations/uk-gdpr-guidance-and-resources/artificial-intelligence/guidance-on-ai-and-data-protection/ai-and-data-protection-risk-toolkit/" TargetMode="External"/><Relationship Id="rId1" Type="http://schemas.openxmlformats.org/officeDocument/2006/relationships/customXml" Target="../customXml/item1.xml"/><Relationship Id="rId212" Type="http://schemas.openxmlformats.org/officeDocument/2006/relationships/hyperlink" Target="https://digital-strategy.ec.europa.eu/en/faqs/ai-literacy-questions-answers?utm_source=chatgpt.com" TargetMode="External"/><Relationship Id="rId233" Type="http://schemas.openxmlformats.org/officeDocument/2006/relationships/hyperlink" Target="https://www.copyright.gov/ai/?utm_source=chatgpt.com" TargetMode="External"/><Relationship Id="rId254" Type="http://schemas.openxmlformats.org/officeDocument/2006/relationships/hyperlink" Target="https://www.reuters.com/article/us-amazon-com-jobs-automation-insight/amazon-scraps-secret-airecruiting-tool-that-showed-bias-against-women-idUSKCN1MK08G/?utm_source=chatgpt.com" TargetMode="External"/><Relationship Id="rId28" Type="http://schemas.openxmlformats.org/officeDocument/2006/relationships/hyperlink" Target="https://www.whitehouse.gov/wp-content/uploads/2025/02/M-25-22-Driving-Efficient-Acquisition-of-Artificial-Intelligence-in-Government.pdf?utm_source=chatgpt.com" TargetMode="External"/><Relationship Id="rId49" Type="http://schemas.openxmlformats.org/officeDocument/2006/relationships/image" Target="media/image2.png"/><Relationship Id="rId114" Type="http://schemas.openxmlformats.org/officeDocument/2006/relationships/hyperlink" Target="https://airc.nist.gov/airmf-resources/playbook/govern/?utm_source=chatgpt.com" TargetMode="External"/><Relationship Id="rId60" Type="http://schemas.openxmlformats.org/officeDocument/2006/relationships/hyperlink" Target="https://openai.com/index/march-20-chatgpt-outage/" TargetMode="External"/><Relationship Id="rId81" Type="http://schemas.openxmlformats.org/officeDocument/2006/relationships/hyperlink" Target="https://www.gov.uk/government/publications/ai-regulation-a-pro-innovation-approach/white-paper" TargetMode="External"/><Relationship Id="rId135" Type="http://schemas.openxmlformats.org/officeDocument/2006/relationships/hyperlink" Target="https://nvlpubs.nist.gov/nistpubs/ai/NIST.AI.600-1.pdf?utm_source=chatgpt.com" TargetMode="External"/><Relationship Id="rId156" Type="http://schemas.openxmlformats.org/officeDocument/2006/relationships/hyperlink" Target="https://digital-strategy.ec.europa.eu/en/policies/regulatory-framework-ai" TargetMode="External"/><Relationship Id="rId177" Type="http://schemas.openxmlformats.org/officeDocument/2006/relationships/hyperlink" Target="https://airc.nist.gov/airmf-resources/playbook/govern/?utm_source=chatgpt.com" TargetMode="External"/><Relationship Id="rId198" Type="http://schemas.openxmlformats.org/officeDocument/2006/relationships/hyperlink" Target="https://www.whitehouse.gov/wp-content/uploads/2025/02/M-25-22-Driving-Efficient-Acquisition-of-Artificial-Intelligence-in-Government.pdf?utm_source=chatgpt.com" TargetMode="External"/><Relationship Id="rId202" Type="http://schemas.openxmlformats.org/officeDocument/2006/relationships/hyperlink" Target="https://ico.org.uk/for-organisations/uk-gdpr-guidance-and-resources/artificial-intelligence/guidance-on-ai-and-data-protection/" TargetMode="External"/><Relationship Id="rId223" Type="http://schemas.openxmlformats.org/officeDocument/2006/relationships/hyperlink" Target="https://genai.owasp.org/resource/owasp-top-10-for-llm-applications-2025/" TargetMode="External"/><Relationship Id="rId244" Type="http://schemas.openxmlformats.org/officeDocument/2006/relationships/hyperlink" Target="https://www.gov.uk/government/publications/ai-regulation-a-pro-innovation-approach/white-paper" TargetMode="External"/><Relationship Id="rId18" Type="http://schemas.openxmlformats.org/officeDocument/2006/relationships/hyperlink" Target="https://www.iso.org/standard/42001" TargetMode="External"/><Relationship Id="rId39" Type="http://schemas.openxmlformats.org/officeDocument/2006/relationships/hyperlink" Target="https://www.iso.org/standard/42001" TargetMode="External"/><Relationship Id="rId50" Type="http://schemas.openxmlformats.org/officeDocument/2006/relationships/hyperlink" Target="https://airc.nist.gov/airmf-resources/airmf/0-ai-rmf-1-0/?utm_source=chatgpt.com" TargetMode="External"/><Relationship Id="rId104" Type="http://schemas.openxmlformats.org/officeDocument/2006/relationships/hyperlink" Target="https://www.reuters.com/article/us-amazon-com-jobs-automation-insight/amazon-scraps-secret-airecruiting-tool-that-showed-bias-against-women-idUSKCN1MK08G/?utm_source=chatgpt.com" TargetMode="External"/><Relationship Id="rId125" Type="http://schemas.openxmlformats.org/officeDocument/2006/relationships/hyperlink" Target="https://airc.nist.gov/airmf-resources/airmf/5-sec-core/?utm_source=chatgpt.com" TargetMode="External"/><Relationship Id="rId146" Type="http://schemas.openxmlformats.org/officeDocument/2006/relationships/hyperlink" Target="https://www.iso.org/standard/42001" TargetMode="External"/><Relationship Id="rId167" Type="http://schemas.openxmlformats.org/officeDocument/2006/relationships/hyperlink" Target="https://www.oecd.org/en/topics/ai-principles.html" TargetMode="External"/><Relationship Id="rId188" Type="http://schemas.openxmlformats.org/officeDocument/2006/relationships/hyperlink" Target="https://ico.org.uk/for-organisations/uk-gdpr-guidance-and-resources/artificial-intelligence/guidance-on-ai-and-data-protection/ai-and-data-protection-risk-toolkit/" TargetMode="External"/><Relationship Id="rId71" Type="http://schemas.openxmlformats.org/officeDocument/2006/relationships/hyperlink" Target="https://genai.owasp.org/llm-top-10/?utm_source=chatgpt.com" TargetMode="External"/><Relationship Id="rId92" Type="http://schemas.openxmlformats.org/officeDocument/2006/relationships/hyperlink" Target="https://www.iso.org/standard/42001" TargetMode="External"/><Relationship Id="rId213" Type="http://schemas.openxmlformats.org/officeDocument/2006/relationships/hyperlink" Target="https://digital-strategy.ec.europa.eu/en/faqs/ai-literacy-questions-answers?utm_source=chatgpt.com" TargetMode="External"/><Relationship Id="rId234" Type="http://schemas.openxmlformats.org/officeDocument/2006/relationships/hyperlink" Target="https://www.copyright.gov/ai/?utm_source=chatgpt.com" TargetMode="External"/><Relationship Id="rId2" Type="http://schemas.openxmlformats.org/officeDocument/2006/relationships/numbering" Target="numbering.xml"/><Relationship Id="rId29" Type="http://schemas.openxmlformats.org/officeDocument/2006/relationships/hyperlink" Target="https://owasp.org/www-project-top-10-for-large-language-model-applications/" TargetMode="External"/><Relationship Id="rId255" Type="http://schemas.openxmlformats.org/officeDocument/2006/relationships/hyperlink" Target="https://www.weforum.org/publications/the-future-of-jobs-report-2025/" TargetMode="External"/><Relationship Id="rId40" Type="http://schemas.openxmlformats.org/officeDocument/2006/relationships/hyperlink" Target="https://airc.nist.gov/airmf-resources/playbook/govern/?utm_source=chatgpt.com" TargetMode="External"/><Relationship Id="rId115" Type="http://schemas.openxmlformats.org/officeDocument/2006/relationships/hyperlink" Target="https://digital-strategy.ec.europa.eu/en/policies/regulatory-framework-ai" TargetMode="External"/><Relationship Id="rId136" Type="http://schemas.openxmlformats.org/officeDocument/2006/relationships/hyperlink" Target="https://www.iso.org/standard/42001" TargetMode="External"/><Relationship Id="rId157" Type="http://schemas.openxmlformats.org/officeDocument/2006/relationships/hyperlink" Target="https://digital-strategy.ec.europa.eu/en/policies/regulatory-framework-ai" TargetMode="External"/><Relationship Id="rId178" Type="http://schemas.openxmlformats.org/officeDocument/2006/relationships/hyperlink" Target="https://airc.nist.gov/airmf-resources/playbook/govern/?utm_source=chatgpt.com" TargetMode="External"/><Relationship Id="rId61" Type="http://schemas.openxmlformats.org/officeDocument/2006/relationships/hyperlink" Target="https://airc.nist.gov/airmf-resources/playbook/measure/?utm_source=chatgpt.com" TargetMode="External"/><Relationship Id="rId82" Type="http://schemas.openxmlformats.org/officeDocument/2006/relationships/hyperlink" Target="https://ico.org.uk/for-organisations/uk-gdpr-guidance-and-resources/artificial-intelligence/guidance-on-ai-and-data-protection/ai-and-data-protection-risk-toolkit/" TargetMode="External"/><Relationship Id="rId199" Type="http://schemas.openxmlformats.org/officeDocument/2006/relationships/hyperlink" Target="https://owasp.org/www-project-top-10-for-large-language-model-applications/" TargetMode="External"/><Relationship Id="rId203" Type="http://schemas.openxmlformats.org/officeDocument/2006/relationships/hyperlink" Target="https://openai.com/index/march-20-chatgpt-outage/" TargetMode="External"/><Relationship Id="rId19" Type="http://schemas.openxmlformats.org/officeDocument/2006/relationships/hyperlink" Target="https://www.iso.org/standard/77304.html" TargetMode="External"/><Relationship Id="rId224" Type="http://schemas.openxmlformats.org/officeDocument/2006/relationships/hyperlink" Target="https://genai.owasp.org/resource/owasp-top-10-for-llm-applications-2025/" TargetMode="External"/><Relationship Id="rId245" Type="http://schemas.openxmlformats.org/officeDocument/2006/relationships/hyperlink" Target="https://www.gov.uk/government/publications/ai-regulation-a-pro-innovation-approach/white-paper" TargetMode="External"/><Relationship Id="rId30" Type="http://schemas.openxmlformats.org/officeDocument/2006/relationships/hyperlink" Target="https://ico.org.uk/for-organisations/uk-gdpr-guidance-and-resources/artificial-intelligence/guidance-on-ai-and-data-protection/" TargetMode="External"/><Relationship Id="rId105" Type="http://schemas.openxmlformats.org/officeDocument/2006/relationships/hyperlink" Target="https://www.ftc.gov/news-events/news/press-releases/2024/09/ftc-announces-crackdown-deceptive-ai-claims-schemes" TargetMode="External"/><Relationship Id="rId126" Type="http://schemas.openxmlformats.org/officeDocument/2006/relationships/hyperlink" Target="https://airc.nist.gov/airmf-resources/airmf/5-sec-core/?utm_source=chatgpt.com" TargetMode="External"/><Relationship Id="rId147" Type="http://schemas.openxmlformats.org/officeDocument/2006/relationships/hyperlink" Target="https://www.iso.org/standard/42001" TargetMode="External"/><Relationship Id="rId168" Type="http://schemas.openxmlformats.org/officeDocument/2006/relationships/hyperlink" Target="https://airc.nist.gov/airmf-resources/playbook/govern/?utm_source=chatgpt.com" TargetMode="External"/><Relationship Id="rId51" Type="http://schemas.openxmlformats.org/officeDocument/2006/relationships/hyperlink" Target="https://www.iso.org/standard/42001" TargetMode="External"/><Relationship Id="rId72" Type="http://schemas.openxmlformats.org/officeDocument/2006/relationships/hyperlink" Target="https://airc.nist.gov/airmf-resources/playbook/measure/?utm_source=chatgpt.com" TargetMode="External"/><Relationship Id="rId93" Type="http://schemas.openxmlformats.org/officeDocument/2006/relationships/hyperlink" Target="https://nvlpubs.nist.gov/nistpubs/ai/NIST.AI.600-1.pdf?utm_source=chatgpt.com" TargetMode="External"/><Relationship Id="rId189" Type="http://schemas.openxmlformats.org/officeDocument/2006/relationships/hyperlink" Target="https://ico.org.uk/for-organisations/uk-gdpr-guidance-and-resources/artificial-intelligence/guidance-on-ai-and-data-protection/ai-and-data-protection-risk-toolkit/" TargetMode="External"/><Relationship Id="rId3" Type="http://schemas.openxmlformats.org/officeDocument/2006/relationships/styles" Target="styles.xml"/><Relationship Id="rId214" Type="http://schemas.openxmlformats.org/officeDocument/2006/relationships/hyperlink" Target="https://airc.nist.gov/airmf-resources/playbook/measure/?utm_source=chatgpt.com" TargetMode="External"/><Relationship Id="rId235" Type="http://schemas.openxmlformats.org/officeDocument/2006/relationships/hyperlink" Target="https://www.copyright.gov/ai/?utm_source=chatgpt.com" TargetMode="External"/><Relationship Id="rId256" Type="http://schemas.openxmlformats.org/officeDocument/2006/relationships/hyperlink" Target="https://www.weforum.org/publications/the-future-of-jobs-report-2025/" TargetMode="External"/><Relationship Id="rId116" Type="http://schemas.openxmlformats.org/officeDocument/2006/relationships/hyperlink" Target="https://www.whitehouse.gov/wp-content/uploads/2025/02/M-25-22-Driving-Efficient-Acquisition-of-Artificial-Intelligence-in-Government.pdf?utm_source=chatgpt.com" TargetMode="External"/><Relationship Id="rId137" Type="http://schemas.openxmlformats.org/officeDocument/2006/relationships/hyperlink" Target="https://www.iso.org/standard/42001" TargetMode="External"/><Relationship Id="rId158" Type="http://schemas.openxmlformats.org/officeDocument/2006/relationships/hyperlink" Target="https://digital-strategy.ec.europa.eu/en/policies/regulatory-framework-ai" TargetMode="External"/><Relationship Id="rId20" Type="http://schemas.openxmlformats.org/officeDocument/2006/relationships/hyperlink" Target="https://www.oecd.org/en/topics/ai-principles.html" TargetMode="External"/><Relationship Id="rId41" Type="http://schemas.openxmlformats.org/officeDocument/2006/relationships/hyperlink" Target="https://www.whitehouse.gov/wp-content/uploads/2025/02/M-25-21-Accelerating-Federal-Use-of-AI-through-Innovation-Governance-and-Public-Trust.pdf" TargetMode="External"/><Relationship Id="rId62" Type="http://schemas.openxmlformats.org/officeDocument/2006/relationships/hyperlink" Target="https://airc.nist.gov/airmf-resources/playbook/govern/?utm_source=chatgpt.com" TargetMode="External"/><Relationship Id="rId83" Type="http://schemas.openxmlformats.org/officeDocument/2006/relationships/hyperlink" Target="https://www.iso.org/standard/42001" TargetMode="External"/><Relationship Id="rId179" Type="http://schemas.openxmlformats.org/officeDocument/2006/relationships/hyperlink" Target="https://airc.nist.gov/airmf-resources/playbook/govern/?utm_source=chatgpt.com" TargetMode="External"/><Relationship Id="rId190" Type="http://schemas.openxmlformats.org/officeDocument/2006/relationships/hyperlink" Target="https://ico.org.uk/for-organisations/uk-gdpr-guidance-and-resources/artificial-intelligence/guidance-on-ai-and-data-protection/ai-and-data-protection-risk-toolkit/" TargetMode="External"/><Relationship Id="rId204" Type="http://schemas.openxmlformats.org/officeDocument/2006/relationships/hyperlink" Target="https://openai.com/index/march-20-chatgpt-outage/" TargetMode="External"/><Relationship Id="rId225" Type="http://schemas.openxmlformats.org/officeDocument/2006/relationships/hyperlink" Target="https://genai.owasp.org/resource/owasp-top-10-for-llm-applications-2025/" TargetMode="External"/><Relationship Id="rId246" Type="http://schemas.openxmlformats.org/officeDocument/2006/relationships/hyperlink" Target="https://www.gov.uk/government/publications/ai-opportunities-action-plan-one-year-on/ai-opportunities-action-plan-one-year-on" TargetMode="External"/><Relationship Id="rId106" Type="http://schemas.openxmlformats.org/officeDocument/2006/relationships/hyperlink" Target="https://www.iso.org/standard/42001" TargetMode="External"/><Relationship Id="rId127" Type="http://schemas.openxmlformats.org/officeDocument/2006/relationships/hyperlink" Target="https://www.nist.gov/publications/artificial-intelligence-risk-management-framework-generative-artificial-intelligence" TargetMode="External"/><Relationship Id="rId10" Type="http://schemas.openxmlformats.org/officeDocument/2006/relationships/hyperlink" Target="https://nvlpubs.nist.gov/nistpubs/ai/NIST.AI.600-1.pdf?utm_source=chatgpt.com" TargetMode="External"/><Relationship Id="rId31" Type="http://schemas.openxmlformats.org/officeDocument/2006/relationships/hyperlink" Target="https://www.iso.org/standard/42001" TargetMode="External"/><Relationship Id="rId52" Type="http://schemas.openxmlformats.org/officeDocument/2006/relationships/hyperlink" Target="https://airc.nist.gov/airmf-resources/playbook/govern/?utm_source=chatgpt.com" TargetMode="External"/><Relationship Id="rId73" Type="http://schemas.openxmlformats.org/officeDocument/2006/relationships/hyperlink" Target="https://digital-strategy.ec.europa.eu/en/faqs/ai-literacy-questions-answers?utm_source=chatgpt.com" TargetMode="External"/><Relationship Id="rId94" Type="http://schemas.openxmlformats.org/officeDocument/2006/relationships/hyperlink" Target="https://www.copyright.gov/ai/?utm_source=chatgpt.com" TargetMode="External"/><Relationship Id="rId148" Type="http://schemas.openxmlformats.org/officeDocument/2006/relationships/hyperlink" Target="https://www.iso.org/standard/42001" TargetMode="External"/><Relationship Id="rId169" Type="http://schemas.openxmlformats.org/officeDocument/2006/relationships/hyperlink" Target="https://airc.nist.gov/airmf-resources/playbook/govern/?utm_source=chatgpt.com" TargetMode="External"/><Relationship Id="rId4" Type="http://schemas.openxmlformats.org/officeDocument/2006/relationships/settings" Target="settings.xml"/><Relationship Id="rId180" Type="http://schemas.openxmlformats.org/officeDocument/2006/relationships/hyperlink" Target="https://airc.nist.gov/airmf-resources/playbook/govern/?utm_source=chatgpt.com" TargetMode="External"/><Relationship Id="rId215" Type="http://schemas.openxmlformats.org/officeDocument/2006/relationships/hyperlink" Target="https://airc.nist.gov/airmf-resources/playbook/measure/?utm_source=chatgpt.com" TargetMode="External"/><Relationship Id="rId236" Type="http://schemas.openxmlformats.org/officeDocument/2006/relationships/hyperlink" Target="https://www.enisa.europa.eu/publications/securing-machine-learning-algorithms?utm_source=chatgpt.com" TargetMode="External"/><Relationship Id="rId257" Type="http://schemas.openxmlformats.org/officeDocument/2006/relationships/hyperlink" Target="https://www.cisa.gov/resources-tools/resources/careful-adoption-agentic-ai-services?utm_source=chatgpt.com" TargetMode="External"/><Relationship Id="rId42" Type="http://schemas.openxmlformats.org/officeDocument/2006/relationships/hyperlink" Target="https://airc.nist.gov/airmf-resources/playbook/govern/?utm_source=chatgpt.com" TargetMode="External"/><Relationship Id="rId84" Type="http://schemas.openxmlformats.org/officeDocument/2006/relationships/hyperlink" Target="https://www.iso.org/standard/42001" TargetMode="External"/><Relationship Id="rId138" Type="http://schemas.openxmlformats.org/officeDocument/2006/relationships/hyperlink" Target="https://www.iso.org/standard/42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5F1697-86D1-48EF-BB06-3310132F8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22</Pages>
  <Words>10665</Words>
  <Characters>60793</Characters>
  <Application>Microsoft Office Word</Application>
  <DocSecurity>0</DocSecurity>
  <Lines>506</Lines>
  <Paragraphs>142</Paragraphs>
  <ScaleCrop>false</ScaleCrop>
  <Company/>
  <LinksUpToDate>false</LinksUpToDate>
  <CharactersWithSpaces>71316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an ai governance program really looks like</dc:title>
  <dc:creator>Anthony Ruscitto</dc:creator>
  <cp:keywords/>
  <cp:lastModifiedBy>Anthony Ruscitto</cp:lastModifiedBy>
  <cp:revision>2</cp:revision>
  <dcterms:created xsi:type="dcterms:W3CDTF">2026-05-02T23:38:00Z</dcterms:created>
  <dcterms:modified xsi:type="dcterms:W3CDTF">2026-05-03T00:20:00Z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