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1. Services</w:t>
      </w:r>
    </w:p>
    <w:p>
      <w:r>
        <w:t xml:space="preserve">The Contractor will prepare the drawings described in the statement of work.</w:t>
      </w:r>
    </w:p>
    <w:p>
      <w:r>
        <w:t xml:space="preserve">2. Payment</w:t>
      </w:r>
    </w:p>
    <w:p>
      <w:r>
        <w:t xml:space="preserve">The Client shall pay a fixed fee of £8,500, plus VAT, half on signature and half on delivery.</w:t>
      </w:r>
    </w:p>
    <w:p>
      <w:r>
        <w:t xml:space="preserve">3. Term</w:t>
      </w:r>
    </w:p>
    <w:p>
      <w:r>
        <w:t xml:space="preserve">This Agreement ends six (6) months after the Effective Date unless the work is delivered sooner.</w:t>
      </w:r>
    </w:p>
    <w:p>
      <w:r>
        <w:t xml:space="preserve">4. Intellectual Property</w:t>
      </w:r>
    </w:p>
    <w:p>
      <w:r>
        <w:t xml:space="preserve">Upon payment in full, Client owns the final deliverables. Contractor keeps its pre-existing tools.</w:t>
      </w:r>
    </w:p>
    <w:p>
      <w:r>
        <w:t xml:space="preserve">5. Limitation of Liability</w:t>
      </w:r>
    </w:p>
    <w:p>
      <w:r>
        <w:t xml:space="preserve">Each party's aggregate liability is capped at the fees paid under this Agreement. A claim must be brought within six (6) years of the cause of action accruing.</w:t>
      </w:r>
    </w:p>
    <w:p>
      <w:r>
        <w:t xml:space="preserve">6. Governing Law</w:t>
      </w:r>
    </w:p>
    <w:p>
      <w:r>
        <w:t xml:space="preserve">This Agreement is governed by the law of England and Wales. The parties submit to the exclusive jurisdiction of the courts of England and Wales.</w:t>
      </w:r>
    </w:p>
    <w:sectPr>
      <w:pgSz w:w="12240" w:h="15840"/>
    </w:sectPr>
  </w:body>
</w:document>
</file>