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Services</w:t>
      </w:r>
    </w:p>
    <w:p>
      <w:r>
        <w:t xml:space="preserve">Northline Software Ltd will provide the hosted workspace described in this Order Form to the Customer.</w:t>
      </w:r>
    </w:p>
    <w:p>
      <w:r>
        <w:t xml:space="preserve">2. Fees</w:t>
      </w:r>
    </w:p>
    <w:p>
      <w:r>
        <w:t xml:space="preserve">The Customer shall pay £24,000 per year, plus VAT, due 30 days from the invoice date.</w:t>
      </w:r>
    </w:p>
    <w:p>
      <w:r>
        <w:t xml:space="preserve">3. Term</w:t>
      </w:r>
    </w:p>
    <w:p>
      <w:r>
        <w:t xml:space="preserve">The initial term is twelve (12) months and shall automatically renew for successive twelve (12) month terms unless Customer gives written notice of non-renewal.</w:t>
      </w:r>
    </w:p>
    <w:p>
      <w:r>
        <w:t xml:space="preserve">4. Limitation of Liability</w:t>
      </w:r>
    </w:p>
    <w:p>
      <w:r>
        <w:t xml:space="preserve">The Customer's liability shall be unlimited. The Supplier's aggregate liability is capped at the fees paid under this Order in the prior twelve (12) months.</w:t>
      </w:r>
    </w:p>
    <w:p>
      <w:r>
        <w:t xml:space="preserve">5. Assignment</w:t>
      </w:r>
    </w:p>
    <w:p>
      <w:r>
        <w:t xml:space="preserve">The Supplier may assign this Order without the consent of the Customer.</w:t>
      </w:r>
    </w:p>
    <w:p>
      <w:r>
        <w:t xml:space="preserve">6. Governing Law</w:t>
      </w:r>
    </w:p>
    <w:p>
      <w:r>
        <w:t xml:space="preserve">This Order is governed by the law of New York. The parties submit to the non-exclusive jurisdiction of the courts of New York. Notices under Section 7 shall be sent to the Supplier's current address.</w:t>
      </w:r>
    </w:p>
    <w:sectPr>
      <w:pgSz w:w="12240" w:h="15840"/>
    </w:sectPr>
  </w:body>
</w:document>
</file>