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Services</w:t>
      </w:r>
    </w:p>
    <w:p>
      <w:r>
        <w:t xml:space="preserve">Contractor will design the Harbor Street wayfinding sketches described in the statement of work.</w:t>
      </w:r>
    </w:p>
    <w:p>
      <w:r>
        <w:t xml:space="preserve">2. Payment</w:t>
      </w:r>
    </w:p>
    <w:p>
      <w:r>
        <w:t xml:space="preserve">Client shall pay a fixed fee of $8,500, half on signature and half on delivery.</w:t>
      </w:r>
    </w:p>
    <w:p>
      <w:r>
        <w:t xml:space="preserve">3. Term</w:t>
      </w:r>
    </w:p>
    <w:p>
      <w:r>
        <w:t xml:space="preserve">This Agreement ends six (6) months after the Effective Date unless the work is delivered sooner.</w:t>
      </w:r>
    </w:p>
    <w:p>
      <w:r>
        <w:t xml:space="preserve">4. Intellectual Property</w:t>
      </w:r>
    </w:p>
    <w:p>
      <w:r>
        <w:t xml:space="preserve">Upon payment in full, Client owns the final deliverables. Contractor keeps its pre-existing tools.</w:t>
      </w:r>
    </w:p>
    <w:p>
      <w:r>
        <w:t xml:space="preserve">5. Limitation of Liability</w:t>
      </w:r>
    </w:p>
    <w:p>
      <w:r>
        <w:t xml:space="preserve">Each party's aggregate liability is capped at the fees paid under this Agreement.</w:t>
      </w:r>
    </w:p>
    <w:p>
      <w:r>
        <w:t xml:space="preserve">6. Governing Law</w:t>
      </w:r>
    </w:p>
    <w:p>
      <w:r>
        <w:t xml:space="preserve">This Agreement is governed by the laws of the State of Illinois.</w:t>
      </w:r>
    </w:p>
    <w:sectPr>
      <w:pgSz w:w="12240" w:h="15840"/>
    </w:sectPr>
  </w:body>
</w:document>
</file>