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300" w:after="320" w:line="400" w:lineRule="exact"/>
        <w:jc w:val="center"/>
      </w:pPr>
      <w:r>
        <w:rPr>
          <w:i w:val="0"/>
          <w:color w:val="000000"/>
          <w:sz w:val="26"/>
        </w:rPr>
        <w:t>裕泰通新能源</w:t>
      </w:r>
    </w:p>
    <w:p>
      <w:pPr>
        <w:pStyle w:val="Title"/>
        <w:keepNext w:val="0"/>
        <w:spacing w:before="0" w:after="200" w:line="880" w:lineRule="exact"/>
        <w:jc w:val="center"/>
      </w:pPr>
      <w:r>
        <w:rPr>
          <w:b/>
          <w:i w:val="0"/>
          <w:color w:val="000000"/>
          <w:sz w:val="60"/>
        </w:rPr>
        <w:t>加热器控制箱</w:t>
      </w:r>
    </w:p>
    <w:p>
      <w:pPr>
        <w:keepNext w:val="0"/>
        <w:spacing w:before="0" w:after="320" w:line="600" w:lineRule="exact"/>
        <w:jc w:val="center"/>
      </w:pPr>
      <w:r>
        <w:rPr>
          <w:i w:val="0"/>
          <w:color w:val="000000"/>
          <w:sz w:val="44"/>
        </w:rPr>
        <w:t>使用说明书</w:t>
      </w:r>
    </w:p>
    <w:p>
      <w:pPr>
        <w:keepNext w:val="0"/>
        <w:spacing w:before="0" w:after="3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12275" cy="3671999"/>
            <wp:docPr id="1" name="Picture 1" descr="加热器控制箱黑白外观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binet_b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2275" cy="36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400" w:lineRule="exact"/>
        <w:jc w:val="center"/>
      </w:pPr>
      <w:r>
        <w:rPr>
          <w:b/>
          <w:i w:val="0"/>
          <w:color w:val="000000"/>
          <w:sz w:val="28"/>
        </w:rPr>
        <w:t>型号　YYT-TC1500</w:t>
      </w:r>
    </w:p>
    <w:p>
      <w:pPr>
        <w:keepNext w:val="0"/>
        <w:spacing w:before="0" w:after="200" w:line="320" w:lineRule="exact"/>
        <w:jc w:val="center"/>
      </w:pPr>
      <w:r>
        <w:rPr>
          <w:i w:val="0"/>
          <w:color w:val="000000"/>
          <w:sz w:val="20"/>
        </w:rPr>
        <w:t>2026年10月</w:t>
      </w:r>
    </w:p>
    <w:p>
      <w:pPr>
        <w:pStyle w:val="Heading1"/>
        <w:pageBreakBefore/>
      </w:pPr>
      <w:r>
        <w:t>使用前检查</w:t>
      </w:r>
    </w:p>
    <w:p>
      <w:pPr/>
      <w:r>
        <w:rPr>
          <w:b w:val="0"/>
        </w:rPr>
        <w:t>本说明书按单块控制子板的常用现场配置编写，用于接线核对、加热器操作、自动温控设置及报警处理。首次使用按第 1～3 章操作；出现报警查阅第 5 章。</w:t>
      </w:r>
    </w:p>
    <w:p>
      <w:pPr>
        <w:pStyle w:val="ListBullet"/>
      </w:pPr>
      <w:r>
        <w:rPr>
          <w:b w:val="0"/>
        </w:rPr>
        <w:t>确认供电、RS485、探头和加热器接线已验收。</w:t>
      </w:r>
    </w:p>
    <w:p>
      <w:pPr>
        <w:pStyle w:val="ListBullet"/>
      </w:pPr>
      <w:r>
        <w:rPr>
          <w:b w:val="0"/>
        </w:rPr>
        <w:t>确认设备日期、时间正确。</w:t>
      </w:r>
    </w:p>
    <w:p>
      <w:pPr>
        <w:pStyle w:val="ListBullet"/>
      </w:pPr>
      <w:r>
        <w:rPr>
          <w:b w:val="0"/>
        </w:rPr>
        <w:t>按现场传感器核对高压检测方式和触发条件。</w:t>
      </w:r>
    </w:p>
    <w:p>
      <w:pPr>
        <w:pStyle w:val="ListBullet"/>
      </w:pPr>
      <w:r>
        <w:rPr>
          <w:b w:val="0"/>
        </w:rPr>
        <w:t>核对 A、B、C 输出组与接线，三个加热器不得共用输出组。</w:t>
      </w:r>
    </w:p>
    <w:p>
      <w:pPr/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插图中的读数和参数为示例。操作时以设备已保存的设置和现场验收值为准。</w:t>
      </w:r>
    </w:p>
    <w:p>
      <w:pPr>
        <w:pStyle w:val="Heading2"/>
      </w:pPr>
      <w:r>
        <w:t>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863"/>
        <w:gridCol w:w="6469"/>
        <w:gridCol w:w="719"/>
      </w:tblGrid>
      <w:tr>
        <w:trPr>
          <w:cantSplit/>
          <w:tblHeader/>
        </w:trPr>
        <w:tc>
          <w:tcPr>
            <w:tcW w:type="dxa" w:w="863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章节</w:t>
            </w:r>
          </w:p>
        </w:tc>
        <w:tc>
          <w:tcPr>
            <w:tcW w:type="dxa" w:w="6469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719"/>
            <w:vAlign w:val="center"/>
            <w:shd w:fill="EEEEEE"/>
          </w:tcPr>
          <w:p>
            <w:pPr>
              <w:spacing w:after="0" w:line="280" w:lineRule="exact"/>
              <w:jc w:val="center"/>
            </w:pPr>
            <w:r>
              <w:rPr>
                <w:b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01</w:t>
            </w:r>
          </w:p>
        </w:tc>
        <w:tc>
          <w:tcPr>
            <w:tcW w:type="dxa" w:w="6469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接线说明</w:t>
            </w:r>
          </w:p>
        </w:tc>
        <w:tc>
          <w:tcPr>
            <w:tcW w:type="dxa" w:w="719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02</w:t>
            </w:r>
          </w:p>
        </w:tc>
        <w:tc>
          <w:tcPr>
            <w:tcW w:type="dxa" w:w="6469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手动加热</w:t>
            </w:r>
          </w:p>
        </w:tc>
        <w:tc>
          <w:tcPr>
            <w:tcW w:type="dxa" w:w="719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03</w:t>
            </w:r>
          </w:p>
        </w:tc>
        <w:tc>
          <w:tcPr>
            <w:tcW w:type="dxa" w:w="6469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自动温控设置与启动</w:t>
            </w:r>
          </w:p>
        </w:tc>
        <w:tc>
          <w:tcPr>
            <w:tcW w:type="dxa" w:w="719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04</w:t>
            </w:r>
          </w:p>
        </w:tc>
        <w:tc>
          <w:tcPr>
            <w:tcW w:type="dxa" w:w="6469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查看运行及停止加热</w:t>
            </w:r>
          </w:p>
        </w:tc>
        <w:tc>
          <w:tcPr>
            <w:tcW w:type="dxa" w:w="719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05</w:t>
            </w:r>
          </w:p>
        </w:tc>
        <w:tc>
          <w:tcPr>
            <w:tcW w:type="dxa" w:w="6469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报警处理</w:t>
            </w:r>
          </w:p>
        </w:tc>
        <w:tc>
          <w:tcPr>
            <w:tcW w:type="dxa" w:w="719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06</w:t>
            </w:r>
          </w:p>
        </w:tc>
        <w:tc>
          <w:tcPr>
            <w:tcW w:type="dxa" w:w="6469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加热器输出与备用接口配置</w:t>
            </w:r>
          </w:p>
        </w:tc>
        <w:tc>
          <w:tcPr>
            <w:tcW w:type="dxa" w:w="719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07</w:t>
            </w:r>
          </w:p>
        </w:tc>
        <w:tc>
          <w:tcPr>
            <w:tcW w:type="dxa" w:w="6469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高压检测与继电器保护</w:t>
            </w:r>
          </w:p>
        </w:tc>
        <w:tc>
          <w:tcPr>
            <w:tcW w:type="dxa" w:w="719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08</w:t>
            </w:r>
          </w:p>
        </w:tc>
        <w:tc>
          <w:tcPr>
            <w:tcW w:type="dxa" w:w="6469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显示与声音</w:t>
            </w:r>
          </w:p>
        </w:tc>
        <w:tc>
          <w:tcPr>
            <w:tcW w:type="dxa" w:w="719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09</w:t>
            </w:r>
          </w:p>
        </w:tc>
        <w:tc>
          <w:tcPr>
            <w:tcW w:type="dxa" w:w="6469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历史查询</w:t>
            </w:r>
          </w:p>
        </w:tc>
        <w:tc>
          <w:tcPr>
            <w:tcW w:type="dxa" w:w="719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6469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数据记录与日志清理</w:t>
            </w:r>
          </w:p>
        </w:tc>
        <w:tc>
          <w:tcPr>
            <w:tcW w:type="dxa" w:w="719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14</w:t>
            </w:r>
          </w:p>
        </w:tc>
      </w:tr>
      <w:tr>
        <w:trPr>
          <w:cantSplit/>
        </w:trPr>
        <w:tc>
          <w:tcPr>
            <w:tcW w:type="dxa" w:w="863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6469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故障排查与交接</w:t>
            </w:r>
          </w:p>
        </w:tc>
        <w:tc>
          <w:tcPr>
            <w:tcW w:type="dxa" w:w="719"/>
            <w:vAlign w:val="center"/>
            <w:shd w:fill="FFFFFF"/>
          </w:tcPr>
          <w:p>
            <w:pPr>
              <w:spacing w:after="0" w:line="280" w:lineRule="exact"/>
              <w:jc w:val="center"/>
            </w:pPr>
            <w:r>
              <w:rPr>
                <w:b w:val="0"/>
                <w:sz w:val="19"/>
              </w:rPr>
              <w:t>15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/>
      <w:r>
        <w:rPr>
          <w:b w:val="0"/>
        </w:rPr>
      </w:r>
      <w:r>
        <w:rPr>
          <w:b/>
        </w:rPr>
        <w:t>确认执行</w:t>
      </w:r>
      <w:r>
        <w:rPr>
          <w:b w:val="0"/>
        </w:rPr>
        <w:t xml:space="preserve">　操作后检查档位回读和现场负载。按钮变色或提示音响起，仅表示操作反馈。</w:t>
      </w:r>
    </w:p>
    <w:p>
      <w:pPr>
        <w:pStyle w:val="Heading1"/>
        <w:pageBreakBefore/>
      </w:pPr>
      <w:r>
        <w:rPr>
          <w:sz w:val="60"/>
        </w:rPr>
        <w:t xml:space="preserve">01  </w:t>
      </w:r>
      <w:r>
        <w:t>接线说明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4536000" cy="4989600"/>
            <wp:docPr id="2" name="Picture 2" descr="控制主板、探头、继电器与三组加热器接线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498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t>图 1　● 为连接点，拱桥为跨线不接；虚线为继电器动作关联。</w:t>
      </w:r>
    </w:p>
    <w:p>
      <w:pPr>
        <w:spacing w:line="280" w:lineRule="exact" w:after="60"/>
      </w:pPr>
      <w:r>
        <w:rPr>
          <w:b w:val="0"/>
          <w:sz w:val="19"/>
        </w:rPr>
      </w:r>
      <w:r>
        <w:rPr>
          <w:b/>
          <w:sz w:val="19"/>
        </w:rPr>
        <w:t>接线核对</w:t>
      </w:r>
      <w:r>
        <w:rPr>
          <w:b w:val="0"/>
          <w:sz w:val="19"/>
        </w:rPr>
        <w:t xml:space="preserve">　断电操作，按极性、地址和随箱线号核对。屏接第一组 RS485；三只温湿度共用第二组；PT100 模块接第三组 RS485 和电源四线。直流正、负接 +V、0V，电压匹配铭牌；板端不得接交流或被测高压，动力线与通信线分开，保护及 PE 按电气图。</w:t>
      </w:r>
    </w:p>
    <w:p>
      <w:pPr>
        <w:spacing w:line="280" w:lineRule="exact" w:after="60"/>
      </w:pPr>
      <w:r>
        <w:rPr>
          <w:b w:val="0"/>
          <w:sz w:val="19"/>
        </w:rPr>
      </w:r>
      <w:r>
        <w:rPr>
          <w:b/>
          <w:sz w:val="19"/>
        </w:rPr>
        <w:t>加热回路</w:t>
      </w:r>
      <w:r>
        <w:rPr>
          <w:b w:val="0"/>
          <w:sz w:val="19"/>
        </w:rPr>
        <w:t xml:space="preserve">　线圈正端接 +V、负端接 OT；OT 导通使继电器吸合，不直接给加热器供电。负载进线经保护接 3，2 接加热回路，另一端接 N／−，4 留空；吸合时 2–3 接通，释放时断开。安装按壳体触点图核对常开状态；K1～K6 为示意编号。</w:t>
      </w:r>
    </w:p>
    <w:p>
      <w:pPr>
        <w:spacing w:line="280" w:lineRule="exact" w:after="60"/>
      </w:pPr>
      <w:r>
        <w:rPr>
          <w:b w:val="0"/>
          <w:sz w:val="19"/>
        </w:rPr>
      </w:r>
      <w:r>
        <w:rPr>
          <w:b/>
          <w:sz w:val="19"/>
        </w:rPr>
        <w:t>输出与档位</w:t>
      </w:r>
      <w:r>
        <w:rPr>
          <w:b w:val="0"/>
          <w:sz w:val="19"/>
        </w:rPr>
        <w:t xml:space="preserve">　A 用 OT1／2，B 用 OT3／4，C 用 OT5／6。关闭两路断；1 档第一路，2 档第二路，3 档两路同开。自动单路顺序按设置，功率以负载为准。改变输出组须核对接线，禁止共用组；逐路核验加热、工作灯和报警关断，结束全部关闭。</w:t>
      </w:r>
    </w:p>
    <w:p>
      <w:pPr>
        <w:pStyle w:val="Heading1"/>
        <w:pageBreakBefore/>
      </w:pPr>
      <w:r>
        <w:rPr>
          <w:sz w:val="60"/>
        </w:rPr>
        <w:t xml:space="preserve">02  </w:t>
      </w:r>
      <w:r>
        <w:t>手动加热</w:t>
      </w:r>
    </w:p>
    <w:p>
      <w:pPr/>
      <w:r>
        <w:rPr>
          <w:b w:val="0"/>
        </w:rPr>
        <w:t>子板手自控制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2995312"/>
            <wp:docPr id="3" name="Picture 3" descr="手动控制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　左侧查看档位，右侧操作同名加热器。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确认设备在线、读数完整且无高压联锁。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自动运行时，先点击“停止自动”，确认三个加热器关闭。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点击“加热器A”“加热器B”或“加热器C”，切换一档。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检查档位、工作灯和负载。试运行结束，按至关闭。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766800"/>
            <wp:docPr id="4" name="Picture 4" descr="手动档位循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7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　每按一次前进一档。1 档接通第一路，2 档接通第二路，3 档两路同开。</w:t>
      </w:r>
    </w:p>
    <w:p>
      <w:pPr/>
      <w:r>
        <w:rPr>
          <w:b w:val="0"/>
        </w:rPr>
        <w:t>实体按键使用同一循环。按下切一档，释放后再按；保持闭合不连续切档。短按未被采集时，检查输入状态后重新操作。</w:t>
      </w:r>
    </w:p>
    <w:p>
      <w:pPr/>
      <w:r>
        <w:rPr>
          <w:b w:val="0"/>
        </w:rPr>
        <w:t>“加热回路操作”只改变所点击的回路，用于维护人员逐路核对接线。出现“写入失败”时，检查通信及实际负载。</w:t>
      </w:r>
    </w:p>
    <w:p>
      <w:pPr>
        <w:pStyle w:val="Heading1"/>
        <w:pageBreakBefore/>
      </w:pPr>
      <w:r>
        <w:rPr>
          <w:sz w:val="60"/>
        </w:rPr>
        <w:t xml:space="preserve">03  </w:t>
      </w:r>
      <w:r>
        <w:t>自动温控设置与启动</w:t>
      </w:r>
    </w:p>
    <w:p>
      <w:pPr/>
      <w:r>
        <w:rPr>
          <w:b w:val="0"/>
        </w:rPr>
        <w:t>加热参数设置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2995312"/>
            <wp:docPr id="5" name="Picture 5" descr="加热参数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ete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　先设置参数并保存，再到控制页启动自动。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选择固定阈值、PID 三档输出或防凝露模式。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阈值或 PID 模式下，选择目标来源。固定温度分别设置 A、B、C 目标；跟随内部 PT100 使用有效 PT100 均温。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设置当前模式参数，核对“两个单路档位顺序”。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点击“展开计算说明”核对边界，再点击“保存并应用”。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5</w:t>
        <w:tab/>
      </w:r>
      <w:r>
        <w:rPr>
          <w:b w:val="0"/>
        </w:rPr>
        <w:t>出现“配置已保存并应用”后，回控制页点击“启动自动”。</w:t>
      </w:r>
    </w:p>
    <w:p>
      <w:pPr/>
      <w:r>
        <w:rPr>
          <w:b w:val="0"/>
        </w:rPr>
      </w:r>
      <w:r>
        <w:rPr>
          <w:b/>
        </w:rPr>
        <w:t>确认</w:t>
      </w:r>
      <w:r>
        <w:rPr>
          <w:b w:val="0"/>
        </w:rPr>
        <w:t xml:space="preserve">　显示“本子板自动温控运行中”。核对目标摘要和档位。</w:t>
      </w:r>
    </w:p>
    <w:p>
      <w:pPr>
        <w:pStyle w:val="Heading2"/>
      </w:pPr>
      <w:r>
        <w:t>参数保存</w:t>
      </w:r>
    </w:p>
    <w:p>
      <w:pPr/>
      <w:r>
        <w:rPr>
          <w:b w:val="0"/>
        </w:rPr>
        <w:t>保存后，正在自动运行的设备也使用新参数。固定目标可设 -20～80 ℃。需要观察修改效果时，在允许停机的条件下先停止自动温控。</w:t>
      </w:r>
    </w:p>
    <w:p>
      <w:pPr/>
      <w:r>
        <w:rPr>
          <w:b w:val="0"/>
        </w:rPr>
        <w:t>离开有未保存修改的页面时：“保存并切换”保存后离开；“不保存”撤销本页修改；“取消”留在本页。高级设置内切换分组后，仍需统一保存。</w:t>
      </w:r>
    </w:p>
    <w:p>
      <w:pPr>
        <w:pStyle w:val="Heading2"/>
        <w:pageBreakBefore/>
        <w:spacing w:before="100" w:after="80"/>
      </w:pPr>
      <w:r>
        <w:t>三种自动控制方式</w:t>
      </w:r>
    </w:p>
    <w:p>
      <w:pPr>
        <w:pStyle w:val="Heading2"/>
        <w:spacing w:before="100" w:after="80"/>
      </w:pPr>
      <w:r>
        <w:t>固定阈值</w:t>
      </w:r>
    </w:p>
    <w:p>
      <w:pPr>
        <w:spacing w:line="280" w:lineRule="exact" w:after="60"/>
      </w:pPr>
      <w:r>
        <w:rPr>
          <w:b w:val="0"/>
          <w:sz w:val="19"/>
        </w:rPr>
        <w:t>温差 = 目标温度 − 有效外部均温。温差增大时升档，减小时降档；升档边界加回差，降档边界减回差。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252"/>
        <w:gridCol w:w="1773"/>
        <w:gridCol w:w="4025"/>
      </w:tblGrid>
      <w:tr>
        <w:trPr>
          <w:cantSplit/>
          <w:tblHeader/>
        </w:trPr>
        <w:tc>
          <w:tcPr>
            <w:tcW w:type="dxa" w:w="2252"/>
            <w:vAlign w:val="center"/>
            <w:shd w:fill="EEEEEE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type="dxa" w:w="1773"/>
            <w:vAlign w:val="center"/>
            <w:shd w:fill="EEEEEE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随附值</w:t>
            </w:r>
          </w:p>
        </w:tc>
        <w:tc>
          <w:tcPr>
            <w:tcW w:type="dxa" w:w="4025"/>
            <w:vAlign w:val="center"/>
            <w:shd w:fill="EEEEEE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252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一级／二级／三级温差</w:t>
            </w:r>
          </w:p>
        </w:tc>
        <w:tc>
          <w:tcPr>
            <w:tcW w:type="dxa" w:w="1773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0.3／1.5／3.0 ℃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对应三个加热档位</w:t>
            </w:r>
          </w:p>
        </w:tc>
      </w:tr>
      <w:tr>
        <w:trPr>
          <w:cantSplit/>
        </w:trPr>
        <w:tc>
          <w:tcPr>
            <w:tcW w:type="dxa" w:w="2252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切档回差</w:t>
            </w:r>
          </w:p>
        </w:tc>
        <w:tc>
          <w:tcPr>
            <w:tcW w:type="dxa" w:w="1773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0.2 ℃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避免边界附近反复切档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spacing w:line="280" w:lineRule="exact" w:after="60"/>
      </w:pPr>
      <w:r>
        <w:rPr>
          <w:b w:val="0"/>
          <w:sz w:val="19"/>
        </w:rPr>
        <w:t>例如目标 25 ℃：从关闭降至 24.5 ℃达到一级升档条件，一级退回关闭的边界为 24.9 ℃。</w:t>
      </w:r>
    </w:p>
    <w:p>
      <w:pPr>
        <w:pStyle w:val="Heading2"/>
        <w:spacing w:before="100" w:after="80"/>
      </w:pPr>
      <w:r>
        <w:t>PID 三档输出</w:t>
      </w:r>
    </w:p>
    <w:p>
      <w:pPr>
        <w:spacing w:line="280" w:lineRule="exact" w:after="60"/>
      </w:pPr>
      <w:r>
        <w:rPr>
          <w:b w:val="0"/>
          <w:sz w:val="19"/>
        </w:rPr>
        <w:t>PID 按当前温差、累计温差和变化速度计算 0～100% 加热需求，再转换为档位；百分比用于判档，不表示继电器连续按比例调功。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2252"/>
        <w:gridCol w:w="1773"/>
        <w:gridCol w:w="4025"/>
      </w:tblGrid>
      <w:tr>
        <w:trPr>
          <w:cantSplit/>
          <w:tblHeader/>
        </w:trPr>
        <w:tc>
          <w:tcPr>
            <w:tcW w:type="dxa" w:w="2252"/>
            <w:vAlign w:val="center"/>
            <w:shd w:fill="EEEEEE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参数</w:t>
            </w:r>
          </w:p>
        </w:tc>
        <w:tc>
          <w:tcPr>
            <w:tcW w:type="dxa" w:w="1773"/>
            <w:vAlign w:val="center"/>
            <w:shd w:fill="EEEEEE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随附值</w:t>
            </w:r>
          </w:p>
        </w:tc>
        <w:tc>
          <w:tcPr>
            <w:tcW w:type="dxa" w:w="4025"/>
            <w:vAlign w:val="center"/>
            <w:shd w:fill="EEEEEE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252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Kp／Ki／Kd</w:t>
            </w:r>
          </w:p>
        </w:tc>
        <w:tc>
          <w:tcPr>
            <w:tcW w:type="dxa" w:w="1773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12／0.15／0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偏差响应／累计修正／变化响应</w:t>
            </w:r>
          </w:p>
        </w:tc>
      </w:tr>
      <w:tr>
        <w:trPr>
          <w:cantSplit/>
        </w:trPr>
        <w:tc>
          <w:tcPr>
            <w:tcW w:type="dxa" w:w="2252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一级／二级／三级输出点</w:t>
            </w:r>
          </w:p>
        </w:tc>
        <w:tc>
          <w:tcPr>
            <w:tcW w:type="dxa" w:w="1773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10%／35%／60%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低于一级点关闭，达到各点切至对应档位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spacing w:line="280" w:lineRule="exact" w:after="60"/>
      </w:pPr>
      <w:r>
        <w:rPr>
          <w:b w:val="0"/>
          <w:sz w:val="19"/>
        </w:rPr>
        <w:t>PID 预览假设此前稳定在目标、积分为零，随后 1 秒内突发降温；预览温度不是固定启动温度。</w:t>
      </w:r>
    </w:p>
    <w:p>
      <w:pPr>
        <w:pStyle w:val="Heading2"/>
        <w:spacing w:before="100" w:after="80"/>
      </w:pPr>
      <w:r>
        <w:t>防凝露</w:t>
      </w:r>
    </w:p>
    <w:p>
      <w:pPr>
        <w:spacing w:line="280" w:lineRule="exact" w:after="60"/>
      </w:pPr>
      <w:r>
        <w:rPr>
          <w:b w:val="0"/>
          <w:sz w:val="19"/>
        </w:rPr>
        <w:t>取三组有效温湿度计算的最高露点，露点余量 = 有效 PT100 均温 − 最高露点。余量越小，档位越高。</w:t>
      </w:r>
    </w:p>
    <w:p>
      <w:pPr>
        <w:spacing w:line="280" w:lineRule="exact" w:after="60"/>
      </w:pPr>
      <w:r>
        <w:rPr>
          <w:b w:val="0"/>
          <w:sz w:val="19"/>
        </w:rPr>
        <w:t>三级余量随附值为 3／2／1 ℃，回差 0.2 ℃；从关闭降至 2.8 ℃达到一级升档条件，一级退回关闭需升至 3.2 ℃，可用三级加热。外部均温高于 PT100 均温加温升上限（随附 5 ℃）时，计算关闭输出。</w:t>
      </w:r>
    </w:p>
    <w:p>
      <w:pPr>
        <w:pStyle w:val="Heading2"/>
        <w:spacing w:before="100" w:after="80"/>
      </w:pPr>
      <w:r>
        <w:t>共同核对</w:t>
      </w:r>
    </w:p>
    <w:p>
      <w:pPr>
        <w:pStyle w:val="ListBullet"/>
        <w:spacing w:line="280" w:lineRule="exact" w:after="60"/>
      </w:pPr>
      <w:r>
        <w:rPr>
          <w:b w:val="0"/>
          <w:sz w:val="19"/>
        </w:rPr>
        <w:t>三个加热器共用有效外部均温；固定目标分别设置，探头 A 不单独对应加热器 A。跟随 PT100 时，一路有效即可计算目标。</w:t>
      </w:r>
    </w:p>
    <w:p>
      <w:pPr>
        <w:pStyle w:val="ListBullet"/>
        <w:spacing w:line="280" w:lineRule="exact" w:after="60"/>
      </w:pPr>
      <w:r>
        <w:rPr>
          <w:b w:val="0"/>
          <w:sz w:val="19"/>
        </w:rPr>
        <w:t>自动一级、二级的单路顺序按设置，三级两路同开；手动仍按第一路、第二路、两路同开的顺序循环。</w:t>
      </w:r>
    </w:p>
    <w:p>
      <w:pPr>
        <w:pStyle w:val="ListBullet"/>
        <w:spacing w:line="280" w:lineRule="exact" w:after="60"/>
      </w:pPr>
      <w:r>
        <w:rPr>
          <w:b w:val="0"/>
          <w:sz w:val="19"/>
        </w:rPr>
        <w:t>保存后温差、PID 输出点为升序，露点余量为降序；回差不超过相邻边界最小间距的一半，复核计算说明。</w:t>
      </w:r>
    </w:p>
    <w:p>
      <w:pPr>
        <w:spacing w:line="280" w:lineRule="exact" w:after="60"/>
      </w:pPr>
      <w:r>
        <w:rPr>
          <w:b w:val="0"/>
          <w:sz w:val="19"/>
        </w:rPr>
      </w:r>
      <w:r>
        <w:rPr>
          <w:b/>
          <w:sz w:val="19"/>
        </w:rPr>
        <w:t>注意</w:t>
      </w:r>
      <w:r>
        <w:rPr>
          <w:b w:val="0"/>
          <w:sz w:val="19"/>
        </w:rPr>
        <w:t xml:space="preserve">　输出受继电器间隔、通信和联锁限制。缺少当前模式所需有效测量时，本轮不下发新指令，不表示已关闭；停止自动、排查测量并核验负载。跟随 PT100 两路均无效，或防凝露缺少有效 PT100／露点数据，均属此情况。</w:t>
      </w:r>
    </w:p>
    <w:p>
      <w:pPr>
        <w:pStyle w:val="Heading1"/>
        <w:pageBreakBefore/>
      </w:pPr>
      <w:r>
        <w:rPr>
          <w:sz w:val="60"/>
        </w:rPr>
        <w:t xml:space="preserve">04  </w:t>
      </w:r>
      <w:r>
        <w:t>查看运行及停止加热</w:t>
      </w:r>
    </w:p>
    <w:p>
      <w:pPr/>
      <w:r>
        <w:rPr>
          <w:b w:val="0"/>
        </w:rPr>
        <w:t>子板手自控制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2995312"/>
            <wp:docPr id="6" name="Picture 6" descr="自动运行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mati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　A、B、C 可处于不同档位。操作后以档位回读和实际负载确认状态。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确认在线状态正常。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查看温湿度、PT100 及最后更新时间持续更新。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核对 A、B、C 目标与档位回读，查看底部执行提示。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停止时点击“停止自动”，确认三个档位关闭、工作灯熄灭，并核验负载。</w:t>
      </w:r>
    </w:p>
    <w:p>
      <w:pPr/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外部电压是高压检测输入，不是加热器供电电压。</w:t>
      </w:r>
    </w:p>
    <w:p>
      <w:pPr>
        <w:pStyle w:val="Heading2"/>
      </w:pPr>
      <w:r>
        <w:t>运行规则</w:t>
      </w:r>
    </w:p>
    <w:p>
      <w:pPr/>
      <w:r>
        <w:rPr>
          <w:b w:val="0"/>
        </w:rPr>
        <w:t>启动自动先关闭三个手动档位，再执行温控。自动期间三个加热器由程序控制，手动操作禁用。</w:t>
      </w:r>
    </w:p>
    <w:p>
      <w:pPr/>
      <w:r>
        <w:rPr>
          <w:b w:val="0"/>
        </w:rPr>
        <w:t>切换页面不停止自动温控。程序重启后，需确认设备状态并重新启动自动。</w:t>
      </w:r>
    </w:p>
    <w:p>
      <w:pPr/>
      <w:r>
        <w:rPr>
          <w:b w:val="0"/>
        </w:rPr>
        <w:t>工作灯、状态灯、报警及操作提示蜂鸣器只读。扩展闪烁灯与扩展蜂鸣器仅显示回读，尚无自动联动；备用扩展输出可手动操作。</w:t>
      </w:r>
    </w:p>
    <w:p>
      <w:pPr>
        <w:pStyle w:val="Heading1"/>
        <w:pageBreakBefore/>
      </w:pPr>
      <w:r>
        <w:rPr>
          <w:sz w:val="60"/>
        </w:rPr>
        <w:t xml:space="preserve">05  </w:t>
      </w:r>
      <w:r>
        <w:t>报警处理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766800"/>
            <wp:docPr id="7" name="Picture 7" descr="报警处理顺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76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　记录来源，排除故障，确认关闭，再恢复运行。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533"/>
        <w:gridCol w:w="3450"/>
        <w:gridCol w:w="3067"/>
      </w:tblGrid>
      <w:tr>
        <w:trPr>
          <w:cantSplit/>
          <w:tblHeader/>
        </w:trPr>
        <w:tc>
          <w:tcPr>
            <w:tcW w:type="dxa" w:w="1533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提示</w:t>
            </w:r>
          </w:p>
        </w:tc>
        <w:tc>
          <w:tcPr>
            <w:tcW w:type="dxa" w:w="3450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处理范围</w:t>
            </w:r>
          </w:p>
        </w:tc>
        <w:tc>
          <w:tcPr>
            <w:tcW w:type="dxa" w:w="3067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现场操作</w:t>
            </w:r>
          </w:p>
        </w:tc>
      </w:tr>
      <w:tr>
        <w:trPr>
          <w:cantSplit/>
        </w:trPr>
        <w:tc>
          <w:tcPr>
            <w:tcW w:type="dxa" w:w="1533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高压报警</w:t>
            </w:r>
          </w:p>
        </w:tc>
        <w:tc>
          <w:tcPr>
            <w:tcW w:type="dxa" w:w="3450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停止自动；发送全部加热关闭指令，驱动声光告警</w:t>
            </w:r>
          </w:p>
        </w:tc>
        <w:tc>
          <w:tcPr>
            <w:tcW w:type="dxa" w:w="306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记录报警提示，排查高压来源</w:t>
            </w:r>
          </w:p>
        </w:tc>
      </w:tr>
      <w:tr>
        <w:trPr>
          <w:cantSplit/>
        </w:trPr>
        <w:tc>
          <w:tcPr>
            <w:tcW w:type="dxa" w:w="1533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温湿度自检异常</w:t>
            </w:r>
          </w:p>
        </w:tc>
        <w:tc>
          <w:tcPr>
            <w:tcW w:type="dxa" w:w="3450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提示异常，不停止整体自动，不直接禁止手动</w:t>
            </w:r>
          </w:p>
        </w:tc>
        <w:tc>
          <w:tcPr>
            <w:tcW w:type="dxa" w:w="306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停止自动温控，检查探头与接线</w:t>
            </w:r>
          </w:p>
        </w:tc>
      </w:tr>
      <w:tr>
        <w:trPr>
          <w:cantSplit/>
        </w:trPr>
        <w:tc>
          <w:tcPr>
            <w:tcW w:type="dxa" w:w="1533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通信异常或离线</w:t>
            </w:r>
          </w:p>
        </w:tc>
        <w:tc>
          <w:tcPr>
            <w:tcW w:type="dxa" w:w="3450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关闭指令可能无法到达</w:t>
            </w:r>
          </w:p>
        </w:tc>
        <w:tc>
          <w:tcPr>
            <w:tcW w:type="dxa" w:w="306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检查供电与 RS485，必要时按现场断电规程处理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恢复运行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记录提示文字、报警端口、ID 和发生时间。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排除现场原因。不得用修改阈值代替故障排除。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确认检测恢复、告警解除，加热回路实际关闭。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确认设备在线后，点击“启动自动”。</w:t>
      </w:r>
    </w:p>
    <w:p>
      <w:pPr/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高压恢复后，自动不会自行重启。高压期间禁止重扫及相关手动加热。</w:t>
      </w:r>
    </w:p>
    <w:p>
      <w:pPr>
        <w:pStyle w:val="Heading2"/>
      </w:pPr>
      <w:r>
        <w:t>自检与时间异常</w:t>
      </w:r>
    </w:p>
    <w:p>
      <w:pPr/>
      <w:r>
        <w:rPr>
          <w:b w:val="0"/>
        </w:rPr>
        <w:t>温湿度自检最多等待 60 秒，取得完整读数可提前正常。温度超出 -40～85 ℃或湿度超出 0～100 %RH 时报警，连续 3 次正常后恢复。自动计算排除超量程温度；无有效温度时跳过本轮。</w:t>
      </w:r>
    </w:p>
    <w:p>
      <w:pPr/>
      <w:r>
        <w:rPr>
          <w:b w:val="0"/>
        </w:rPr>
        <w:t>串口恢复后，确认在线、更新时间、档位回读和负载。“系统时间异常”表示启动时间比上次记录早超过 1 分钟。校正系统时间后重启程序；每次断电丢时间时检查 RTC 电池。异常期间仍采集，记录时间可能错误。</w:t>
      </w:r>
    </w:p>
    <w:p>
      <w:pPr>
        <w:pStyle w:val="Heading1"/>
        <w:pageBreakBefore/>
      </w:pPr>
      <w:r>
        <w:rPr>
          <w:sz w:val="60"/>
        </w:rPr>
        <w:t xml:space="preserve">06  </w:t>
      </w:r>
      <w:r>
        <w:t>加热器输出与备用接口配置</w:t>
      </w:r>
    </w:p>
    <w:p>
      <w:pPr/>
      <w:r>
        <w:rPr>
          <w:b w:val="0"/>
        </w:rPr>
        <w:t>高级设置 → 接口配置 → 加热器输出配置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2995312"/>
            <wp:docPr id="8" name="Picture 8" descr="加热器输出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　输出组指定每个加热器使用的两路继电器。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在允许停机、负载安全时，核对 A、B、C 接线。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选择各自输出组：1 组为 OT1+OT2，依次至 5 组的 OT9+OT10；没有对应加热器时选“未配置加热器”。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确认三个输出组不重复，点击“保存并应用”。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核对旧、新回路关闭及工作灯熄灭，再手动试运行各档位。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5</w:t>
        <w:tab/>
      </w:r>
      <w:r>
        <w:rPr>
          <w:b w:val="0"/>
        </w:rPr>
        <w:t>按实际功率核对单路档位顺序，恢复自动。</w:t>
      </w:r>
    </w:p>
    <w:p>
      <w:pPr/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更改输出组会停止全部自动，并向旧、新加热回路发送关闭指令。重复输出组不能保存。</w:t>
      </w:r>
    </w:p>
    <w:p>
      <w:pPr>
        <w:pStyle w:val="Heading2"/>
        <w:pageBreakBefore/>
      </w:pPr>
      <w:r>
        <w:t>备用输出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2995312"/>
            <wp:docPr id="9" name="Picture 9" descr="备用接口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r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8　占用回路显示加热器用途；未占用回路按实际需求配置。</w:t>
      </w:r>
    </w:p>
    <w:p>
      <w:pPr/>
      <w:r>
        <w:rPr>
          <w:b w:val="0"/>
        </w:rPr>
        <w:t>加热器占用的回路显示实际用途和占用说明，不提供备用模式下拉设置。未占用的可配置回路可设安全关闭、手动控制、跟随自动、跟随报警或跟随 OT3 或跟随 OT4。OT7、OT8 还可选择“原状态指示”，分别用于自动运行绿灯、手动模式黄灯；此模式由程序控制，手动按钮只读。</w:t>
      </w:r>
    </w:p>
    <w:p>
      <w:pPr/>
      <w:r>
        <w:rPr>
          <w:b w:val="0"/>
        </w:rPr>
        <w:t>名称随用途变化；原状态灯回路被加热器占用后，以加热器用途为准。</w:t>
      </w:r>
    </w:p>
    <w:p>
      <w:pPr>
        <w:pStyle w:val="Heading1"/>
        <w:pageBreakBefore/>
      </w:pPr>
      <w:r>
        <w:rPr>
          <w:sz w:val="60"/>
        </w:rPr>
        <w:t xml:space="preserve">07  </w:t>
      </w:r>
      <w:r>
        <w:t>高压检测与继电器保护</w:t>
      </w:r>
    </w:p>
    <w:p>
      <w:pPr/>
      <w:r>
        <w:rPr>
          <w:b w:val="0"/>
        </w:rPr>
        <w:t>高级设置 → 安全保护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2995312"/>
            <wp:docPr id="10" name="Picture 10" descr="安全保护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9　检测类型与触发值按现场传感器设置。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根据传感器选择“模拟信号”或“数字信号”。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模拟信号填写电压阈值；数字信号选择触发值 0 或 1。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设置继电器最短切换间隔，点击“保存并应用”。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按验收规程核验读数、报警来源和实际关断，再投入运行。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581"/>
        <w:gridCol w:w="3258"/>
        <w:gridCol w:w="3211"/>
      </w:tblGrid>
      <w:tr>
        <w:trPr>
          <w:cantSplit/>
          <w:tblHeader/>
        </w:trPr>
        <w:tc>
          <w:tcPr>
            <w:tcW w:type="dxa" w:w="1581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类型</w:t>
            </w:r>
          </w:p>
        </w:tc>
        <w:tc>
          <w:tcPr>
            <w:tcW w:type="dxa" w:w="3258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触发条件</w:t>
            </w:r>
          </w:p>
        </w:tc>
        <w:tc>
          <w:tcPr>
            <w:tcW w:type="dxa" w:w="3211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核对项</w:t>
            </w:r>
          </w:p>
        </w:tc>
      </w:tr>
      <w:tr>
        <w:trPr>
          <w:cantSplit/>
        </w:trPr>
        <w:tc>
          <w:tcPr>
            <w:tcW w:type="dxa" w:w="1581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模拟信号</w:t>
            </w:r>
          </w:p>
        </w:tc>
        <w:tc>
          <w:tcPr>
            <w:tcW w:type="dxa" w:w="325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电压严格高于阈值；等于不触发</w:t>
            </w:r>
          </w:p>
        </w:tc>
        <w:tc>
          <w:tcPr>
            <w:tcW w:type="dxa" w:w="3211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传感器标定、读数及阈值</w:t>
            </w:r>
          </w:p>
        </w:tc>
      </w:tr>
      <w:tr>
        <w:trPr>
          <w:cantSplit/>
        </w:trPr>
        <w:tc>
          <w:tcPr>
            <w:tcW w:type="dxa" w:w="1581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数字信号</w:t>
            </w:r>
          </w:p>
        </w:tc>
        <w:tc>
          <w:tcPr>
            <w:tcW w:type="dxa" w:w="3258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输入等于所选的 0 或 1</w:t>
            </w:r>
          </w:p>
        </w:tc>
        <w:tc>
          <w:tcPr>
            <w:tcW w:type="dxa" w:w="3211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正常与报警电平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/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随附值为模拟量、高于 5.0 V 触发。该值不是通用安全阈值，须按现场核定。</w:t>
      </w:r>
    </w:p>
    <w:p>
      <w:pPr>
        <w:pStyle w:val="Heading2"/>
      </w:pPr>
      <w:r>
        <w:t>继电器间隔</w:t>
      </w:r>
    </w:p>
    <w:p>
      <w:pPr/>
      <w:r>
        <w:rPr>
          <w:b w:val="0"/>
        </w:rPr>
        <w:t>最短间隔可设 1～3600 秒，随附值 10 秒，用于减少自动输出频繁切换。达到温控边界后，可能等待剩余间隔才切档。</w:t>
      </w:r>
    </w:p>
    <w:p>
      <w:pPr/>
      <w:r>
        <w:rPr>
          <w:b w:val="0"/>
        </w:rPr>
        <w:t>高压关闭指令不受此间隔延迟；实际关断仍须通信成功并由子板执行。</w:t>
      </w:r>
    </w:p>
    <w:p>
      <w:pPr>
        <w:pStyle w:val="Heading1"/>
        <w:pageBreakBefore/>
      </w:pPr>
      <w:r>
        <w:rPr>
          <w:sz w:val="60"/>
        </w:rPr>
        <w:t xml:space="preserve">08  </w:t>
      </w:r>
      <w:r>
        <w:t>显示与声音</w:t>
      </w:r>
    </w:p>
    <w:p>
      <w:pPr>
        <w:spacing w:after="60"/>
      </w:pPr>
      <w:r>
        <w:rPr>
          <w:b w:val="0"/>
        </w:rPr>
        <w:t>高级设置 → 显示与声音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4536000" cy="2657812"/>
            <wp:docPr id="11" name="Picture 11" descr="显示与声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65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t>图 10　设置亮度、空闲降亮时间和提示音。</w:t>
      </w:r>
    </w:p>
    <w:p>
      <w:pPr>
        <w:tabs>
          <w:tab w:pos="482" w:val="left"/>
        </w:tabs>
        <w:spacing w:line="330" w:lineRule="exact" w:after="6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选择标准、低光、强光、石墨灰或鸿蒙主题。</w:t>
      </w:r>
    </w:p>
    <w:p>
      <w:pPr>
        <w:tabs>
          <w:tab w:pos="482" w:val="left"/>
        </w:tabs>
        <w:spacing w:line="330" w:lineRule="exact" w:after="6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拖动亮度滑条，范围 5～100%。</w:t>
      </w:r>
    </w:p>
    <w:p>
      <w:pPr>
        <w:tabs>
          <w:tab w:pos="482" w:val="left"/>
        </w:tabs>
        <w:spacing w:line="330" w:lineRule="exact" w:after="6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设置降亮等待时间和降亮后亮度。</w:t>
      </w:r>
    </w:p>
    <w:p>
      <w:pPr>
        <w:tabs>
          <w:tab w:pos="482" w:val="left"/>
        </w:tabs>
        <w:spacing w:line="330" w:lineRule="exact" w:after="6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选择是否开启提示音，点击“保存并应用”。</w:t>
      </w:r>
    </w:p>
    <w:p>
      <w:pPr>
        <w:tabs>
          <w:tab w:pos="482" w:val="left"/>
        </w:tabs>
        <w:spacing w:line="330" w:lineRule="exact" w:after="60"/>
        <w:ind w:left="482" w:hanging="482"/>
      </w:pPr>
      <w:r>
        <w:rPr>
          <w:b/>
          <w:sz w:val="30"/>
        </w:rPr>
        <w:t>5</w:t>
        <w:tab/>
      </w:r>
      <w:r>
        <w:rPr>
          <w:b w:val="0"/>
        </w:rPr>
        <w:t>等待降亮后，触摸或按键，确认背光恢复。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0" w:type="dxa"/>
          <w:bottom w:w="70" w:type="dxa"/>
          <w:left w:w="110" w:type="dxa"/>
          <w:right w:w="110" w:type="dxa"/>
        </w:tblCellMar>
      </w:tblPr>
      <w:tblGrid>
        <w:gridCol w:w="1917"/>
        <w:gridCol w:w="6134"/>
      </w:tblGrid>
      <w:tr>
        <w:trPr>
          <w:cantSplit/>
          <w:tblHeader/>
        </w:trPr>
        <w:tc>
          <w:tcPr>
            <w:tcW w:type="dxa" w:w="1917"/>
            <w:vAlign w:val="center"/>
            <w:shd w:fill="EEEEEE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设置</w:t>
            </w:r>
          </w:p>
        </w:tc>
        <w:tc>
          <w:tcPr>
            <w:tcW w:type="dxa" w:w="6134"/>
            <w:vAlign w:val="center"/>
            <w:shd w:fill="EEEEEE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降亮等待 0 分钟</w:t>
            </w:r>
          </w:p>
        </w:tc>
        <w:tc>
          <w:tcPr>
            <w:tcW w:type="dxa" w:w="6134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关闭自动降亮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降亮后亮度 0%</w:t>
            </w:r>
          </w:p>
        </w:tc>
        <w:tc>
          <w:tcPr>
            <w:tcW w:type="dxa" w:w="6134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空闲后关闭背光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随附设置</w:t>
            </w:r>
          </w:p>
        </w:tc>
        <w:tc>
          <w:tcPr>
            <w:tcW w:type="dxa" w:w="6134"/>
            <w:vAlign w:val="center"/>
            <w:shd w:fill="FFFFFF"/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空闲 10 分钟后降至 0%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spacing w:after="60"/>
      </w:pPr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自动降亮只改变背光，温控和记录继续运行。屏幕变暗时，先触摸或按键唤醒。亮度调节须设备支持。</w:t>
      </w:r>
    </w:p>
    <w:p>
      <w:pPr>
        <w:spacing w:after="60"/>
      </w:pPr>
      <w:r>
        <w:rPr>
          <w:b w:val="0"/>
        </w:rPr>
        <w:t>主题立即生效并单独保存；未保存离开时选择“不保存”，亮度预览恢复，主题保留。报警和运行含义不随主题改变。</w:t>
      </w:r>
    </w:p>
    <w:p>
      <w:pPr>
        <w:spacing w:after="60"/>
      </w:pPr>
      <w:r>
        <w:rPr>
          <w:b w:val="0"/>
        </w:rPr>
        <w:t>提示音不表示指令执行成功。只读指示和逐路回路操作不额外触发硬件提示音。</w:t>
      </w:r>
    </w:p>
    <w:p>
      <w:pPr>
        <w:pStyle w:val="Heading1"/>
        <w:pageBreakBefore/>
      </w:pPr>
      <w:r>
        <w:rPr>
          <w:sz w:val="60"/>
        </w:rPr>
        <w:t xml:space="preserve">09  </w:t>
      </w:r>
      <w:r>
        <w:t>历史查询</w:t>
      </w:r>
    </w:p>
    <w:p>
      <w:pPr/>
      <w:r>
        <w:rPr>
          <w:b w:val="0"/>
        </w:rPr>
        <w:t>数据浏览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112000" cy="2995312"/>
            <wp:docPr id="12" name="Picture 12" descr="历史数据查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11　上方设置日期，下方滚动条切换时段。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选择开始日期、结束日期，点击“查询”。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查看平均温度、平均湿度及 PT100 均温曲线；点击曲线查看时间点详情。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左右拖动曲线或底部滚动条，查看其他时段。</w:t>
      </w:r>
    </w:p>
    <w:p>
      <w:pPr>
        <w:tabs>
          <w:tab w:pos="482" w:val="left"/>
        </w:tabs>
        <w:spacing w:line="360" w:lineRule="exact" w:after="18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点击“仅看表格”，查看时间、子板、平均温湿度及高压状态。</w:t>
      </w:r>
    </w:p>
    <w:p>
      <w:pPr>
        <w:pStyle w:val="Heading2"/>
      </w:pPr>
      <w:r>
        <w:t>数据显示规则</w:t>
      </w:r>
    </w:p>
    <w:p>
      <w:pPr>
        <w:pStyle w:val="ListBullet"/>
      </w:pPr>
      <w:r>
        <w:rPr>
          <w:b w:val="0"/>
        </w:rPr>
        <w:t>曲线显示本设备在查询日期内的测量趋势。</w:t>
      </w:r>
    </w:p>
    <w:p>
      <w:pPr>
        <w:pStyle w:val="ListBullet"/>
      </w:pPr>
      <w:r>
        <w:rPr>
          <w:b w:val="0"/>
        </w:rPr>
        <w:t>表格保留单板明细，最多显示最新 500 条；曲线抽样显示。界面显示数量不代表全部记录数量。</w:t>
      </w:r>
    </w:p>
    <w:p>
      <w:pPr>
        <w:pStyle w:val="ListBullet"/>
      </w:pPr>
      <w:r>
        <w:rPr>
          <w:b w:val="0"/>
        </w:rPr>
        <w:t>查询后跟随最新；拖回旧数据暂停，拖到最右恢复。出现追加上限提示时，重新查询。</w:t>
      </w:r>
    </w:p>
    <w:p>
      <w:pPr/>
      <w:r>
        <w:rPr>
          <w:b w:val="0"/>
        </w:rPr>
      </w:r>
      <w:r>
        <w:rPr>
          <w:b/>
        </w:rPr>
        <w:t>备份</w:t>
      </w:r>
      <w:r>
        <w:rPr>
          <w:b w:val="0"/>
        </w:rPr>
        <w:t xml:space="preserve">　界面无独立导出按钮，由维护人员复制实际日志目录。</w:t>
      </w:r>
    </w:p>
    <w:p>
      <w:pPr/>
      <w:r>
        <w:rPr>
          <w:b w:val="0"/>
        </w:rPr>
        <w:t>查询为空时，核对日期、时间和日志位置；再检查是否取得有效数据并达到记录周期。</w:t>
      </w:r>
    </w:p>
    <w:p>
      <w:pPr>
        <w:pStyle w:val="Heading1"/>
        <w:pageBreakBefore/>
      </w:pPr>
      <w:r>
        <w:rPr>
          <w:sz w:val="60"/>
        </w:rPr>
        <w:t xml:space="preserve">10  </w:t>
      </w:r>
      <w:r>
        <w:t>数据记录与日志清理</w:t>
      </w:r>
    </w:p>
    <w:p>
      <w:pPr>
        <w:spacing w:after="60"/>
      </w:pPr>
      <w:r>
        <w:rPr>
          <w:b w:val="0"/>
        </w:rPr>
        <w:t>高级设置 → 数据存储</w:t>
      </w:r>
    </w:p>
    <w:p>
      <w:pPr>
        <w:keepNext/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4536000" cy="2657812"/>
            <wp:docPr id="13" name="Picture 13" descr="数据存储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657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t>图 12　先设置记录参数；清理时核对截止日期和删除预览。</w:t>
      </w:r>
    </w:p>
    <w:p>
      <w:pPr>
        <w:pStyle w:val="Heading2"/>
      </w:pPr>
      <w:r>
        <w:t>设置记录</w:t>
      </w:r>
    </w:p>
    <w:p>
      <w:pPr>
        <w:tabs>
          <w:tab w:pos="482" w:val="left"/>
        </w:tabs>
        <w:spacing w:line="330" w:lineRule="exact" w:after="6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设置轮询周期及记录周期，各为 0.1～3600 秒。</w:t>
      </w:r>
    </w:p>
    <w:p>
      <w:pPr>
        <w:tabs>
          <w:tab w:pos="482" w:val="left"/>
        </w:tabs>
        <w:spacing w:line="330" w:lineRule="exact" w:after="6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设置日志容量上限，范围 1～100 GB，点击“保存并应用”。</w:t>
      </w:r>
    </w:p>
    <w:p>
      <w:pPr>
        <w:tabs>
          <w:tab w:pos="482" w:val="left"/>
        </w:tabs>
        <w:spacing w:line="330" w:lineRule="exact" w:after="6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点击“刷新存储信息”，查看空间、文件数量及日期范围。</w:t>
      </w:r>
    </w:p>
    <w:p>
      <w:pPr>
        <w:spacing w:after="60"/>
      </w:pPr>
      <w:r>
        <w:rPr>
          <w:b w:val="0"/>
        </w:rPr>
        <w:t>轮询决定测量及控制更新，记录决定写入频率。随附值为 0.1 秒／1 秒／12 GB。加快记录不能提高实际采集频率，通信超时会影响更新。超出容量后，从最旧文件开始清理。</w:t>
      </w:r>
    </w:p>
    <w:p>
      <w:pPr>
        <w:pStyle w:val="Heading2"/>
      </w:pPr>
      <w:r>
        <w:t>手动清理</w:t>
      </w:r>
    </w:p>
    <w:p>
      <w:pPr>
        <w:tabs>
          <w:tab w:pos="482" w:val="left"/>
        </w:tabs>
        <w:spacing w:line="330" w:lineRule="exact" w:after="60"/>
        <w:ind w:left="482" w:hanging="482"/>
      </w:pPr>
      <w:r>
        <w:rPr>
          <w:b/>
          <w:sz w:val="30"/>
        </w:rPr>
        <w:t>1</w:t>
        <w:tab/>
      </w:r>
      <w:r>
        <w:rPr>
          <w:b w:val="0"/>
        </w:rPr>
        <w:t>备份需保留的文件，确认设备日期正确。</w:t>
      </w:r>
    </w:p>
    <w:p>
      <w:pPr>
        <w:tabs>
          <w:tab w:pos="482" w:val="left"/>
        </w:tabs>
        <w:spacing w:line="330" w:lineRule="exact" w:after="60"/>
        <w:ind w:left="482" w:hanging="482"/>
      </w:pPr>
      <w:r>
        <w:rPr>
          <w:b/>
          <w:sz w:val="30"/>
        </w:rPr>
        <w:t>2</w:t>
        <w:tab/>
      </w:r>
      <w:r>
        <w:rPr>
          <w:b w:val="0"/>
        </w:rPr>
        <w:t>设置“删除超过”的数量及天、月或年单位，核对截止日期。</w:t>
      </w:r>
    </w:p>
    <w:p>
      <w:pPr>
        <w:tabs>
          <w:tab w:pos="482" w:val="left"/>
        </w:tabs>
        <w:spacing w:line="330" w:lineRule="exact" w:after="60"/>
        <w:ind w:left="482" w:hanging="482"/>
      </w:pPr>
      <w:r>
        <w:rPr>
          <w:b/>
          <w:sz w:val="30"/>
        </w:rPr>
        <w:t>3</w:t>
        <w:tab/>
      </w:r>
      <w:r>
        <w:rPr>
          <w:b w:val="0"/>
        </w:rPr>
        <w:t>点击“预览并删除”，核对文件数量和大小，再确认。</w:t>
      </w:r>
    </w:p>
    <w:p>
      <w:pPr>
        <w:tabs>
          <w:tab w:pos="482" w:val="left"/>
        </w:tabs>
        <w:spacing w:line="330" w:lineRule="exact" w:after="60"/>
        <w:ind w:left="482" w:hanging="482"/>
      </w:pPr>
      <w:r>
        <w:rPr>
          <w:b/>
          <w:sz w:val="30"/>
        </w:rPr>
        <w:t>4</w:t>
        <w:tab/>
      </w:r>
      <w:r>
        <w:rPr>
          <w:b w:val="0"/>
        </w:rPr>
        <w:t>刷新存储信息，检查文件数量及日期范围。</w:t>
      </w:r>
    </w:p>
    <w:p>
      <w:pPr>
        <w:spacing w:after="60"/>
      </w:pPr>
      <w:r>
        <w:rPr>
          <w:b w:val="0"/>
        </w:rPr>
      </w:r>
      <w:r>
        <w:rPr>
          <w:b/>
        </w:rPr>
        <w:t>注意</w:t>
      </w:r>
      <w:r>
        <w:rPr>
          <w:b w:val="0"/>
        </w:rPr>
        <w:t xml:space="preserve">　删除无法在软件内撤销。只删除截止日期之前的合法日期文件，截止日期当天保留。例如 2026 年 10 月 5 日清理超过 30 天的记录，删除 9 月 5 日之前的文件。</w:t>
      </w:r>
    </w:p>
    <w:p>
      <w:pPr>
        <w:spacing w:after="60"/>
      </w:pPr>
      <w:r>
        <w:rPr>
          <w:b w:val="0"/>
        </w:rPr>
        <w:t>日志为 YYYY-MM-DD.csv，随附目录 data/logs，以实际部署为准。记录子板身份、三路温湿度、两路 PT100、电压及 OT1～OT6，不含全部灯状态和参数。</w:t>
      </w:r>
    </w:p>
    <w:p>
      <w:pPr>
        <w:pStyle w:val="Heading1"/>
        <w:pageBreakBefore/>
      </w:pPr>
      <w:r>
        <w:rPr>
          <w:sz w:val="60"/>
        </w:rPr>
        <w:t xml:space="preserve">11  </w:t>
      </w:r>
      <w:r>
        <w:t>故障排查与交接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917"/>
        <w:gridCol w:w="6134"/>
      </w:tblGrid>
      <w:tr>
        <w:trPr>
          <w:cantSplit/>
          <w:tblHeader/>
        </w:trPr>
        <w:tc>
          <w:tcPr>
            <w:tcW w:type="dxa" w:w="1917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现象</w:t>
            </w:r>
          </w:p>
        </w:tc>
        <w:tc>
          <w:tcPr>
            <w:tcW w:type="dxa" w:w="6134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检查与处理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未找到子板或离线</w:t>
            </w:r>
          </w:p>
        </w:tc>
        <w:tc>
          <w:tcPr>
            <w:tcW w:type="dxa" w:w="613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查供电、线序、端口和地址。恢复后确认读数持续更新；必要时停止自动后重新扫描，再恢复运行。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自动运行但不加热</w:t>
            </w:r>
          </w:p>
        </w:tc>
        <w:tc>
          <w:tcPr>
            <w:tcW w:type="dxa" w:w="613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查在线、联锁、测量有效性及模式输出条件。核对计算说明和继电器间隔；写入失败时检查通信。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实体按键不切档</w:t>
            </w:r>
          </w:p>
        </w:tc>
        <w:tc>
          <w:tcPr>
            <w:tcW w:type="dxa" w:w="613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查按键接线及自动／联锁状态；配置由维护人员核对。在手动下按下并释放，核对输出组和回读。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历史为空或不完整</w:t>
            </w:r>
          </w:p>
        </w:tc>
        <w:tc>
          <w:tcPr>
            <w:tcW w:type="dxa" w:w="613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查日期、时间、日志目录及清理情况。表格只显示最新 500 条。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设置未保留</w:t>
            </w:r>
          </w:p>
        </w:tc>
        <w:tc>
          <w:tcPr>
            <w:tcW w:type="dxa" w:w="613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查保存是否成功，离开时是否选“不保存”。保存失败时检查目录权限和可用空间。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屏幕变暗或熄灭</w:t>
            </w:r>
          </w:p>
        </w:tc>
        <w:tc>
          <w:tcPr>
            <w:tcW w:type="dxa" w:w="613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先触摸或按键唤醒，再查运行状态及自动降亮设置。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>
        <w:pStyle w:val="Heading2"/>
      </w:pPr>
      <w:r>
        <w:t>随附配置</w:t>
      </w:r>
    </w:p>
    <w:p>
      <w:pPr/>
      <w:r>
        <w:rPr>
          <w:b w:val="0"/>
        </w:rPr>
        <w:t>设备已保存设置以界面为准；高压阈值和接线须现场验收。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1917"/>
        <w:gridCol w:w="6134"/>
      </w:tblGrid>
      <w:tr>
        <w:trPr>
          <w:cantSplit/>
          <w:tblHeader/>
        </w:trPr>
        <w:tc>
          <w:tcPr>
            <w:tcW w:type="dxa" w:w="1917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6134"/>
            <w:vAlign w:val="center"/>
            <w:shd w:fill="EEEEEE"/>
          </w:tcPr>
          <w:p>
            <w:pPr>
              <w:spacing w:after="0" w:line="280" w:lineRule="exact"/>
            </w:pPr>
            <w:r>
              <w:rPr>
                <w:b/>
                <w:sz w:val="19"/>
              </w:rPr>
              <w:t>随附值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模式／目标来源</w:t>
            </w:r>
          </w:p>
        </w:tc>
        <w:tc>
          <w:tcPr>
            <w:tcW w:type="dxa" w:w="613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PID 三档输出／固定温度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A／B／C 目标</w:t>
            </w:r>
          </w:p>
        </w:tc>
        <w:tc>
          <w:tcPr>
            <w:tcW w:type="dxa" w:w="613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30／25／28 ℃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A／B／C 输出组</w:t>
            </w:r>
          </w:p>
        </w:tc>
        <w:tc>
          <w:tcPr>
            <w:tcW w:type="dxa" w:w="613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1／2／3，即第 1、2／3、4／5、6 路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高压检测</w:t>
            </w:r>
          </w:p>
        </w:tc>
        <w:tc>
          <w:tcPr>
            <w:tcW w:type="dxa" w:w="613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模拟量高于 5.0 V 触发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轮询／记录／继电器间隔</w:t>
            </w:r>
          </w:p>
        </w:tc>
        <w:tc>
          <w:tcPr>
            <w:tcW w:type="dxa" w:w="613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0.1 秒／1 秒／10 秒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日志上限</w:t>
            </w:r>
          </w:p>
        </w:tc>
        <w:tc>
          <w:tcPr>
            <w:tcW w:type="dxa" w:w="613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12 GB</w:t>
            </w:r>
          </w:p>
        </w:tc>
      </w:tr>
      <w:tr>
        <w:trPr>
          <w:cantSplit/>
        </w:trPr>
        <w:tc>
          <w:tcPr>
            <w:tcW w:type="dxa" w:w="1917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显示与声音</w:t>
            </w:r>
          </w:p>
        </w:tc>
        <w:tc>
          <w:tcPr>
            <w:tcW w:type="dxa" w:w="6134"/>
            <w:vAlign w:val="center"/>
            <w:shd w:fill="FFFFFF"/>
          </w:tcPr>
          <w:p>
            <w:pPr>
              <w:spacing w:after="0" w:line="280" w:lineRule="exact"/>
            </w:pPr>
            <w:r>
              <w:rPr>
                <w:b w:val="0"/>
                <w:sz w:val="19"/>
              </w:rPr>
              <w:t>石墨灰，亮度 100%；空闲 10 分钟降至 0%；提示音开启</w:t>
            </w:r>
          </w:p>
        </w:tc>
      </w:tr>
    </w:tbl>
    <w:p>
      <w:pPr>
        <w:spacing w:after="40" w:line="40" w:lineRule="exact"/>
      </w:pPr>
      <w:r>
        <w:rPr>
          <w:sz w:val="4"/>
        </w:rPr>
      </w:r>
    </w:p>
    <w:p>
      <w:pPr/>
      <w:r>
        <w:rPr>
          <w:b w:val="0"/>
        </w:rPr>
      </w:r>
      <w:r>
        <w:rPr>
          <w:b/>
        </w:rPr>
        <w:t>交接</w:t>
      </w:r>
      <w:r>
        <w:rPr>
          <w:b w:val="0"/>
        </w:rPr>
        <w:t xml:space="preserve">　核对子板端口与 ID、探头读数、加热器接线与功率顺序、联锁、目标、时间及日志位置。</w:t>
      </w:r>
    </w:p>
    <w:p>
      <w:pPr/>
      <w:r>
        <w:rPr>
          <w:b w:val="0"/>
        </w:rPr>
      </w:r>
      <w:r>
        <w:rPr>
          <w:b/>
        </w:rPr>
        <w:t>报修</w:t>
      </w:r>
      <w:r>
        <w:rPr>
          <w:b w:val="0"/>
        </w:rPr>
        <w:t xml:space="preserve">　提供端口、ID、发生时间、提示文字、控制模式和现场现象，保留相关时段日志。</w:t>
      </w:r>
    </w:p>
    <w:sectPr w:rsidR="00FC693F" w:rsidRPr="0006063C" w:rsidSect="00034616">
      <w:footerReference w:type="default" r:id="rId9"/>
      <w:pgSz w:w="9638" w:h="13606"/>
      <w:pgMar w:top="680" w:right="794" w:bottom="680" w:left="794" w:header="720" w:footer="283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40" w:line="320" w:lineRule="exact"/>
      <w:snapToGrid w:val="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20" w:line="740" w:lineRule="exact"/>
      <w:outlineLvl w:val="0"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360" w:lineRule="exact"/>
      <w:outlineLvl w:val="1"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Lines/>
      <w:widowControl/>
      <w:spacing w:after="320" w:line="780" w:lineRule="exact" w:before="400"/>
      <w:contextualSpacing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Lines/>
      <w:widowControl/>
      <w:numPr>
        <w:ilvl w:val="1"/>
      </w:numPr>
      <w:spacing w:after="140" w:line="260" w:lineRule="exact"/>
      <w:snapToGrid w:val="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555555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keepLines/>
      <w:widowControl/>
      <w:numPr>
        <w:numId w:val="1"/>
      </w:numPr>
      <w:spacing w:after="140" w:line="320" w:lineRule="exact"/>
      <w:ind w:left="255" w:hanging="198"/>
      <w:contextualSpacing/>
      <w:snapToGrid w:val="0"/>
    </w:pPr>
    <w:rPr>
      <w:rFonts w:ascii="Noto Sans CJK SC" w:hAnsi="Noto Sans CJK SC" w:eastAsia="Noto Sans CJK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widowControl/>
      <w:spacing w:line="260" w:lineRule="exact" w:after="140"/>
      <w:snapToGrid w:val="0"/>
    </w:pPr>
    <w:rPr>
      <w:rFonts w:ascii="Noto Sans CJK SC" w:hAnsi="Noto Sans CJK SC" w:eastAsia="Noto Sans CJK SC"/>
      <w:b/>
      <w:bCs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裕泰通加热器控制箱使用说明书</dc:title>
  <dc:subject>现场操作图解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