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PEP: 8</w:t>
      </w:r>
      <w:r>
        <w:br/>
      </w:r>
      <w:r>
        <w:t xml:space="preserve">Title: Style Guide for Python Code</w:t>
      </w:r>
      <w:r>
        <w:br/>
      </w:r>
      <w:r>
        <w:t xml:space="preserve">Author: Guido van Rossum</w:t>
      </w:r>
      <w:r>
        <w:t xml:space="preserve"> </w:t>
      </w:r>
      <w:hyperlink r:id="rId20">
        <w:r>
          <w:rPr>
            <w:rStyle w:val="Hyperlink"/>
          </w:rPr>
          <w:t xml:space="preserve">guido@python.org</w:t>
        </w:r>
      </w:hyperlink>
      <w:r>
        <w:t xml:space="preserve">,</w:t>
      </w:r>
      <w:r>
        <w:br/>
      </w:r>
      <w:r>
        <w:t xml:space="preserve"> </w:t>
      </w:r>
      <w:r>
        <w:t xml:space="preserve">Barry Warsaw</w:t>
      </w:r>
      <w:r>
        <w:t xml:space="preserve"> </w:t>
      </w:r>
      <w:hyperlink r:id="rId21">
        <w:r>
          <w:rPr>
            <w:rStyle w:val="Hyperlink"/>
          </w:rPr>
          <w:t xml:space="preserve">barry@python.org</w:t>
        </w:r>
      </w:hyperlink>
      <w:r>
        <w:t xml:space="preserve">,</w:t>
      </w:r>
      <w:r>
        <w:br/>
      </w:r>
      <w:r>
        <w:t xml:space="preserve"> </w:t>
      </w:r>
      <w:r>
        <w:t xml:space="preserve">Alyssa Coghlan</w:t>
      </w:r>
      <w:r>
        <w:t xml:space="preserve"> </w:t>
      </w:r>
      <w:hyperlink r:id="rId22">
        <w:r>
          <w:rPr>
            <w:rStyle w:val="Hyperlink"/>
          </w:rPr>
          <w:t xml:space="preserve">ncoghlan@gmail.com</w:t>
        </w:r>
      </w:hyperlink>
      <w:r>
        <w:br/>
      </w:r>
      <w:r>
        <w:t xml:space="preserve">Status: Active</w:t>
      </w:r>
      <w:r>
        <w:br/>
      </w:r>
      <w:r>
        <w:t xml:space="preserve">Type: Process</w:t>
      </w:r>
      <w:r>
        <w:br/>
      </w:r>
      <w:r>
        <w:t xml:space="preserve">Created: 05-Jul-2001</w:t>
      </w:r>
      <w:r>
        <w:br/>
      </w:r>
      <w:r>
        <w:t xml:space="preserve">Post-History: 05-Jul-2001, 01-Aug-2013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document gives coding conventions for the Python code comprising</w:t>
      </w:r>
      <w:r>
        <w:br/>
      </w:r>
      <w:r>
        <w:t xml:space="preserve">the standard library in the main Python distribution. Please see the</w:t>
      </w:r>
      <w:r>
        <w:br/>
      </w:r>
      <w:r>
        <w:t xml:space="preserve">companion informational PEP describing :pep:</w:t>
      </w:r>
      <w:r>
        <w:rPr>
          <w:rStyle w:val="VerbatimChar"/>
        </w:rPr>
        <w:t xml:space="preserve">style guidelines for the C code</w:t>
      </w:r>
      <w:r>
        <w:br/>
      </w:r>
      <w:r>
        <w:rPr>
          <w:rStyle w:val="VerbatimChar"/>
        </w:rPr>
        <w:t xml:space="preserve">in the C implementation of Python &lt;7&gt;</w:t>
      </w:r>
      <w:r>
        <w:t xml:space="preserve">.</w:t>
      </w:r>
    </w:p>
    <w:p>
      <w:pPr>
        <w:pStyle w:val="BodyText"/>
      </w:pPr>
      <w:r>
        <w:t xml:space="preserve">This document and :pep:</w:t>
      </w:r>
      <w:r>
        <w:rPr>
          <w:rStyle w:val="VerbatimChar"/>
        </w:rPr>
        <w:t xml:space="preserve">257</w:t>
      </w:r>
      <w:r>
        <w:t xml:space="preserve"> </w:t>
      </w:r>
      <w:r>
        <w:t xml:space="preserve">(Docstring Conventions) were adapted from</w:t>
      </w:r>
      <w:r>
        <w:br/>
      </w:r>
      <w:r>
        <w:t xml:space="preserve">Guido's original Python Style Guide essay, with some additions from</w:t>
      </w:r>
      <w:r>
        <w:br/>
      </w:r>
      <w:r>
        <w:t xml:space="preserve">Barry's style guide [2]_.</w:t>
      </w:r>
    </w:p>
    <w:p>
      <w:pPr>
        <w:pStyle w:val="BodyText"/>
      </w:pPr>
      <w:r>
        <w:t xml:space="preserve">This style guide evolves over time as additional conventions are</w:t>
      </w:r>
      <w:r>
        <w:br/>
      </w:r>
      <w:r>
        <w:t xml:space="preserve">identified and past conventions are rendered obsolete by changes in</w:t>
      </w:r>
      <w:r>
        <w:br/>
      </w:r>
      <w:r>
        <w:t xml:space="preserve">the language itself.</w:t>
      </w:r>
    </w:p>
    <w:p>
      <w:pPr>
        <w:pStyle w:val="BodyText"/>
      </w:pPr>
      <w:r>
        <w:t xml:space="preserve">Many projects have their own coding style guidelines. In the event of any</w:t>
      </w:r>
      <w:r>
        <w:br/>
      </w:r>
      <w:r>
        <w:t xml:space="preserve">conflicts, such project-specific guides take precedence for that project.</w:t>
      </w:r>
    </w:p>
    <w:bookmarkEnd w:id="23"/>
    <w:bookmarkStart w:id="24" w:name="X9785930ab5fc2c899c65031a2d354e9816e7401"/>
    <w:p>
      <w:pPr>
        <w:pStyle w:val="Heading1"/>
      </w:pPr>
      <w:r>
        <w:t xml:space="preserve">A Foolish Consistency is the Hobgoblin of Little Minds</w:t>
      </w:r>
    </w:p>
    <w:p>
      <w:pPr>
        <w:pStyle w:val="FirstParagraph"/>
      </w:pPr>
      <w:r>
        <w:t xml:space="preserve">One of Guido's key insights is that code is read much more often than</w:t>
      </w:r>
      <w:r>
        <w:br/>
      </w:r>
      <w:r>
        <w:t xml:space="preserve">it is written. The guidelines provided here are intended to improve</w:t>
      </w:r>
      <w:r>
        <w:br/>
      </w:r>
      <w:r>
        <w:t xml:space="preserve">the readability of code and make it consistent across the wide</w:t>
      </w:r>
      <w:r>
        <w:br/>
      </w:r>
      <w:r>
        <w:t xml:space="preserve">spectrum of Python code. As :pep:</w:t>
      </w:r>
      <w:r>
        <w:rPr>
          <w:rStyle w:val="VerbatimChar"/>
        </w:rPr>
        <w:t xml:space="preserve">20</w:t>
      </w:r>
      <w:r>
        <w:t xml:space="preserve"> </w:t>
      </w:r>
      <w:r>
        <w:t xml:space="preserve">says, "Readability counts".</w:t>
      </w:r>
    </w:p>
    <w:p>
      <w:pPr>
        <w:pStyle w:val="BodyText"/>
      </w:pPr>
      <w:r>
        <w:t xml:space="preserve">A style guide is about consistency. Consistency with this style guide</w:t>
      </w:r>
      <w:r>
        <w:br/>
      </w:r>
      <w:r>
        <w:t xml:space="preserve">is important. Consistency within a project is more important.</w:t>
      </w:r>
      <w:r>
        <w:br/>
      </w:r>
      <w:r>
        <w:t xml:space="preserve">Consistency within one module or function is the most important.</w:t>
      </w:r>
    </w:p>
    <w:p>
      <w:pPr>
        <w:pStyle w:val="BodyText"/>
      </w:pPr>
      <w:r>
        <w:t xml:space="preserve">However, know when to be inconsistent -- sometimes style guide</w:t>
      </w:r>
      <w:r>
        <w:br/>
      </w:r>
      <w:r>
        <w:t xml:space="preserve">recommendations just aren't applicable. When in doubt, use your best</w:t>
      </w:r>
      <w:r>
        <w:br/>
      </w:r>
      <w:r>
        <w:t xml:space="preserve">judgment. Look at other examples and decide what looks best. And</w:t>
      </w:r>
      <w:r>
        <w:br/>
      </w:r>
      <w:r>
        <w:t xml:space="preserve">don't hesitate to ask!</w:t>
      </w:r>
    </w:p>
    <w:p>
      <w:pPr>
        <w:pStyle w:val="BodyText"/>
      </w:pPr>
      <w:r>
        <w:t xml:space="preserve">In particular: do not break backwards compatibility just to comply with</w:t>
      </w:r>
      <w:r>
        <w:br/>
      </w:r>
      <w:r>
        <w:t xml:space="preserve">this PEP!</w:t>
      </w:r>
    </w:p>
    <w:p>
      <w:pPr>
        <w:pStyle w:val="BodyText"/>
      </w:pPr>
      <w:r>
        <w:t xml:space="preserve">Some other good reasons to ignore a particular guideline:</w:t>
      </w:r>
    </w:p>
    <w:p>
      <w:pPr>
        <w:numPr>
          <w:ilvl w:val="0"/>
          <w:numId w:val="1001"/>
        </w:numPr>
      </w:pPr>
      <w:r>
        <w:t xml:space="preserve">When applying the guideline would make the code less readable, even</w:t>
      </w:r>
      <w:r>
        <w:br/>
      </w:r>
      <w:r>
        <w:t xml:space="preserve">for someone who is used to reading code that follows this PEP.</w:t>
      </w:r>
    </w:p>
    <w:p>
      <w:pPr>
        <w:numPr>
          <w:ilvl w:val="0"/>
          <w:numId w:val="1001"/>
        </w:numPr>
      </w:pPr>
      <w:r>
        <w:t xml:space="preserve">To be consistent with surrounding code that also breaks it (maybe</w:t>
      </w:r>
      <w:r>
        <w:br/>
      </w:r>
      <w:r>
        <w:t xml:space="preserve">for historic reasons) -- although this is also an opportunity to</w:t>
      </w:r>
      <w:r>
        <w:br/>
      </w:r>
      <w:r>
        <w:t xml:space="preserve">clean up someone else's mess (in true XP style).</w:t>
      </w:r>
    </w:p>
    <w:p>
      <w:pPr>
        <w:numPr>
          <w:ilvl w:val="0"/>
          <w:numId w:val="1001"/>
        </w:numPr>
      </w:pPr>
      <w:r>
        <w:t xml:space="preserve">Because the code in question predates the introduction of the</w:t>
      </w:r>
      <w:r>
        <w:br/>
      </w:r>
      <w:r>
        <w:t xml:space="preserve">guideline and there is no other reason to be modifying that code.</w:t>
      </w:r>
    </w:p>
    <w:p>
      <w:pPr>
        <w:numPr>
          <w:ilvl w:val="0"/>
          <w:numId w:val="1001"/>
        </w:numPr>
      </w:pPr>
      <w:r>
        <w:t xml:space="preserve">When the code needs to remain compatible with older versions of</w:t>
      </w:r>
      <w:r>
        <w:br/>
      </w:r>
      <w:r>
        <w:t xml:space="preserve">Python that don't support the feature recommended by the style guide.</w:t>
      </w:r>
    </w:p>
    <w:bookmarkEnd w:id="24"/>
    <w:bookmarkStart w:id="26" w:name="code-lay-out"/>
    <w:p>
      <w:pPr>
        <w:pStyle w:val="Heading1"/>
      </w:pPr>
      <w:r>
        <w:t xml:space="preserve">Code Lay-out</w:t>
      </w:r>
    </w:p>
    <w:bookmarkStart w:id="25" w:name="indentation"/>
    <w:p>
      <w:pPr>
        <w:pStyle w:val="Heading2"/>
      </w:pPr>
      <w:r>
        <w:t xml:space="preserve">Indentation</w:t>
      </w:r>
    </w:p>
    <w:p>
      <w:pPr>
        <w:pStyle w:val="FirstParagraph"/>
      </w:pPr>
      <w:r>
        <w:t xml:space="preserve">Use 4 spaces per indentation level.</w:t>
      </w:r>
    </w:p>
    <w:p>
      <w:pPr>
        <w:pStyle w:val="BodyText"/>
      </w:pPr>
      <w:r>
        <w:t xml:space="preserve">Continuation lines should align wrapped elements either vertically</w:t>
      </w:r>
      <w:r>
        <w:br/>
      </w:r>
      <w:r>
        <w:t xml:space="preserve">using Python's implicit line joining inside parentheses, brackets and</w:t>
      </w:r>
      <w:r>
        <w:br/>
      </w:r>
      <w:r>
        <w:t xml:space="preserve">braces, or using a</w:t>
      </w:r>
      <w:r>
        <w:t xml:space="preserve"> </w:t>
      </w:r>
      <w:r>
        <w:rPr>
          <w:iCs/>
          <w:i/>
        </w:rPr>
        <w:t xml:space="preserve">hanging indent</w:t>
      </w:r>
      <w:r>
        <w:t xml:space="preserve"> </w:t>
      </w:r>
      <w:r>
        <w:t xml:space="preserve">[#fn-hi]_. When using a hanging</w:t>
      </w:r>
      <w:r>
        <w:br/>
      </w:r>
      <w:r>
        <w:t xml:space="preserve">indent the following should be considered; there should be no</w:t>
      </w:r>
      <w:r>
        <w:br/>
      </w:r>
      <w:r>
        <w:t xml:space="preserve">arguments on the first line and further indentation should be used to</w:t>
      </w:r>
      <w:r>
        <w:br/>
      </w:r>
      <w:r>
        <w:t xml:space="preserve">clearly distinguish itself as a continuation line:</w:t>
      </w:r>
    </w:p>
    <w:p>
      <w:pPr>
        <w:pStyle w:val="BodyText"/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bookmarkEnd w:id="25"/>
    <w:bookmarkEnd w:id="26"/>
    <w:bookmarkStart w:id="27" w:name="correct"/>
    <w:p>
      <w:pPr>
        <w:pStyle w:val="Heading1"/>
      </w:pPr>
      <w:r>
        <w:t xml:space="preserve">Correct:</w:t>
      </w:r>
    </w:p>
    <w:bookmarkEnd w:id="27"/>
    <w:bookmarkStart w:id="28" w:name="aligned-with-opening-delimiter"/>
    <w:p>
      <w:pPr>
        <w:pStyle w:val="Heading1"/>
      </w:pPr>
      <w:r>
        <w:t xml:space="preserve">Aligned with opening delimiter.</w:t>
      </w:r>
    </w:p>
    <w:p>
      <w:pPr>
        <w:pStyle w:val="FirstParagraph"/>
      </w:pPr>
      <w:r>
        <w:t xml:space="preserve"> </w:t>
      </w:r>
      <w:r>
        <w:t xml:space="preserve">foo = long_function_name(var_one, var_two,</w:t>
      </w:r>
      <w:r>
        <w:br/>
      </w:r>
      <w:r>
        <w:t xml:space="preserve"> </w:t>
      </w:r>
      <w:r>
        <w:t xml:space="preserve">var_three, var_four)</w:t>
      </w:r>
    </w:p>
    <w:bookmarkEnd w:id="28"/>
    <w:bookmarkStart w:id="29" w:name="Xfd7859dd611c5b3fec0f8f4cf4d8e0c4e3faebe"/>
    <w:p>
      <w:pPr>
        <w:pStyle w:val="Heading1"/>
      </w:pPr>
      <w:r>
        <w:t xml:space="preserve">Add 4 spaces (an extra level of indentation) to distinguish arguments from the rest.</w:t>
      </w:r>
    </w:p>
    <w:p>
      <w:pPr>
        <w:pStyle w:val="FirstParagraph"/>
      </w:pPr>
      <w:r>
        <w:t xml:space="preserve"> </w:t>
      </w:r>
      <w:r>
        <w:t xml:space="preserve">def long_function_name(</w:t>
      </w:r>
      <w:r>
        <w:br/>
      </w:r>
      <w:r>
        <w:t xml:space="preserve"> </w:t>
      </w:r>
      <w:r>
        <w:t xml:space="preserve">var_one, var_two, var_three,</w:t>
      </w:r>
      <w:r>
        <w:br/>
      </w:r>
      <w:r>
        <w:t xml:space="preserve"> </w:t>
      </w:r>
      <w:r>
        <w:t xml:space="preserve">var_four):</w:t>
      </w:r>
      <w:r>
        <w:br/>
      </w:r>
      <w:r>
        <w:t xml:space="preserve"> </w:t>
      </w:r>
      <w:r>
        <w:t xml:space="preserve">print(var_one)</w:t>
      </w:r>
    </w:p>
    <w:bookmarkEnd w:id="29"/>
    <w:bookmarkStart w:id="30" w:name="hanging-indents-should-add-a-level"/>
    <w:p>
      <w:pPr>
        <w:pStyle w:val="Heading1"/>
      </w:pPr>
      <w:r>
        <w:t xml:space="preserve">Hanging indents should add a level.</w:t>
      </w:r>
    </w:p>
    <w:p>
      <w:pPr>
        <w:pStyle w:val="FirstParagraph"/>
      </w:pPr>
      <w:r>
        <w:t xml:space="preserve"> </w:t>
      </w:r>
      <w:r>
        <w:t xml:space="preserve">foo = long_function_name(</w:t>
      </w:r>
      <w:r>
        <w:br/>
      </w:r>
      <w:r>
        <w:t xml:space="preserve"> </w:t>
      </w:r>
      <w:r>
        <w:t xml:space="preserve">var_one, var_two,</w:t>
      </w:r>
      <w:r>
        <w:br/>
      </w:r>
      <w:r>
        <w:t xml:space="preserve"> </w:t>
      </w:r>
      <w:r>
        <w:t xml:space="preserve">var_three, var_four)</w:t>
      </w:r>
    </w:p>
    <w:p>
      <w:pPr>
        <w:pStyle w:val="BodyText"/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bookmarkEnd w:id="30"/>
    <w:bookmarkStart w:id="31" w:name="wrong"/>
    <w:p>
      <w:pPr>
        <w:pStyle w:val="Heading1"/>
      </w:pPr>
      <w:r>
        <w:t xml:space="preserve">Wrong:</w:t>
      </w:r>
    </w:p>
    <w:bookmarkEnd w:id="31"/>
    <w:bookmarkStart w:id="32" w:name="Xbf5ac6ab95d2cd3cdcdbfc2f3e0db328427a370"/>
    <w:p>
      <w:pPr>
        <w:pStyle w:val="Heading1"/>
      </w:pPr>
      <w:r>
        <w:t xml:space="preserve">Arguments on first line forbidden when not using vertical alignment.</w:t>
      </w:r>
    </w:p>
    <w:p>
      <w:pPr>
        <w:pStyle w:val="FirstParagraph"/>
      </w:pPr>
      <w:r>
        <w:t xml:space="preserve"> </w:t>
      </w:r>
      <w:r>
        <w:t xml:space="preserve">foo = long_function_name(var_one, var_two,</w:t>
      </w:r>
      <w:r>
        <w:br/>
      </w:r>
      <w:r>
        <w:t xml:space="preserve"> </w:t>
      </w:r>
      <w:r>
        <w:t xml:space="preserve">var_three, var_four)</w:t>
      </w:r>
    </w:p>
    <w:bookmarkEnd w:id="32"/>
    <w:bookmarkStart w:id="33" w:name="X473b380e7254a833b68ac913c4419b0481c9a27"/>
    <w:p>
      <w:pPr>
        <w:pStyle w:val="Heading1"/>
      </w:pPr>
      <w:r>
        <w:t xml:space="preserve">Further indentation required as indentation is not distinguishable.</w:t>
      </w:r>
    </w:p>
    <w:p>
      <w:pPr>
        <w:pStyle w:val="FirstParagraph"/>
      </w:pPr>
      <w:r>
        <w:t xml:space="preserve"> </w:t>
      </w:r>
      <w:r>
        <w:t xml:space="preserve">def long_function_name(</w:t>
      </w:r>
      <w:r>
        <w:br/>
      </w:r>
      <w:r>
        <w:t xml:space="preserve"> </w:t>
      </w:r>
      <w:r>
        <w:t xml:space="preserve">var_one, var_two, var_three,</w:t>
      </w:r>
      <w:r>
        <w:br/>
      </w:r>
      <w:r>
        <w:t xml:space="preserve"> </w:t>
      </w:r>
      <w:r>
        <w:t xml:space="preserve">var_four):</w:t>
      </w:r>
      <w:r>
        <w:br/>
      </w:r>
      <w:r>
        <w:t xml:space="preserve"> </w:t>
      </w:r>
      <w:r>
        <w:t xml:space="preserve">print(var_one)</w:t>
      </w:r>
    </w:p>
    <w:p>
      <w:pPr>
        <w:pStyle w:val="BodyText"/>
      </w:pPr>
      <w:r>
        <w:t xml:space="preserve">The 4-space rule is optional for continuation lines.</w:t>
      </w:r>
    </w:p>
    <w:p>
      <w:pPr>
        <w:pStyle w:val="BodyText"/>
      </w:pPr>
      <w:r>
        <w:t xml:space="preserve">Optional:</w:t>
      </w:r>
    </w:p>
    <w:p>
      <w:pPr>
        <w:pStyle w:val="BodyText"/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bookmarkEnd w:id="33"/>
    <w:bookmarkStart w:id="34" w:name="X259360a71a391745b2daa79eec44d71b5d13071"/>
    <w:p>
      <w:pPr>
        <w:pStyle w:val="Heading1"/>
      </w:pPr>
      <w:r>
        <w:t xml:space="preserve">Hanging indents</w:t>
      </w:r>
      <w:r>
        <w:t xml:space="preserve"> </w:t>
      </w:r>
      <w:r>
        <w:rPr>
          <w:iCs/>
          <w:i/>
        </w:rPr>
        <w:t xml:space="preserve">may</w:t>
      </w:r>
      <w:r>
        <w:t xml:space="preserve"> </w:t>
      </w:r>
      <w:r>
        <w:t xml:space="preserve">be indented to other than 4 spaces.</w:t>
      </w:r>
    </w:p>
    <w:p>
      <w:pPr>
        <w:pStyle w:val="FirstParagraph"/>
      </w:pPr>
      <w:r>
        <w:t xml:space="preserve"> </w:t>
      </w:r>
      <w:r>
        <w:t xml:space="preserve">foo = long_function_name(</w:t>
      </w:r>
      <w:r>
        <w:br/>
      </w:r>
      <w:r>
        <w:t xml:space="preserve"> </w:t>
      </w:r>
      <w:r>
        <w:t xml:space="preserve">var_one, var_two,</w:t>
      </w:r>
      <w:r>
        <w:br/>
      </w:r>
      <w:r>
        <w:t xml:space="preserve"> </w:t>
      </w:r>
      <w:r>
        <w:t xml:space="preserve">var_three, var_four)</w:t>
      </w:r>
    </w:p>
    <w:p>
      <w:pPr>
        <w:pStyle w:val="BodyText"/>
      </w:pPr>
      <w:r>
        <w:t xml:space="preserve">.. _</w:t>
      </w:r>
      <w:r>
        <w:rPr>
          <w:rStyle w:val="VerbatimChar"/>
        </w:rPr>
        <w:t xml:space="preserve">multiline if-statements</w:t>
      </w:r>
      <w:r>
        <w:t xml:space="preserve">:</w:t>
      </w:r>
    </w:p>
    <w:p>
      <w:pPr>
        <w:pStyle w:val="BodyText"/>
      </w:pPr>
      <w:r>
        <w:t xml:space="preserve">When the conditional part of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-statement is long enough to require</w:t>
      </w:r>
      <w:r>
        <w:br/>
      </w:r>
      <w:r>
        <w:t xml:space="preserve">that it be written across multiple lines, it's worth noting that the</w:t>
      </w:r>
      <w:r>
        <w:br/>
      </w:r>
      <w:r>
        <w:t xml:space="preserve">combination of a two character keyword (i.e.</w:t>
      </w:r>
      <w:r>
        <w:t xml:space="preserve"> </w:t>
      </w:r>
      <w:r>
        <w:rPr>
          <w:rStyle w:val="VerbatimChar"/>
        </w:rPr>
        <w:t xml:space="preserve">if</w:t>
      </w:r>
      <w:r>
        <w:t xml:space="preserve">), plus a single space,</w:t>
      </w:r>
      <w:r>
        <w:br/>
      </w:r>
      <w:r>
        <w:t xml:space="preserve">plus an opening parenthesis creates a natural 4-space indent for the</w:t>
      </w:r>
      <w:r>
        <w:br/>
      </w:r>
      <w:r>
        <w:t xml:space="preserve">subsequent lines of the multiline conditional. This can produce a visual</w:t>
      </w:r>
      <w:r>
        <w:br/>
      </w:r>
      <w:r>
        <w:t xml:space="preserve">conflict with the indented suite of code nested inside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-statement,</w:t>
      </w:r>
      <w:r>
        <w:br/>
      </w:r>
      <w:r>
        <w:t xml:space="preserve">which would also naturally be indented to 4 spaces. This PEP takes no</w:t>
      </w:r>
      <w:r>
        <w:br/>
      </w:r>
      <w:r>
        <w:t xml:space="preserve">explicit position on how (or whether) to further visually distinguish such</w:t>
      </w:r>
      <w:r>
        <w:br/>
      </w:r>
      <w:r>
        <w:t xml:space="preserve">conditional lines from the nested suite inside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-statement.</w:t>
      </w:r>
      <w:r>
        <w:br/>
      </w:r>
      <w:r>
        <w:t xml:space="preserve">Acceptable options in this situation include, but are not limited to:</w:t>
      </w:r>
    </w:p>
    <w:p>
      <w:pPr>
        <w:pStyle w:val="BodyText"/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bookmarkEnd w:id="34"/>
    <w:bookmarkStart w:id="35" w:name="no-extra-indentation"/>
    <w:p>
      <w:pPr>
        <w:pStyle w:val="Heading1"/>
      </w:pPr>
      <w:r>
        <w:t xml:space="preserve">No extra indentation.</w:t>
      </w:r>
    </w:p>
    <w:p>
      <w:pPr>
        <w:pStyle w:val="FirstParagraph"/>
      </w:pPr>
      <w:r>
        <w:t xml:space="preserve"> </w:t>
      </w:r>
      <w:r>
        <w:t xml:space="preserve">if (this_is_one_thing and</w:t>
      </w:r>
      <w:r>
        <w:br/>
      </w:r>
      <w:r>
        <w:t xml:space="preserve"> </w:t>
      </w:r>
      <w:r>
        <w:t xml:space="preserve">that_is_another_thing):</w:t>
      </w:r>
      <w:r>
        <w:br/>
      </w:r>
      <w:r>
        <w:t xml:space="preserve"> </w:t>
      </w:r>
      <w:r>
        <w:t xml:space="preserve">do_something()</w:t>
      </w:r>
    </w:p>
    <w:bookmarkEnd w:id="35"/>
    <w:bookmarkStart w:id="36" w:name="X6a156354263ad8ff8f7ac065644e667f3330b6b"/>
    <w:p>
      <w:pPr>
        <w:pStyle w:val="Heading1"/>
      </w:pPr>
      <w:r>
        <w:t xml:space="preserve">Add a comment, which will provide some distinction in editors</w:t>
      </w:r>
    </w:p>
    <w:bookmarkEnd w:id="36"/>
    <w:bookmarkStart w:id="37" w:name="supporting-syntax-highlighting"/>
    <w:p>
      <w:pPr>
        <w:pStyle w:val="Heading1"/>
      </w:pPr>
      <w:r>
        <w:t xml:space="preserve">supporting syntax highlighting.</w:t>
      </w:r>
    </w:p>
    <w:p>
      <w:pPr>
        <w:pStyle w:val="FirstParagraph"/>
      </w:pPr>
      <w:r>
        <w:t xml:space="preserve"> </w:t>
      </w:r>
      <w:r>
        <w:t xml:space="preserve">if (this_is_one_thing and</w:t>
      </w:r>
      <w:r>
        <w:br/>
      </w:r>
      <w:r>
        <w:t xml:space="preserve"> </w:t>
      </w:r>
      <w:r>
        <w:t xml:space="preserve">that_is_another_thing):</w:t>
      </w:r>
      <w:r>
        <w:br/>
      </w:r>
      <w:r>
        <w:t xml:space="preserve"> </w:t>
      </w:r>
      <w:r>
        <w:t xml:space="preserve"># Since both conditions are true, we can frobnicate.</w:t>
      </w:r>
      <w:r>
        <w:br/>
      </w:r>
      <w:r>
        <w:t xml:space="preserve"> </w:t>
      </w:r>
      <w:r>
        <w:t xml:space="preserve">do_something()</w:t>
      </w:r>
    </w:p>
    <w:bookmarkEnd w:id="37"/>
    <w:bookmarkStart w:id="41" w:name="X3ad884ca8ac220369ebd78c040791165366d7a8"/>
    <w:p>
      <w:pPr>
        <w:pStyle w:val="Heading1"/>
      </w:pPr>
      <w:r>
        <w:t xml:space="preserve">Add some extra indentation on the conditional continuation line.</w:t>
      </w:r>
    </w:p>
    <w:p>
      <w:pPr>
        <w:pStyle w:val="FirstParagraph"/>
      </w:pPr>
      <w:r>
        <w:t xml:space="preserve"> </w:t>
      </w:r>
      <w:r>
        <w:t xml:space="preserve">if (this_is_one_thing</w:t>
      </w:r>
      <w:r>
        <w:br/>
      </w:r>
      <w:r>
        <w:t xml:space="preserve"> </w:t>
      </w:r>
      <w:r>
        <w:t xml:space="preserve">and that_is_another_thing):</w:t>
      </w:r>
      <w:r>
        <w:br/>
      </w:r>
      <w:r>
        <w:t xml:space="preserve"> </w:t>
      </w:r>
      <w:r>
        <w:t xml:space="preserve">do_something()</w:t>
      </w:r>
    </w:p>
    <w:p>
      <w:pPr>
        <w:pStyle w:val="BodyText"/>
      </w:pPr>
      <w:r>
        <w:t xml:space="preserve">(Also see the discussion of whether to break before or after binary</w:t>
      </w:r>
      <w:r>
        <w:br/>
      </w:r>
      <w:r>
        <w:t xml:space="preserve">operators below.)</w:t>
      </w:r>
    </w:p>
    <w:p>
      <w:pPr>
        <w:pStyle w:val="BodyText"/>
      </w:pPr>
      <w:r>
        <w:t xml:space="preserve">The closing brace/bracket/parenthesis on multiline constructs may</w:t>
      </w:r>
      <w:r>
        <w:br/>
      </w:r>
      <w:r>
        <w:t xml:space="preserve">either line up under the first non-whitespace character of the last</w:t>
      </w:r>
      <w:r>
        <w:br/>
      </w:r>
      <w:r>
        <w:t xml:space="preserve">line of list, as in:</w:t>
      </w:r>
    </w:p>
    <w:p>
      <w:pPr>
        <w:pStyle w:val="BodyText"/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pStyle w:val="BodyText"/>
      </w:pPr>
      <w:r>
        <w:t xml:space="preserve"> </w:t>
      </w:r>
      <w:r>
        <w:t xml:space="preserve">my_list = [</w:t>
      </w:r>
      <w:r>
        <w:br/>
      </w:r>
      <w:r>
        <w:t xml:space="preserve"> </w:t>
      </w:r>
      <w:r>
        <w:t xml:space="preserve">1, 2, 3,</w:t>
      </w:r>
      <w:r>
        <w:br/>
      </w:r>
      <w:r>
        <w:t xml:space="preserve"> </w:t>
      </w:r>
      <w:r>
        <w:t xml:space="preserve">4, 5, 6,</w:t>
      </w:r>
      <w:r>
        <w:br/>
      </w:r>
      <w:r>
        <w:t xml:space="preserve"> </w:t>
      </w:r>
      <w:r>
        <w:t xml:space="preserve">]</w:t>
      </w:r>
      <w:r>
        <w:br/>
      </w:r>
      <w:r>
        <w:t xml:space="preserve"> </w:t>
      </w:r>
      <w:r>
        <w:t xml:space="preserve">result = some_function_that_takes_arguments(</w:t>
      </w:r>
      <w:r>
        <w:br/>
      </w:r>
      <w:r>
        <w:t xml:space="preserve"> </w:t>
      </w:r>
      <w:r>
        <w:t xml:space="preserve">'a', 'b', 'c',</w:t>
      </w:r>
      <w:r>
        <w:br/>
      </w:r>
      <w:r>
        <w:t xml:space="preserve"> </w:t>
      </w:r>
      <w:r>
        <w:t xml:space="preserve">'d', 'e', 'f',</w:t>
      </w:r>
      <w:r>
        <w:br/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or it may be lined up under the first character of the line that</w:t>
      </w:r>
      <w:r>
        <w:br/>
      </w:r>
      <w:r>
        <w:t xml:space="preserve">starts the multiline construct, as in:</w:t>
      </w:r>
    </w:p>
    <w:p>
      <w:pPr>
        <w:pStyle w:val="BodyText"/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pStyle w:val="BodyText"/>
      </w:pPr>
      <w:r>
        <w:t xml:space="preserve"> </w:t>
      </w:r>
      <w:r>
        <w:t xml:space="preserve">my_list = [</w:t>
      </w:r>
      <w:r>
        <w:br/>
      </w:r>
      <w:r>
        <w:t xml:space="preserve"> </w:t>
      </w:r>
      <w:r>
        <w:t xml:space="preserve">1, 2, 3,</w:t>
      </w:r>
      <w:r>
        <w:br/>
      </w:r>
      <w:r>
        <w:t xml:space="preserve"> </w:t>
      </w:r>
      <w:r>
        <w:t xml:space="preserve">4, 5, 6,</w:t>
      </w:r>
      <w:r>
        <w:br/>
      </w:r>
      <w:r>
        <w:t xml:space="preserve"> </w:t>
      </w:r>
      <w:r>
        <w:t xml:space="preserve">]</w:t>
      </w:r>
      <w:r>
        <w:br/>
      </w:r>
      <w:r>
        <w:t xml:space="preserve"> </w:t>
      </w:r>
      <w:r>
        <w:t xml:space="preserve">result = some_function_that_takes_arguments(</w:t>
      </w:r>
      <w:r>
        <w:br/>
      </w:r>
      <w:r>
        <w:t xml:space="preserve"> </w:t>
      </w:r>
      <w:r>
        <w:t xml:space="preserve">'a', 'b', 'c',</w:t>
      </w:r>
      <w:r>
        <w:br/>
      </w:r>
      <w:r>
        <w:t xml:space="preserve"> </w:t>
      </w:r>
      <w:r>
        <w:t xml:space="preserve">'d', 'e', 'f',</w:t>
      </w:r>
      <w:r>
        <w:br/>
      </w:r>
      <w:r>
        <w:t xml:space="preserve"> </w:t>
      </w:r>
      <w:r>
        <w:t xml:space="preserve">)</w:t>
      </w:r>
    </w:p>
    <w:bookmarkStart w:id="38" w:name="tabs-or-spaces"/>
    <w:p>
      <w:pPr>
        <w:pStyle w:val="Heading2"/>
      </w:pPr>
      <w:r>
        <w:t xml:space="preserve">Tabs or Spaces?</w:t>
      </w:r>
    </w:p>
    <w:p>
      <w:pPr>
        <w:pStyle w:val="FirstParagraph"/>
      </w:pPr>
      <w:r>
        <w:t xml:space="preserve">Spaces are the preferred indentation method.</w:t>
      </w:r>
    </w:p>
    <w:p>
      <w:pPr>
        <w:pStyle w:val="BodyText"/>
      </w:pPr>
      <w:r>
        <w:t xml:space="preserve">Tabs should be used solely to remain consistent with code that is</w:t>
      </w:r>
      <w:r>
        <w:br/>
      </w:r>
      <w:r>
        <w:t xml:space="preserve">already indented with tabs.</w:t>
      </w:r>
    </w:p>
    <w:p>
      <w:pPr>
        <w:pStyle w:val="BodyText"/>
      </w:pPr>
      <w:r>
        <w:t xml:space="preserve">Python disallows mixing tabs and spaces for indentation.</w:t>
      </w:r>
    </w:p>
    <w:bookmarkEnd w:id="38"/>
    <w:bookmarkStart w:id="39" w:name="maximum-line-length"/>
    <w:p>
      <w:pPr>
        <w:pStyle w:val="Heading2"/>
      </w:pPr>
      <w:r>
        <w:t xml:space="preserve">Maximum Line Length</w:t>
      </w:r>
    </w:p>
    <w:p>
      <w:pPr>
        <w:pStyle w:val="FirstParagraph"/>
      </w:pPr>
      <w:r>
        <w:t xml:space="preserve">Limit all lines to a maximum of 79 characters.</w:t>
      </w:r>
    </w:p>
    <w:p>
      <w:pPr>
        <w:pStyle w:val="BodyText"/>
      </w:pPr>
      <w:r>
        <w:t xml:space="preserve">For flowing long blocks of text with fewer structural restrictions</w:t>
      </w:r>
      <w:r>
        <w:br/>
      </w:r>
      <w:r>
        <w:t xml:space="preserve">(docstrings or comments), the line length should be limited to 72</w:t>
      </w:r>
      <w:r>
        <w:br/>
      </w:r>
      <w:r>
        <w:t xml:space="preserve">characters.</w:t>
      </w:r>
    </w:p>
    <w:p>
      <w:pPr>
        <w:pStyle w:val="BodyText"/>
      </w:pPr>
      <w:r>
        <w:t xml:space="preserve">Limiting the required editor window width makes it possible to have</w:t>
      </w:r>
      <w:r>
        <w:br/>
      </w:r>
      <w:r>
        <w:t xml:space="preserve">several files open side by side, and works well when using code</w:t>
      </w:r>
      <w:r>
        <w:br/>
      </w:r>
      <w:r>
        <w:t xml:space="preserve">review tools that present the two versions in adjacent columns.</w:t>
      </w:r>
    </w:p>
    <w:p>
      <w:pPr>
        <w:pStyle w:val="BodyText"/>
      </w:pPr>
      <w:r>
        <w:t xml:space="preserve">The default wrapping in most tools disrupts the visual structure of the</w:t>
      </w:r>
      <w:r>
        <w:br/>
      </w:r>
      <w:r>
        <w:t xml:space="preserve">code, making it more difficult to understand. The limits are chosen to</w:t>
      </w:r>
      <w:r>
        <w:br/>
      </w:r>
      <w:r>
        <w:t xml:space="preserve">avoid wrapping in editors with the window width set to 80, even</w:t>
      </w:r>
      <w:r>
        <w:br/>
      </w:r>
      <w:r>
        <w:t xml:space="preserve">if the tool places a marker glyph in the final column when wrapping</w:t>
      </w:r>
      <w:r>
        <w:br/>
      </w:r>
      <w:r>
        <w:t xml:space="preserve">lines. Some web based tools may not offer dynamic line wrapping at all.</w:t>
      </w:r>
    </w:p>
    <w:p>
      <w:pPr>
        <w:pStyle w:val="BodyText"/>
      </w:pPr>
      <w:r>
        <w:t xml:space="preserve">Some teams strongly prefer a longer line length. For code maintained</w:t>
      </w:r>
      <w:r>
        <w:br/>
      </w:r>
      <w:r>
        <w:t xml:space="preserve">exclusively or primarily by a team that can reach agreement on this</w:t>
      </w:r>
      <w:r>
        <w:br/>
      </w:r>
      <w:r>
        <w:t xml:space="preserve">issue, it is okay to increase the line length limit up to 99 characters,</w:t>
      </w:r>
      <w:r>
        <w:br/>
      </w:r>
      <w:r>
        <w:t xml:space="preserve">provided that comments and docstrings are still wrapped at 72</w:t>
      </w:r>
      <w:r>
        <w:br/>
      </w:r>
      <w:r>
        <w:t xml:space="preserve">characters.</w:t>
      </w:r>
    </w:p>
    <w:p>
      <w:pPr>
        <w:pStyle w:val="BodyText"/>
      </w:pPr>
      <w:r>
        <w:t xml:space="preserve">The Python standard library is conservative and requires limiting</w:t>
      </w:r>
      <w:r>
        <w:br/>
      </w:r>
      <w:r>
        <w:t xml:space="preserve">lines to 79 characters (and docstrings/comments to 72).</w:t>
      </w:r>
    </w:p>
    <w:p>
      <w:pPr>
        <w:pStyle w:val="BodyText"/>
      </w:pPr>
      <w:r>
        <w:t xml:space="preserve">The preferred way of wrapping long lines is by using Python's implied</w:t>
      </w:r>
      <w:r>
        <w:br/>
      </w:r>
      <w:r>
        <w:t xml:space="preserve">line continuation inside parentheses, brackets and braces. Long lines</w:t>
      </w:r>
      <w:r>
        <w:br/>
      </w:r>
      <w:r>
        <w:t xml:space="preserve">can be broken over multiple lines by wrapping expressions in</w:t>
      </w:r>
      <w:r>
        <w:br/>
      </w:r>
      <w:r>
        <w:t xml:space="preserve">parentheses. These should be used in preference to using a backslash</w:t>
      </w:r>
      <w:r>
        <w:br/>
      </w:r>
      <w:r>
        <w:t xml:space="preserve">for line continuation.</w:t>
      </w:r>
    </w:p>
    <w:p>
      <w:pPr>
        <w:pStyle w:val="BodyText"/>
      </w:pPr>
      <w:r>
        <w:t xml:space="preserve">Backslashes may still be appropriate at times. For example, long,</w:t>
      </w:r>
      <w:r>
        <w:br/>
      </w:r>
      <w:r>
        <w:t xml:space="preserve">multiple</w:t>
      </w:r>
      <w:r>
        <w:t xml:space="preserve"> </w:t>
      </w:r>
      <w:r>
        <w:rPr>
          <w:rStyle w:val="VerbatimChar"/>
        </w:rPr>
        <w:t xml:space="preserve">with</w:t>
      </w:r>
      <w:r>
        <w:t xml:space="preserve">-statements could not use implicit continuation</w:t>
      </w:r>
      <w:r>
        <w:br/>
      </w:r>
      <w:r>
        <w:t xml:space="preserve">before Python 3.10, so backslashes were acceptable for that case:</w:t>
      </w:r>
    </w:p>
    <w:p>
      <w:pPr>
        <w:pStyle w:val="BodyText"/>
      </w:pPr>
      <w:r>
        <w:t xml:space="preserve">.. code-block::</w:t>
      </w:r>
      <w:r>
        <w:br/>
      </w:r>
      <w:r>
        <w:t xml:space="preserve"> </w:t>
      </w:r>
      <w:r>
        <w:t xml:space="preserve">:class: maybe</w:t>
      </w:r>
    </w:p>
    <w:p>
      <w:pPr>
        <w:pStyle w:val="BodyText"/>
      </w:pPr>
      <w:r>
        <w:t xml:space="preserve"> </w:t>
      </w:r>
      <w:r>
        <w:t xml:space="preserve">with open('/path/to/some/file/you/want/to/read') as file_1, \</w:t>
      </w:r>
      <w:r>
        <w:br/>
      </w:r>
      <w:r>
        <w:t xml:space="preserve"> </w:t>
      </w:r>
      <w:r>
        <w:t xml:space="preserve">open('/path/to/some/file/being/written', 'w') as file_2:</w:t>
      </w:r>
      <w:r>
        <w:br/>
      </w:r>
      <w:r>
        <w:t xml:space="preserve"> </w:t>
      </w:r>
      <w:r>
        <w:t xml:space="preserve">file_2.write(file_1.read())</w:t>
      </w:r>
    </w:p>
    <w:p>
      <w:pPr>
        <w:pStyle w:val="BodyText"/>
      </w:pPr>
      <w:r>
        <w:t xml:space="preserve">(See the previous discussion on</w:t>
      </w:r>
      <w:r>
        <w:t xml:space="preserve"> </w:t>
      </w:r>
      <w:r>
        <w:rPr>
          <w:rStyle w:val="VerbatimChar"/>
        </w:rPr>
        <w:t xml:space="preserve">multiline if-statements</w:t>
      </w:r>
      <w:r>
        <w:t xml:space="preserve">_ for further</w:t>
      </w:r>
      <w:r>
        <w:br/>
      </w:r>
      <w:r>
        <w:t xml:space="preserve">thoughts on the indentation of such multiline</w:t>
      </w:r>
      <w:r>
        <w:t xml:space="preserve"> </w:t>
      </w:r>
      <w:r>
        <w:rPr>
          <w:rStyle w:val="VerbatimChar"/>
        </w:rPr>
        <w:t xml:space="preserve">with</w:t>
      </w:r>
      <w:r>
        <w:t xml:space="preserve">-statements.)</w:t>
      </w:r>
    </w:p>
    <w:p>
      <w:pPr>
        <w:pStyle w:val="BodyText"/>
      </w:pPr>
      <w:r>
        <w:t xml:space="preserve">Another such case is with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Make sure to indent the continued line appropriately.</w:t>
      </w:r>
    </w:p>
    <w:p>
      <w:pPr>
        <w:pStyle w:val="BodyText"/>
      </w:pPr>
      <w:r>
        <w:t xml:space="preserve">.. _</w:t>
      </w:r>
      <w:r>
        <w:rPr>
          <w:rStyle w:val="VerbatimChar"/>
        </w:rPr>
        <w:t xml:space="preserve">pep8-operator-linebreak</w:t>
      </w:r>
      <w:r>
        <w:t xml:space="preserve">:</w:t>
      </w:r>
    </w:p>
    <w:bookmarkEnd w:id="39"/>
    <w:bookmarkStart w:id="40" w:name="Xf4cebf3ae501ec51885955368fd8593f9fde126"/>
    <w:p>
      <w:pPr>
        <w:pStyle w:val="Heading2"/>
      </w:pPr>
      <w:r>
        <w:t xml:space="preserve">Should a Line Break Before or After a Binary Operator?</w:t>
      </w:r>
    </w:p>
    <w:p>
      <w:pPr>
        <w:pStyle w:val="FirstParagraph"/>
      </w:pPr>
      <w:r>
        <w:t xml:space="preserve">For decades the recommended style was to break after binary operators.</w:t>
      </w:r>
      <w:r>
        <w:br/>
      </w:r>
      <w:r>
        <w:t xml:space="preserve">But this can hurt readability in two ways: the operators tend to get</w:t>
      </w:r>
      <w:r>
        <w:br/>
      </w:r>
      <w:r>
        <w:t xml:space="preserve">scattered across different columns on the screen, and each operator is</w:t>
      </w:r>
      <w:r>
        <w:br/>
      </w:r>
      <w:r>
        <w:t xml:space="preserve">moved away from its operand and onto the previous line. Here, the eye</w:t>
      </w:r>
      <w:r>
        <w:br/>
      </w:r>
      <w:r>
        <w:t xml:space="preserve">has to do extra work to tell which items are added and which are</w:t>
      </w:r>
      <w:r>
        <w:br/>
      </w:r>
      <w:r>
        <w:t xml:space="preserve">subtracted:</w:t>
      </w:r>
    </w:p>
    <w:p>
      <w:pPr>
        <w:pStyle w:val="BodyText"/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bookmarkEnd w:id="40"/>
    <w:bookmarkEnd w:id="41"/>
    <w:bookmarkStart w:id="42" w:name="wrong-2"/>
    <w:p>
      <w:pPr>
        <w:pStyle w:val="Heading1"/>
      </w:pPr>
      <w:r>
        <w:t xml:space="preserve">Wrong:</w:t>
      </w:r>
    </w:p>
    <w:bookmarkEnd w:id="42"/>
    <w:bookmarkStart w:id="43" w:name="X742a092cdb2aa0b9da757da1a7dfb7934233adf"/>
    <w:p>
      <w:pPr>
        <w:pStyle w:val="Heading1"/>
      </w:pPr>
      <w:r>
        <w:t xml:space="preserve">operators sit far away from their operands</w:t>
      </w:r>
    </w:p>
    <w:p>
      <w:pPr>
        <w:pStyle w:val="FirstParagraph"/>
      </w:pPr>
      <w:r>
        <w:t xml:space="preserve"> </w:t>
      </w:r>
      <w:r>
        <w:t xml:space="preserve">income = (gross_wages +</w:t>
      </w:r>
      <w:r>
        <w:br/>
      </w:r>
      <w:r>
        <w:t xml:space="preserve"> </w:t>
      </w:r>
      <w:r>
        <w:t xml:space="preserve">taxable_interest +</w:t>
      </w:r>
      <w:r>
        <w:br/>
      </w:r>
      <w:r>
        <w:t xml:space="preserve"> </w:t>
      </w:r>
      <w:r>
        <w:t xml:space="preserve">(dividends - qualified_dividends) -</w:t>
      </w:r>
      <w:r>
        <w:br/>
      </w:r>
      <w:r>
        <w:t xml:space="preserve"> </w:t>
      </w:r>
      <w:r>
        <w:t xml:space="preserve">ira_deduction -</w:t>
      </w:r>
      <w:r>
        <w:br/>
      </w:r>
      <w:r>
        <w:t xml:space="preserve"> </w:t>
      </w:r>
      <w:r>
        <w:t xml:space="preserve">student_loan_interest)</w:t>
      </w:r>
    </w:p>
    <w:p>
      <w:pPr>
        <w:pStyle w:val="BodyText"/>
      </w:pPr>
      <w:r>
        <w:t xml:space="preserve">To solve this readability problem, mathematicians and their publishers</w:t>
      </w:r>
      <w:r>
        <w:br/>
      </w:r>
      <w:r>
        <w:t xml:space="preserve">follow the opposite convention. Donald Knuth explains the traditional</w:t>
      </w:r>
      <w:r>
        <w:br/>
      </w:r>
      <w:r>
        <w:t xml:space="preserve">rule in his</w:t>
      </w:r>
      <w:r>
        <w:t xml:space="preserve"> </w:t>
      </w:r>
      <w:r>
        <w:rPr>
          <w:iCs/>
          <w:i/>
        </w:rPr>
        <w:t xml:space="preserve">Computers and Typesetting</w:t>
      </w:r>
      <w:r>
        <w:t xml:space="preserve"> </w:t>
      </w:r>
      <w:r>
        <w:t xml:space="preserve">series: "Although formulas</w:t>
      </w:r>
      <w:r>
        <w:br/>
      </w:r>
      <w:r>
        <w:t xml:space="preserve">within a paragraph always break after binary operations and relations,</w:t>
      </w:r>
      <w:r>
        <w:br/>
      </w:r>
      <w:r>
        <w:t xml:space="preserve">displayed formulas always break before binary operations" [3]_.</w:t>
      </w:r>
    </w:p>
    <w:p>
      <w:pPr>
        <w:pStyle w:val="BodyText"/>
      </w:pPr>
      <w:r>
        <w:t xml:space="preserve">Following the tradition from mathematics usually results in more</w:t>
      </w:r>
      <w:r>
        <w:br/>
      </w:r>
      <w:r>
        <w:t xml:space="preserve">readable code:</w:t>
      </w:r>
    </w:p>
    <w:p>
      <w:pPr>
        <w:pStyle w:val="BodyText"/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bookmarkEnd w:id="43"/>
    <w:bookmarkStart w:id="44" w:name="correct-2"/>
    <w:p>
      <w:pPr>
        <w:pStyle w:val="Heading1"/>
      </w:pPr>
      <w:r>
        <w:t xml:space="preserve">Correct:</w:t>
      </w:r>
    </w:p>
    <w:bookmarkEnd w:id="44"/>
    <w:bookmarkStart w:id="51" w:name="easy-to-match-operators-with-operands"/>
    <w:p>
      <w:pPr>
        <w:pStyle w:val="Heading1"/>
      </w:pPr>
      <w:r>
        <w:t xml:space="preserve">easy to match operators with operands</w:t>
      </w:r>
    </w:p>
    <w:p>
      <w:pPr>
        <w:pStyle w:val="FirstParagraph"/>
      </w:pPr>
      <w:r>
        <w:t xml:space="preserve"> </w:t>
      </w:r>
      <w:r>
        <w:t xml:space="preserve">income = (gross_wages</w:t>
      </w:r>
      <w:r>
        <w:br/>
      </w:r>
      <w:r>
        <w:t xml:space="preserve"> </w:t>
      </w:r>
      <w:r>
        <w:t xml:space="preserve">+ taxable_interest</w:t>
      </w:r>
      <w:r>
        <w:br/>
      </w:r>
      <w:r>
        <w:t xml:space="preserve"> </w:t>
      </w:r>
      <w:r>
        <w:t xml:space="preserve">+ (dividends - qualified_dividends)</w:t>
      </w:r>
      <w:r>
        <w:br/>
      </w:r>
      <w:r>
        <w:t xml:space="preserve"> </w:t>
      </w:r>
      <w:r>
        <w:t xml:space="preserve">- ira_deduction</w:t>
      </w:r>
      <w:r>
        <w:br/>
      </w:r>
      <w:r>
        <w:t xml:space="preserve"> </w:t>
      </w:r>
      <w:r>
        <w:t xml:space="preserve">- student_loan_interest)</w:t>
      </w:r>
    </w:p>
    <w:p>
      <w:pPr>
        <w:pStyle w:val="BodyText"/>
      </w:pPr>
      <w:r>
        <w:t xml:space="preserve">In Python code, it is permissible to break before or after a binary</w:t>
      </w:r>
      <w:r>
        <w:br/>
      </w:r>
      <w:r>
        <w:t xml:space="preserve">operator, as long as the convention is consistent locally. For new</w:t>
      </w:r>
      <w:r>
        <w:br/>
      </w:r>
      <w:r>
        <w:t xml:space="preserve">code Knuth's style is suggested.</w:t>
      </w:r>
    </w:p>
    <w:bookmarkStart w:id="45" w:name="blank-lines"/>
    <w:p>
      <w:pPr>
        <w:pStyle w:val="Heading2"/>
      </w:pPr>
      <w:r>
        <w:t xml:space="preserve">Blank Lines</w:t>
      </w:r>
    </w:p>
    <w:p>
      <w:pPr>
        <w:pStyle w:val="FirstParagraph"/>
      </w:pPr>
      <w:r>
        <w:t xml:space="preserve">Surround top-level function and class definitions with two blank</w:t>
      </w:r>
      <w:r>
        <w:br/>
      </w:r>
      <w:r>
        <w:t xml:space="preserve">lines.</w:t>
      </w:r>
    </w:p>
    <w:p>
      <w:pPr>
        <w:pStyle w:val="BodyText"/>
      </w:pPr>
      <w:r>
        <w:t xml:space="preserve">Method definitions inside a class are surrounded by a single blank</w:t>
      </w:r>
      <w:r>
        <w:br/>
      </w:r>
      <w:r>
        <w:t xml:space="preserve">line.</w:t>
      </w:r>
    </w:p>
    <w:p>
      <w:pPr>
        <w:pStyle w:val="BodyText"/>
      </w:pPr>
      <w:r>
        <w:t xml:space="preserve">Extra blank lines may be used (sparingly) to separate groups of</w:t>
      </w:r>
      <w:r>
        <w:br/>
      </w:r>
      <w:r>
        <w:t xml:space="preserve">related functions. Blank lines may be omitted between a bunch of</w:t>
      </w:r>
      <w:r>
        <w:br/>
      </w:r>
      <w:r>
        <w:t xml:space="preserve">related one-liners (e.g. a set of dummy implementations).</w:t>
      </w:r>
    </w:p>
    <w:p>
      <w:pPr>
        <w:pStyle w:val="BodyText"/>
      </w:pPr>
      <w:r>
        <w:t xml:space="preserve">Use blank lines in functions, sparingly, to indicate logical sections.</w:t>
      </w:r>
    </w:p>
    <w:p>
      <w:pPr>
        <w:pStyle w:val="BodyText"/>
      </w:pPr>
      <w:r>
        <w:t xml:space="preserve">Python accepts the control-L (i.e. ^L) form feed character as</w:t>
      </w:r>
      <w:r>
        <w:br/>
      </w:r>
      <w:r>
        <w:t xml:space="preserve">whitespace; many tools treat these characters as page separators, so</w:t>
      </w:r>
      <w:r>
        <w:br/>
      </w:r>
      <w:r>
        <w:t xml:space="preserve">you may use them to separate pages of related sections of your file.</w:t>
      </w:r>
      <w:r>
        <w:br/>
      </w:r>
      <w:r>
        <w:t xml:space="preserve">Note, some editors and web-based code viewers may not recognize</w:t>
      </w:r>
      <w:r>
        <w:br/>
      </w:r>
      <w:r>
        <w:t xml:space="preserve">control-L as a form feed and will show another glyph in its place.</w:t>
      </w:r>
    </w:p>
    <w:bookmarkEnd w:id="45"/>
    <w:bookmarkStart w:id="46" w:name="source-file-encoding"/>
    <w:p>
      <w:pPr>
        <w:pStyle w:val="Heading2"/>
      </w:pPr>
      <w:r>
        <w:t xml:space="preserve">Source File Encoding</w:t>
      </w:r>
    </w:p>
    <w:p>
      <w:pPr>
        <w:pStyle w:val="FirstParagraph"/>
      </w:pPr>
      <w:r>
        <w:t xml:space="preserve">Code in the core Python distribution should always use UTF-8, and should not</w:t>
      </w:r>
      <w:r>
        <w:br/>
      </w:r>
      <w:r>
        <w:t xml:space="preserve">have an encoding declaration.</w:t>
      </w:r>
    </w:p>
    <w:p>
      <w:pPr>
        <w:pStyle w:val="BodyText"/>
      </w:pPr>
      <w:r>
        <w:t xml:space="preserve">In the standard library, non-UTF-8 encodings should be used only for</w:t>
      </w:r>
      <w:r>
        <w:br/>
      </w:r>
      <w:r>
        <w:t xml:space="preserve">test purposes. Use non-ASCII characters sparingly, preferably only to</w:t>
      </w:r>
      <w:r>
        <w:br/>
      </w:r>
      <w:r>
        <w:t xml:space="preserve">denote places and human names. If using non-ASCII characters as data,</w:t>
      </w:r>
      <w:r>
        <w:br/>
      </w:r>
      <w:r>
        <w:t xml:space="preserve">avoid noisy Unicode characters like z̯̯͡a̧͎̺l̡͓̫g̹̲o̡̼̘ and byte order</w:t>
      </w:r>
      <w:r>
        <w:br/>
      </w:r>
      <w:r>
        <w:t xml:space="preserve">marks.</w:t>
      </w:r>
    </w:p>
    <w:p>
      <w:pPr>
        <w:pStyle w:val="BodyText"/>
      </w:pPr>
      <w:r>
        <w:t xml:space="preserve">All identifiers in the Python standard library MUST use ASCII-only</w:t>
      </w:r>
      <w:r>
        <w:br/>
      </w:r>
      <w:r>
        <w:t xml:space="preserve">identifiers, and SHOULD use English words wherever feasible (in many</w:t>
      </w:r>
      <w:r>
        <w:br/>
      </w:r>
      <w:r>
        <w:t xml:space="preserve">cases, abbreviations and technical terms are used which aren't</w:t>
      </w:r>
      <w:r>
        <w:br/>
      </w:r>
      <w:r>
        <w:t xml:space="preserve">English).</w:t>
      </w:r>
    </w:p>
    <w:p>
      <w:pPr>
        <w:pStyle w:val="BodyText"/>
      </w:pPr>
      <w:r>
        <w:t xml:space="preserve">Open source projects with a global audience are encouraged to adopt a</w:t>
      </w:r>
      <w:r>
        <w:br/>
      </w:r>
      <w:r>
        <w:t xml:space="preserve">similar policy.</w:t>
      </w:r>
    </w:p>
    <w:bookmarkEnd w:id="46"/>
    <w:bookmarkStart w:id="49" w:name="imports"/>
    <w:p>
      <w:pPr>
        <w:pStyle w:val="Heading2"/>
      </w:pPr>
      <w:r>
        <w:t xml:space="preserve">Imports</w:t>
      </w:r>
    </w:p>
    <w:p>
      <w:pPr>
        <w:numPr>
          <w:ilvl w:val="0"/>
          <w:numId w:val="1002"/>
        </w:numPr>
      </w:pPr>
      <w:r>
        <w:t xml:space="preserve">Imports should usually be on separate lines: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47" w:name="correct-3"/>
      <w:r>
        <w:t xml:space="preserve">Correct:</w:t>
      </w:r>
      <w:bookmarkEnd w:id="47"/>
    </w:p>
    <w:p>
      <w:pPr>
        <w:numPr>
          <w:ilvl w:val="0"/>
          <w:numId w:val="1000"/>
        </w:numPr>
      </w:pPr>
      <w:r>
        <w:t xml:space="preserve"> </w:t>
      </w:r>
      <w:r>
        <w:t xml:space="preserve">import os</w:t>
      </w:r>
      <w:r>
        <w:br/>
      </w:r>
      <w:r>
        <w:t xml:space="preserve"> </w:t>
      </w:r>
      <w:r>
        <w:t xml:space="preserve">import sys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48" w:name="wrong-3"/>
      <w:r>
        <w:t xml:space="preserve">Wrong:</w:t>
      </w:r>
      <w:bookmarkEnd w:id="48"/>
    </w:p>
    <w:p>
      <w:pPr>
        <w:numPr>
          <w:ilvl w:val="0"/>
          <w:numId w:val="1000"/>
        </w:numPr>
      </w:pPr>
      <w:r>
        <w:t xml:space="preserve"> </w:t>
      </w:r>
      <w:r>
        <w:t xml:space="preserve">import sys, os</w:t>
      </w:r>
    </w:p>
    <w:p>
      <w:pPr>
        <w:pStyle w:val="FirstParagraph"/>
      </w:pPr>
      <w:r>
        <w:t xml:space="preserve"> </w:t>
      </w:r>
      <w:r>
        <w:t xml:space="preserve">It's okay to say this though:</w:t>
      </w:r>
    </w:p>
    <w:p>
      <w:pPr>
        <w:pStyle w:val="BodyText"/>
      </w:pPr>
      <w:r>
        <w:t xml:space="preserve"> </w:t>
      </w: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pStyle w:val="SourceCode"/>
      </w:pPr>
      <w:r>
        <w:rPr>
          <w:rStyle w:val="VerbatimChar"/>
        </w:rPr>
        <w:t xml:space="preserve"> # Correct:</w:t>
      </w:r>
      <w:r>
        <w:br/>
      </w:r>
      <w:r>
        <w:rPr>
          <w:rStyle w:val="VerbatimChar"/>
        </w:rPr>
        <w:t xml:space="preserve"> from subprocess import Popen, PIPE</w:t>
      </w:r>
    </w:p>
    <w:p>
      <w:pPr>
        <w:numPr>
          <w:ilvl w:val="0"/>
          <w:numId w:val="1003"/>
        </w:numPr>
      </w:pPr>
      <w:r>
        <w:t xml:space="preserve">Imports are always put at the top of the file, just after any module</w:t>
      </w:r>
      <w:r>
        <w:br/>
      </w:r>
      <w:r>
        <w:t xml:space="preserve">comments and docstrings, and before module globals and constants.</w:t>
      </w:r>
    </w:p>
    <w:p>
      <w:pPr>
        <w:numPr>
          <w:ilvl w:val="0"/>
          <w:numId w:val="1000"/>
        </w:numPr>
      </w:pPr>
      <w:r>
        <w:t xml:space="preserve">Imports should be grouped in the following order:</w:t>
      </w:r>
    </w:p>
    <w:p>
      <w:pPr>
        <w:numPr>
          <w:ilvl w:val="1"/>
          <w:numId w:val="1004"/>
        </w:numPr>
      </w:pPr>
      <w:r>
        <w:t xml:space="preserve">Standard library imports.</w:t>
      </w:r>
    </w:p>
    <w:p>
      <w:pPr>
        <w:numPr>
          <w:ilvl w:val="1"/>
          <w:numId w:val="1004"/>
        </w:numPr>
      </w:pPr>
      <w:r>
        <w:t xml:space="preserve">Related third party imports.</w:t>
      </w:r>
    </w:p>
    <w:p>
      <w:pPr>
        <w:numPr>
          <w:ilvl w:val="1"/>
          <w:numId w:val="1004"/>
        </w:numPr>
      </w:pPr>
      <w:r>
        <w:t xml:space="preserve">Local application/library specific imports.</w:t>
      </w:r>
    </w:p>
    <w:p>
      <w:pPr>
        <w:numPr>
          <w:ilvl w:val="0"/>
          <w:numId w:val="1000"/>
        </w:numPr>
      </w:pPr>
      <w:r>
        <w:t xml:space="preserve">You should put a blank line between each group of imports.</w:t>
      </w:r>
    </w:p>
    <w:p>
      <w:pPr>
        <w:numPr>
          <w:ilvl w:val="0"/>
          <w:numId w:val="1003"/>
        </w:numPr>
      </w:pPr>
      <w:r>
        <w:t xml:space="preserve">Absolute imports are recommended, as they are usually more readable</w:t>
      </w:r>
      <w:r>
        <w:br/>
      </w:r>
      <w:r>
        <w:t xml:space="preserve">and tend to be better behaved (or at least give better error</w:t>
      </w:r>
      <w:r>
        <w:br/>
      </w:r>
      <w:r>
        <w:t xml:space="preserve">messages) if the import system is incorrectly configured (such as</w:t>
      </w:r>
      <w:r>
        <w:br/>
      </w:r>
      <w:r>
        <w:t xml:space="preserve">when a directory inside a package ends up on</w:t>
      </w:r>
      <w:r>
        <w:t xml:space="preserve"> </w:t>
      </w:r>
      <w:r>
        <w:rPr>
          <w:rStyle w:val="VerbatimChar"/>
        </w:rPr>
        <w:t xml:space="preserve">sys.path</w:t>
      </w:r>
      <w:r>
        <w:t xml:space="preserve">):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import mypkg.sibling</w:t>
      </w:r>
      <w:r>
        <w:br/>
      </w:r>
      <w:r>
        <w:t xml:space="preserve"> </w:t>
      </w:r>
      <w:r>
        <w:t xml:space="preserve">from mypkg import sibling</w:t>
      </w:r>
      <w:r>
        <w:br/>
      </w:r>
      <w:r>
        <w:t xml:space="preserve"> </w:t>
      </w:r>
      <w:r>
        <w:t xml:space="preserve">from mypkg.sibling import example</w:t>
      </w:r>
    </w:p>
    <w:p>
      <w:pPr>
        <w:numPr>
          <w:ilvl w:val="0"/>
          <w:numId w:val="1000"/>
        </w:numPr>
      </w:pPr>
      <w:r>
        <w:t xml:space="preserve">However, explicit relative imports are an acceptable alternative to</w:t>
      </w:r>
      <w:r>
        <w:br/>
      </w:r>
      <w:r>
        <w:t xml:space="preserve">absolute imports, especially when dealing with complex package layouts</w:t>
      </w:r>
      <w:r>
        <w:br/>
      </w:r>
      <w:r>
        <w:t xml:space="preserve">where using absolute imports would be unnecessarily verbose: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from . import sibling</w:t>
      </w:r>
      <w:r>
        <w:br/>
      </w:r>
      <w:r>
        <w:t xml:space="preserve"> </w:t>
      </w:r>
      <w:r>
        <w:t xml:space="preserve">from .sibling import example</w:t>
      </w:r>
    </w:p>
    <w:p>
      <w:pPr>
        <w:numPr>
          <w:ilvl w:val="0"/>
          <w:numId w:val="1000"/>
        </w:numPr>
      </w:pPr>
      <w:r>
        <w:t xml:space="preserve">Standard library code should avoid complex package layouts and always</w:t>
      </w:r>
      <w:r>
        <w:br/>
      </w:r>
      <w:r>
        <w:t xml:space="preserve">use absolute imports.</w:t>
      </w:r>
    </w:p>
    <w:p>
      <w:pPr>
        <w:numPr>
          <w:ilvl w:val="0"/>
          <w:numId w:val="1003"/>
        </w:numPr>
      </w:pPr>
      <w:r>
        <w:t xml:space="preserve">When importing a class from a class-containing module, it's usually</w:t>
      </w:r>
      <w:r>
        <w:br/>
      </w:r>
      <w:r>
        <w:t xml:space="preserve">okay to spell this: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from myclass import MyClass</w:t>
      </w:r>
      <w:r>
        <w:br/>
      </w:r>
      <w:r>
        <w:t xml:space="preserve"> </w:t>
      </w:r>
      <w:r>
        <w:t xml:space="preserve">from foo.bar.yourclass import YourClass</w:t>
      </w:r>
    </w:p>
    <w:p>
      <w:pPr>
        <w:numPr>
          <w:ilvl w:val="0"/>
          <w:numId w:val="1000"/>
        </w:numPr>
      </w:pPr>
      <w:r>
        <w:t xml:space="preserve">If this spelling causes local name clashes, then spell them explicitly: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import myclass</w:t>
      </w:r>
      <w:r>
        <w:br/>
      </w:r>
      <w:r>
        <w:t xml:space="preserve"> </w:t>
      </w:r>
      <w:r>
        <w:t xml:space="preserve">import foo.bar.yourclass</w:t>
      </w:r>
    </w:p>
    <w:p>
      <w:pPr>
        <w:numPr>
          <w:ilvl w:val="0"/>
          <w:numId w:val="1000"/>
        </w:numPr>
      </w:pPr>
      <w:r>
        <w:t xml:space="preserve">and use</w:t>
      </w:r>
      <w:r>
        <w:t xml:space="preserve"> </w:t>
      </w:r>
      <w:r>
        <w:rPr>
          <w:rStyle w:val="VerbatimChar"/>
        </w:rPr>
        <w:t xml:space="preserve">myclass.MyClass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foo.bar.yourclass.YourClass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Wildcard imports (</w:t>
      </w:r>
      <w:r>
        <w:rPr>
          <w:rStyle w:val="VerbatimChar"/>
        </w:rPr>
        <w:t xml:space="preserve">from &lt;module&gt; import *</w:t>
      </w:r>
      <w:r>
        <w:t xml:space="preserve">) should be avoided, as</w:t>
      </w:r>
      <w:r>
        <w:br/>
      </w:r>
      <w:r>
        <w:t xml:space="preserve">they make it unclear which names are present in the namespace,</w:t>
      </w:r>
      <w:r>
        <w:br/>
      </w:r>
      <w:r>
        <w:t xml:space="preserve">confusing both readers and many automated tools. There is one</w:t>
      </w:r>
      <w:r>
        <w:br/>
      </w:r>
      <w:r>
        <w:t xml:space="preserve">defensible use case for a wildcard import, which is to republish an</w:t>
      </w:r>
      <w:r>
        <w:br/>
      </w:r>
      <w:r>
        <w:t xml:space="preserve">internal interface as part of a public API (for example, overwriting</w:t>
      </w:r>
      <w:r>
        <w:br/>
      </w:r>
      <w:r>
        <w:t xml:space="preserve">a pure Python implementation of an interface with the definitions</w:t>
      </w:r>
      <w:r>
        <w:br/>
      </w:r>
      <w:r>
        <w:t xml:space="preserve">from an optional accelerator module and exactly which definitions</w:t>
      </w:r>
      <w:r>
        <w:br/>
      </w:r>
      <w:r>
        <w:t xml:space="preserve">will be overwritten isn't known in advance).</w:t>
      </w:r>
    </w:p>
    <w:p>
      <w:pPr>
        <w:numPr>
          <w:ilvl w:val="0"/>
          <w:numId w:val="1000"/>
        </w:numPr>
      </w:pPr>
      <w:r>
        <w:t xml:space="preserve">When republishing names this way, the guidelines below regarding</w:t>
      </w:r>
      <w:r>
        <w:br/>
      </w:r>
      <w:r>
        <w:t xml:space="preserve">public and internal interfaces still apply.</w:t>
      </w:r>
    </w:p>
    <w:bookmarkEnd w:id="49"/>
    <w:bookmarkStart w:id="50" w:name="module-level-dunder-names"/>
    <w:p>
      <w:pPr>
        <w:pStyle w:val="Heading2"/>
      </w:pPr>
      <w:r>
        <w:t xml:space="preserve">Module Level Dunder Names</w:t>
      </w:r>
    </w:p>
    <w:p>
      <w:pPr>
        <w:pStyle w:val="FirstParagraph"/>
      </w:pPr>
      <w:r>
        <w:t xml:space="preserve">Module level "dunders" (i.e. names with two leading and two trailing</w:t>
      </w:r>
      <w:r>
        <w:br/>
      </w:r>
      <w:r>
        <w:t xml:space="preserve">underscores) such as</w:t>
      </w:r>
      <w:r>
        <w:t xml:space="preserve"> </w:t>
      </w:r>
      <w:r>
        <w:rPr>
          <w:rStyle w:val="VerbatimChar"/>
        </w:rPr>
        <w:t xml:space="preserve">__all__</w:t>
      </w:r>
      <w:r>
        <w:t xml:space="preserve">,</w:t>
      </w:r>
      <w:r>
        <w:t xml:space="preserve"> </w:t>
      </w:r>
      <w:r>
        <w:rPr>
          <w:rStyle w:val="VerbatimChar"/>
        </w:rPr>
        <w:t xml:space="preserve">__author__</w:t>
      </w:r>
      <w:r>
        <w:t xml:space="preserve">,</w:t>
      </w:r>
      <w:r>
        <w:t xml:space="preserve"> </w:t>
      </w:r>
      <w:r>
        <w:rPr>
          <w:rStyle w:val="VerbatimChar"/>
        </w:rPr>
        <w:t xml:space="preserve">__version__</w:t>
      </w:r>
      <w:r>
        <w:t xml:space="preserve">,</w:t>
      </w:r>
      <w:r>
        <w:br/>
      </w:r>
      <w:r>
        <w:t xml:space="preserve">etc. should be placed after the module docstring but before any import</w:t>
      </w:r>
      <w:r>
        <w:br/>
      </w:r>
      <w:r>
        <w:t xml:space="preserve">statements</w:t>
      </w:r>
      <w:r>
        <w:t xml:space="preserve"> </w:t>
      </w:r>
      <w:r>
        <w:rPr>
          <w:iCs/>
          <w:i/>
        </w:rPr>
        <w:t xml:space="preserve">except</w:t>
      </w:r>
      <w:r>
        <w:t xml:space="preserve"> </w:t>
      </w:r>
      <w:r>
        <w:rPr>
          <w:rStyle w:val="VerbatimChar"/>
        </w:rPr>
        <w:t xml:space="preserve">from __future__</w:t>
      </w:r>
      <w:r>
        <w:t xml:space="preserve"> </w:t>
      </w:r>
      <w:r>
        <w:t xml:space="preserve">imports. Python mandates that</w:t>
      </w:r>
      <w:r>
        <w:br/>
      </w:r>
      <w:r>
        <w:t xml:space="preserve">future-imports must appear in the module before any other code except</w:t>
      </w:r>
      <w:r>
        <w:br/>
      </w:r>
      <w:r>
        <w:t xml:space="preserve">docstrings:</w:t>
      </w:r>
    </w:p>
    <w:p>
      <w:pPr>
        <w:pStyle w:val="BodyText"/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pStyle w:val="BodyText"/>
      </w:pPr>
      <w:r>
        <w:t xml:space="preserve"> </w:t>
      </w:r>
      <w:r>
        <w:t xml:space="preserve">"""This is the example module.</w:t>
      </w:r>
    </w:p>
    <w:p>
      <w:pPr>
        <w:pStyle w:val="BodyText"/>
      </w:pPr>
      <w:r>
        <w:t xml:space="preserve"> </w:t>
      </w:r>
      <w:r>
        <w:t xml:space="preserve">This module does stuff.</w:t>
      </w:r>
      <w:r>
        <w:br/>
      </w:r>
      <w:r>
        <w:t xml:space="preserve"> </w:t>
      </w:r>
      <w:r>
        <w:t xml:space="preserve">"""</w:t>
      </w:r>
    </w:p>
    <w:p>
      <w:pPr>
        <w:pStyle w:val="BodyText"/>
      </w:pPr>
      <w:r>
        <w:t xml:space="preserve"> </w:t>
      </w:r>
      <w:r>
        <w:t xml:space="preserve">from</w:t>
      </w:r>
      <w:r>
        <w:t xml:space="preserve"> </w:t>
      </w:r>
      <w:r>
        <w:rPr>
          <w:bCs/>
          <w:b/>
        </w:rPr>
        <w:t xml:space="preserve">future</w:t>
      </w:r>
      <w:r>
        <w:t xml:space="preserve"> </w:t>
      </w:r>
      <w:r>
        <w:t xml:space="preserve">import barry_as_FLUFL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= ['a', 'b', 'c']</w:t>
      </w:r>
      <w:r>
        <w:br/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= '0.1'</w:t>
      </w:r>
      <w:r>
        <w:br/>
      </w:r>
      <w:r>
        <w:t xml:space="preserve"> </w:t>
      </w:r>
      <w:r>
        <w:rPr>
          <w:bCs/>
          <w:b/>
        </w:rPr>
        <w:t xml:space="preserve">author</w:t>
      </w:r>
      <w:r>
        <w:t xml:space="preserve"> </w:t>
      </w:r>
      <w:r>
        <w:t xml:space="preserve">= 'Cardinal Biggles'</w:t>
      </w:r>
    </w:p>
    <w:p>
      <w:pPr>
        <w:pStyle w:val="BodyText"/>
      </w:pPr>
      <w:r>
        <w:t xml:space="preserve"> </w:t>
      </w:r>
      <w:r>
        <w:t xml:space="preserve">import os</w:t>
      </w:r>
      <w:r>
        <w:br/>
      </w:r>
      <w:r>
        <w:t xml:space="preserve"> </w:t>
      </w:r>
      <w:r>
        <w:t xml:space="preserve">import sys</w:t>
      </w:r>
    </w:p>
    <w:bookmarkEnd w:id="50"/>
    <w:bookmarkEnd w:id="51"/>
    <w:bookmarkStart w:id="52" w:name="string-quotes"/>
    <w:p>
      <w:pPr>
        <w:pStyle w:val="Heading1"/>
      </w:pPr>
      <w:r>
        <w:t xml:space="preserve">String Quotes</w:t>
      </w:r>
    </w:p>
    <w:p>
      <w:pPr>
        <w:pStyle w:val="FirstParagraph"/>
      </w:pPr>
      <w:r>
        <w:t xml:space="preserve">In Python, single-quoted strings and double-quoted strings are the</w:t>
      </w:r>
      <w:r>
        <w:br/>
      </w:r>
      <w:r>
        <w:t xml:space="preserve">same. This PEP does not make a recommendation for this. Pick a rule</w:t>
      </w:r>
      <w:r>
        <w:br/>
      </w:r>
      <w:r>
        <w:t xml:space="preserve">and stick to it. When a string contains single or double quote</w:t>
      </w:r>
      <w:r>
        <w:br/>
      </w:r>
      <w:r>
        <w:t xml:space="preserve">characters, however, use the other one to avoid backslashes in the</w:t>
      </w:r>
      <w:r>
        <w:br/>
      </w:r>
      <w:r>
        <w:t xml:space="preserve">string. It improves readability.</w:t>
      </w:r>
    </w:p>
    <w:p>
      <w:pPr>
        <w:pStyle w:val="BodyText"/>
      </w:pPr>
      <w:r>
        <w:t xml:space="preserve">For triple-quoted strings, always use double quote characters to be</w:t>
      </w:r>
      <w:r>
        <w:br/>
      </w:r>
      <w:r>
        <w:t xml:space="preserve">consistent with the docstring convention in :pep:</w:t>
      </w:r>
      <w:r>
        <w:rPr>
          <w:rStyle w:val="VerbatimChar"/>
        </w:rPr>
        <w:t xml:space="preserve">257</w:t>
      </w:r>
      <w:r>
        <w:t xml:space="preserve">.</w:t>
      </w:r>
    </w:p>
    <w:bookmarkEnd w:id="52"/>
    <w:bookmarkStart w:id="78" w:name="whitespace-in-expressions-and-statements"/>
    <w:p>
      <w:pPr>
        <w:pStyle w:val="Heading1"/>
      </w:pPr>
      <w:r>
        <w:t xml:space="preserve">Whitespace in Expressions and Statements</w:t>
      </w:r>
    </w:p>
    <w:bookmarkStart w:id="66" w:name="pet-peeves"/>
    <w:p>
      <w:pPr>
        <w:pStyle w:val="Heading2"/>
      </w:pPr>
      <w:r>
        <w:t xml:space="preserve">Pet Peeves</w:t>
      </w:r>
    </w:p>
    <w:p>
      <w:pPr>
        <w:pStyle w:val="FirstParagraph"/>
      </w:pPr>
      <w:r>
        <w:t xml:space="preserve">Avoid extraneous whitespace in the following situations:</w:t>
      </w:r>
    </w:p>
    <w:p>
      <w:pPr>
        <w:numPr>
          <w:ilvl w:val="0"/>
          <w:numId w:val="1005"/>
        </w:numPr>
      </w:pPr>
      <w:r>
        <w:t xml:space="preserve">Immediately inside parentheses, brackets or braces: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53" w:name="correct-4"/>
      <w:r>
        <w:t xml:space="preserve">Correct:</w:t>
      </w:r>
      <w:bookmarkEnd w:id="53"/>
    </w:p>
    <w:p>
      <w:pPr>
        <w:numPr>
          <w:ilvl w:val="0"/>
          <w:numId w:val="1000"/>
        </w:numPr>
      </w:pPr>
      <w:r>
        <w:t xml:space="preserve"> </w:t>
      </w:r>
      <w:r>
        <w:t xml:space="preserve">spam(ham[1], {eggs: 2})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54" w:name="wrong-4"/>
      <w:r>
        <w:t xml:space="preserve">Wrong:</w:t>
      </w:r>
      <w:bookmarkEnd w:id="54"/>
    </w:p>
    <w:p>
      <w:pPr>
        <w:numPr>
          <w:ilvl w:val="0"/>
          <w:numId w:val="1000"/>
        </w:numPr>
      </w:pPr>
      <w:r>
        <w:t xml:space="preserve"> </w:t>
      </w:r>
      <w:r>
        <w:t xml:space="preserve">spam( ham[ 1 ], { eggs: 2 } )</w:t>
      </w:r>
    </w:p>
    <w:p>
      <w:pPr>
        <w:numPr>
          <w:ilvl w:val="0"/>
          <w:numId w:val="1005"/>
        </w:numPr>
      </w:pPr>
      <w:r>
        <w:t xml:space="preserve">Between a trailing comma and a following close parenthesis: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55" w:name="correct-5"/>
      <w:r>
        <w:t xml:space="preserve">Correct:</w:t>
      </w:r>
      <w:bookmarkEnd w:id="55"/>
    </w:p>
    <w:p>
      <w:pPr>
        <w:numPr>
          <w:ilvl w:val="0"/>
          <w:numId w:val="1000"/>
        </w:numPr>
      </w:pPr>
      <w:r>
        <w:t xml:space="preserve"> </w:t>
      </w:r>
      <w:r>
        <w:t xml:space="preserve">foo = (0,)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56" w:name="wrong-5"/>
      <w:r>
        <w:t xml:space="preserve">Wrong:</w:t>
      </w:r>
      <w:bookmarkEnd w:id="56"/>
    </w:p>
    <w:p>
      <w:pPr>
        <w:numPr>
          <w:ilvl w:val="0"/>
          <w:numId w:val="1000"/>
        </w:numPr>
      </w:pPr>
      <w:r>
        <w:t xml:space="preserve"> </w:t>
      </w:r>
      <w:r>
        <w:t xml:space="preserve">bar = (0, )</w:t>
      </w:r>
    </w:p>
    <w:p>
      <w:pPr>
        <w:numPr>
          <w:ilvl w:val="0"/>
          <w:numId w:val="1005"/>
        </w:numPr>
      </w:pPr>
      <w:r>
        <w:t xml:space="preserve">Immediately before a comma, semicolon, or colon: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57" w:name="correct-6"/>
      <w:r>
        <w:t xml:space="preserve">Correct:</w:t>
      </w:r>
      <w:bookmarkEnd w:id="57"/>
    </w:p>
    <w:p>
      <w:pPr>
        <w:numPr>
          <w:ilvl w:val="0"/>
          <w:numId w:val="1000"/>
        </w:numPr>
      </w:pPr>
      <w:r>
        <w:t xml:space="preserve"> </w:t>
      </w:r>
      <w:r>
        <w:t xml:space="preserve">if x == 4: print(x, y); x, y = y, x</w:t>
      </w:r>
    </w:p>
    <w:p>
      <w:pPr>
        <w:pStyle w:val="FirstParagraph"/>
      </w:pPr>
      <w:r>
        <w:t xml:space="preserve"> </w:t>
      </w: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pStyle w:val="SourceCode"/>
      </w:pPr>
      <w:r>
        <w:rPr>
          <w:rStyle w:val="VerbatimChar"/>
        </w:rPr>
        <w:t xml:space="preserve"> # Wrong:</w:t>
      </w:r>
      <w:r>
        <w:br/>
      </w:r>
      <w:r>
        <w:rPr>
          <w:rStyle w:val="VerbatimChar"/>
        </w:rPr>
        <w:t xml:space="preserve"> if x == 4 : print(x , y) ; x , y = y , x</w:t>
      </w:r>
    </w:p>
    <w:p>
      <w:pPr>
        <w:numPr>
          <w:ilvl w:val="0"/>
          <w:numId w:val="1006"/>
        </w:numPr>
      </w:pPr>
      <w:r>
        <w:t xml:space="preserve">However, in a slice the colon acts like a binary operator, and</w:t>
      </w:r>
      <w:r>
        <w:br/>
      </w:r>
      <w:r>
        <w:t xml:space="preserve">should have equal amounts on either side (treating it as the</w:t>
      </w:r>
      <w:r>
        <w:br/>
      </w:r>
      <w:r>
        <w:t xml:space="preserve">operator with the lowest priority). In an extended slice, both</w:t>
      </w:r>
      <w:r>
        <w:br/>
      </w:r>
      <w:r>
        <w:t xml:space="preserve">colons must have the same amount of spacing applied. Exception:</w:t>
      </w:r>
      <w:r>
        <w:br/>
      </w:r>
      <w:r>
        <w:t xml:space="preserve">when a slice parameter is omitted, the space is omitted: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58" w:name="correct-7"/>
      <w:r>
        <w:t xml:space="preserve">Correct:</w:t>
      </w:r>
      <w:bookmarkEnd w:id="58"/>
    </w:p>
    <w:p>
      <w:pPr>
        <w:numPr>
          <w:ilvl w:val="0"/>
          <w:numId w:val="1000"/>
        </w:numPr>
      </w:pPr>
      <w:r>
        <w:t xml:space="preserve"> </w:t>
      </w:r>
      <w:r>
        <w:t xml:space="preserve">ham[1:9], ham[1:9:3], ham[:9:3], ham[1::3], ham[1:9:]</w:t>
      </w:r>
      <w:r>
        <w:br/>
      </w:r>
      <w:r>
        <w:t xml:space="preserve"> </w:t>
      </w:r>
      <w:r>
        <w:t xml:space="preserve">ham[lower:upper], ham[lower:upper:], ham[lower::step]</w:t>
      </w:r>
      <w:r>
        <w:br/>
      </w:r>
      <w:r>
        <w:t xml:space="preserve"> </w:t>
      </w:r>
      <w:r>
        <w:t xml:space="preserve">ham[lower+offset : upper+offset]</w:t>
      </w:r>
      <w:r>
        <w:br/>
      </w:r>
      <w:r>
        <w:t xml:space="preserve"> </w:t>
      </w:r>
      <w:r>
        <w:t xml:space="preserve">ham[: upper_fn(x) : step_fn(x)], ham[:: step_fn(x)]</w:t>
      </w:r>
      <w:r>
        <w:br/>
      </w:r>
      <w:r>
        <w:t xml:space="preserve"> </w:t>
      </w:r>
      <w:r>
        <w:t xml:space="preserve">ham[lower + offset : upper + offset]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59" w:name="wrong-6"/>
      <w:r>
        <w:t xml:space="preserve">Wrong:</w:t>
      </w:r>
      <w:bookmarkEnd w:id="59"/>
    </w:p>
    <w:p>
      <w:pPr>
        <w:numPr>
          <w:ilvl w:val="0"/>
          <w:numId w:val="1000"/>
        </w:numPr>
      </w:pPr>
      <w:r>
        <w:t xml:space="preserve"> </w:t>
      </w:r>
      <w:r>
        <w:t xml:space="preserve">ham[lower + offset:upper + offset]</w:t>
      </w:r>
      <w:r>
        <w:br/>
      </w:r>
      <w:r>
        <w:t xml:space="preserve"> </w:t>
      </w:r>
      <w:r>
        <w:t xml:space="preserve">ham[1: 9], ham[1 :9], ham[1:9 :3]</w:t>
      </w:r>
      <w:r>
        <w:br/>
      </w:r>
      <w:r>
        <w:t xml:space="preserve"> </w:t>
      </w:r>
      <w:r>
        <w:t xml:space="preserve">ham[lower : : step]</w:t>
      </w:r>
      <w:r>
        <w:br/>
      </w:r>
      <w:r>
        <w:t xml:space="preserve"> </w:t>
      </w:r>
      <w:r>
        <w:t xml:space="preserve">ham[ : upper]</w:t>
      </w:r>
    </w:p>
    <w:p>
      <w:pPr>
        <w:numPr>
          <w:ilvl w:val="0"/>
          <w:numId w:val="1006"/>
        </w:numPr>
      </w:pPr>
      <w:r>
        <w:t xml:space="preserve">Immediately before the open parenthesis that starts the argument</w:t>
      </w:r>
      <w:r>
        <w:br/>
      </w:r>
      <w:r>
        <w:t xml:space="preserve">list of a function call: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60" w:name="correct-8"/>
      <w:r>
        <w:t xml:space="preserve">Correct:</w:t>
      </w:r>
      <w:bookmarkEnd w:id="60"/>
    </w:p>
    <w:p>
      <w:pPr>
        <w:numPr>
          <w:ilvl w:val="0"/>
          <w:numId w:val="1000"/>
        </w:numPr>
      </w:pPr>
      <w:r>
        <w:t xml:space="preserve"> </w:t>
      </w:r>
      <w:r>
        <w:t xml:space="preserve">spam(1)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61" w:name="wrong-7"/>
      <w:r>
        <w:t xml:space="preserve">Wrong:</w:t>
      </w:r>
      <w:bookmarkEnd w:id="61"/>
    </w:p>
    <w:p>
      <w:pPr>
        <w:numPr>
          <w:ilvl w:val="0"/>
          <w:numId w:val="1000"/>
        </w:numPr>
      </w:pPr>
      <w:r>
        <w:t xml:space="preserve"> </w:t>
      </w:r>
      <w:r>
        <w:t xml:space="preserve">spam (1)</w:t>
      </w:r>
    </w:p>
    <w:p>
      <w:pPr>
        <w:numPr>
          <w:ilvl w:val="0"/>
          <w:numId w:val="1006"/>
        </w:numPr>
      </w:pPr>
      <w:r>
        <w:t xml:space="preserve">Immediately before the open parenthesis that starts an indexing or</w:t>
      </w:r>
      <w:r>
        <w:br/>
      </w:r>
      <w:r>
        <w:t xml:space="preserve">slicing: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62" w:name="correct-9"/>
      <w:r>
        <w:t xml:space="preserve">Correct:</w:t>
      </w:r>
      <w:bookmarkEnd w:id="62"/>
    </w:p>
    <w:p>
      <w:pPr>
        <w:numPr>
          <w:ilvl w:val="0"/>
          <w:numId w:val="1000"/>
        </w:numPr>
      </w:pPr>
      <w:r>
        <w:t xml:space="preserve"> </w:t>
      </w:r>
      <w:r>
        <w:t xml:space="preserve">dct['key'] = lst[index]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63" w:name="wrong-8"/>
      <w:r>
        <w:t xml:space="preserve">Wrong:</w:t>
      </w:r>
      <w:bookmarkEnd w:id="63"/>
    </w:p>
    <w:p>
      <w:pPr>
        <w:numPr>
          <w:ilvl w:val="0"/>
          <w:numId w:val="1000"/>
        </w:numPr>
      </w:pPr>
      <w:r>
        <w:t xml:space="preserve"> </w:t>
      </w:r>
      <w:r>
        <w:t xml:space="preserve">dct ['key'] = lst [index]</w:t>
      </w:r>
    </w:p>
    <w:p>
      <w:pPr>
        <w:numPr>
          <w:ilvl w:val="0"/>
          <w:numId w:val="1006"/>
        </w:numPr>
      </w:pPr>
      <w:r>
        <w:t xml:space="preserve">More than one space around an assignment (or other) operator to</w:t>
      </w:r>
      <w:r>
        <w:br/>
      </w:r>
      <w:r>
        <w:t xml:space="preserve">align it with another: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64" w:name="correct-10"/>
      <w:r>
        <w:t xml:space="preserve">Correct:</w:t>
      </w:r>
      <w:bookmarkEnd w:id="64"/>
    </w:p>
    <w:p>
      <w:pPr>
        <w:numPr>
          <w:ilvl w:val="0"/>
          <w:numId w:val="1000"/>
        </w:numPr>
      </w:pPr>
      <w:r>
        <w:t xml:space="preserve"> </w:t>
      </w:r>
      <w:r>
        <w:t xml:space="preserve">x = 1</w:t>
      </w:r>
      <w:r>
        <w:br/>
      </w:r>
      <w:r>
        <w:t xml:space="preserve"> </w:t>
      </w:r>
      <w:r>
        <w:t xml:space="preserve">y = 2</w:t>
      </w:r>
      <w:r>
        <w:br/>
      </w:r>
      <w:r>
        <w:t xml:space="preserve"> </w:t>
      </w:r>
      <w:r>
        <w:t xml:space="preserve">long_variable = 3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65" w:name="wrong-9"/>
      <w:r>
        <w:t xml:space="preserve">Wrong:</w:t>
      </w:r>
      <w:bookmarkEnd w:id="65"/>
    </w:p>
    <w:p>
      <w:pPr>
        <w:numPr>
          <w:ilvl w:val="0"/>
          <w:numId w:val="1000"/>
        </w:numPr>
      </w:pPr>
      <w:r>
        <w:t xml:space="preserve"> </w:t>
      </w:r>
      <w:r>
        <w:t xml:space="preserve">x = 1</w:t>
      </w:r>
      <w:r>
        <w:br/>
      </w:r>
      <w:r>
        <w:t xml:space="preserve"> </w:t>
      </w:r>
      <w:r>
        <w:t xml:space="preserve">y = 2</w:t>
      </w:r>
      <w:r>
        <w:br/>
      </w:r>
      <w:r>
        <w:t xml:space="preserve"> </w:t>
      </w:r>
      <w:r>
        <w:t xml:space="preserve">long_variable = 3</w:t>
      </w:r>
    </w:p>
    <w:bookmarkEnd w:id="66"/>
    <w:bookmarkStart w:id="77" w:name="other-recommendations"/>
    <w:p>
      <w:pPr>
        <w:pStyle w:val="Heading2"/>
      </w:pPr>
      <w:r>
        <w:t xml:space="preserve">Other Recommendations</w:t>
      </w:r>
    </w:p>
    <w:p>
      <w:pPr>
        <w:numPr>
          <w:ilvl w:val="0"/>
          <w:numId w:val="1007"/>
        </w:numPr>
      </w:pPr>
      <w:r>
        <w:t xml:space="preserve">Avoid trailing whitespace anywhere. Because it's usually invisible,</w:t>
      </w:r>
      <w:r>
        <w:br/>
      </w:r>
      <w:r>
        <w:t xml:space="preserve">it can be confusing: e.g. a backslash followed by a space and a</w:t>
      </w:r>
      <w:r>
        <w:br/>
      </w:r>
      <w:r>
        <w:t xml:space="preserve">newline does not count as a line continuation marker. Some editors</w:t>
      </w:r>
      <w:r>
        <w:br/>
      </w:r>
      <w:r>
        <w:t xml:space="preserve">don't preserve it and many projects (like CPython itself) have</w:t>
      </w:r>
      <w:r>
        <w:br/>
      </w:r>
      <w:r>
        <w:t xml:space="preserve">pre-commit hooks that reject it.</w:t>
      </w:r>
    </w:p>
    <w:p>
      <w:pPr>
        <w:numPr>
          <w:ilvl w:val="0"/>
          <w:numId w:val="1007"/>
        </w:numPr>
      </w:pPr>
      <w:r>
        <w:t xml:space="preserve">Always surround these binary operators with a single space on either</w:t>
      </w:r>
      <w:r>
        <w:br/>
      </w:r>
      <w:r>
        <w:t xml:space="preserve">side: assignment (</w:t>
      </w:r>
      <w:r>
        <w:rPr>
          <w:rStyle w:val="VerbatimChar"/>
        </w:rPr>
        <w:t xml:space="preserve">=</w:t>
      </w:r>
      <w:r>
        <w:t xml:space="preserve">), augmented assignment (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br/>
      </w:r>
      <w:r>
        <w:t xml:space="preserve">etc.), comparisons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&lt;=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,</w:t>
      </w:r>
      <w:r>
        <w:t xml:space="preserve"> </w:t>
      </w:r>
      <w:r>
        <w:rPr>
          <w:rStyle w:val="VerbatimChar"/>
        </w:rPr>
        <w:t xml:space="preserve">in</w:t>
      </w:r>
      <w:r>
        <w:t xml:space="preserve">,</w:t>
      </w:r>
      <w:r>
        <w:br/>
      </w:r>
      <w:r>
        <w:rPr>
          <w:rStyle w:val="VerbatimChar"/>
        </w:rPr>
        <w:t xml:space="preserve">not in</w:t>
      </w:r>
      <w:r>
        <w:t xml:space="preserve">,</w:t>
      </w:r>
      <w:r>
        <w:t xml:space="preserve"> </w:t>
      </w:r>
      <w:r>
        <w:rPr>
          <w:rStyle w:val="VerbatimChar"/>
        </w:rPr>
        <w:t xml:space="preserve">is</w:t>
      </w:r>
      <w:r>
        <w:t xml:space="preserve">,</w:t>
      </w:r>
      <w:r>
        <w:t xml:space="preserve"> </w:t>
      </w:r>
      <w:r>
        <w:rPr>
          <w:rStyle w:val="VerbatimChar"/>
        </w:rPr>
        <w:t xml:space="preserve">is not</w:t>
      </w:r>
      <w:r>
        <w:t xml:space="preserve">), Booleans (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</w:t>
      </w:r>
      <w:r>
        <w:t xml:space="preserve"> </w:t>
      </w:r>
      <w:r>
        <w:rPr>
          <w:rStyle w:val="VerbatimChar"/>
        </w:rPr>
        <w:t xml:space="preserve">not</w:t>
      </w:r>
      <w:r>
        <w:t xml:space="preserve">).</w:t>
      </w:r>
    </w:p>
    <w:p>
      <w:pPr>
        <w:numPr>
          <w:ilvl w:val="0"/>
          <w:numId w:val="1007"/>
        </w:numPr>
      </w:pPr>
      <w:r>
        <w:t xml:space="preserve">If operators with different priorities are used, consider adding</w:t>
      </w:r>
      <w:r>
        <w:br/>
      </w:r>
      <w:r>
        <w:t xml:space="preserve">whitespace around the operators with the lowest priority(ies). Use</w:t>
      </w:r>
      <w:r>
        <w:br/>
      </w:r>
      <w:r>
        <w:t xml:space="preserve">your own judgment; however, never use more than one space, and</w:t>
      </w:r>
      <w:r>
        <w:br/>
      </w:r>
      <w:r>
        <w:t xml:space="preserve">always have the same amount of whitespace on both sides of a binary</w:t>
      </w:r>
      <w:r>
        <w:br/>
      </w:r>
      <w:r>
        <w:t xml:space="preserve">operator: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67" w:name="correct-11"/>
      <w:r>
        <w:t xml:space="preserve">Correct:</w:t>
      </w:r>
      <w:bookmarkEnd w:id="67"/>
    </w:p>
    <w:p>
      <w:pPr>
        <w:numPr>
          <w:ilvl w:val="0"/>
          <w:numId w:val="1000"/>
        </w:numPr>
      </w:pPr>
      <w:r>
        <w:t xml:space="preserve"> </w:t>
      </w:r>
      <w:r>
        <w:t xml:space="preserve">i = i + 1</w:t>
      </w:r>
      <w:r>
        <w:br/>
      </w:r>
      <w:r>
        <w:t xml:space="preserve"> </w:t>
      </w:r>
      <w:r>
        <w:t xml:space="preserve">submitted += 1</w:t>
      </w:r>
      <w:r>
        <w:br/>
      </w:r>
      <w:r>
        <w:t xml:space="preserve"> </w:t>
      </w:r>
      <w:r>
        <w:t xml:space="preserve">x = x</w:t>
      </w:r>
      <w:r>
        <w:rPr>
          <w:iCs/>
          <w:i/>
        </w:rPr>
        <w:t xml:space="preserve">2 - 1</w:t>
      </w:r>
      <w:r>
        <w:br/>
      </w:r>
      <w:r>
        <w:rPr>
          <w:iCs/>
          <w:i/>
        </w:rPr>
        <w:t xml:space="preserve"> </w:t>
      </w:r>
      <w:r>
        <w:rPr>
          <w:iCs/>
          <w:i/>
        </w:rPr>
        <w:t xml:space="preserve">hypot2 = x</w:t>
      </w:r>
      <w:r>
        <w:t xml:space="preserve">x + y*y</w:t>
      </w:r>
      <w:r>
        <w:br/>
      </w:r>
      <w:r>
        <w:t xml:space="preserve"> </w:t>
      </w:r>
      <w:r>
        <w:t xml:space="preserve">c = (a+b) * (a-b)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68" w:name="wrong-10"/>
      <w:r>
        <w:t xml:space="preserve">Wrong:</w:t>
      </w:r>
      <w:bookmarkEnd w:id="68"/>
    </w:p>
    <w:p>
      <w:pPr>
        <w:numPr>
          <w:ilvl w:val="0"/>
          <w:numId w:val="1000"/>
        </w:numPr>
      </w:pPr>
      <w:r>
        <w:t xml:space="preserve"> </w:t>
      </w:r>
      <w:r>
        <w:t xml:space="preserve">i=i+1</w:t>
      </w:r>
      <w:r>
        <w:br/>
      </w:r>
      <w:r>
        <w:t xml:space="preserve"> </w:t>
      </w:r>
      <w:r>
        <w:t xml:space="preserve">submitted +=1</w:t>
      </w:r>
      <w:r>
        <w:br/>
      </w:r>
      <w:r>
        <w:t xml:space="preserve"> </w:t>
      </w:r>
      <w:r>
        <w:t xml:space="preserve">x = x * 2 - 1</w:t>
      </w:r>
      <w:r>
        <w:br/>
      </w:r>
      <w:r>
        <w:t xml:space="preserve"> </w:t>
      </w:r>
      <w:r>
        <w:t xml:space="preserve">hypot2 = x * x + y * y</w:t>
      </w:r>
      <w:r>
        <w:br/>
      </w:r>
      <w:r>
        <w:t xml:space="preserve"> </w:t>
      </w:r>
      <w:r>
        <w:t xml:space="preserve">c = (a + b) * (a - b)</w:t>
      </w:r>
    </w:p>
    <w:p>
      <w:pPr>
        <w:numPr>
          <w:ilvl w:val="0"/>
          <w:numId w:val="1007"/>
        </w:numPr>
      </w:pPr>
      <w:r>
        <w:t xml:space="preserve">Function annotations should use the normal rules for colons and</w:t>
      </w:r>
      <w:r>
        <w:br/>
      </w:r>
      <w:r>
        <w:t xml:space="preserve">always have spaces around the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arrow if present. (See</w:t>
      </w:r>
      <w:r>
        <w:br/>
      </w:r>
      <w:r>
        <w:rPr>
          <w:rStyle w:val="VerbatimChar"/>
        </w:rPr>
        <w:t xml:space="preserve">Function Annotations</w:t>
      </w:r>
      <w:r>
        <w:t xml:space="preserve">_ below for more about function annotations.):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69" w:name="correct-12"/>
      <w:r>
        <w:t xml:space="preserve">Correct:</w:t>
      </w:r>
      <w:bookmarkEnd w:id="69"/>
    </w:p>
    <w:p>
      <w:pPr>
        <w:numPr>
          <w:ilvl w:val="0"/>
          <w:numId w:val="1000"/>
        </w:numPr>
      </w:pPr>
      <w:r>
        <w:t xml:space="preserve"> </w:t>
      </w:r>
      <w:r>
        <w:t xml:space="preserve">def munge(input: AnyStr): ...</w:t>
      </w:r>
      <w:r>
        <w:br/>
      </w:r>
      <w:r>
        <w:t xml:space="preserve"> </w:t>
      </w:r>
      <w:r>
        <w:t xml:space="preserve">def munge() -&gt; PosInt: ...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70" w:name="wrong-11"/>
      <w:r>
        <w:t xml:space="preserve">Wrong:</w:t>
      </w:r>
      <w:bookmarkEnd w:id="70"/>
    </w:p>
    <w:p>
      <w:pPr>
        <w:numPr>
          <w:ilvl w:val="0"/>
          <w:numId w:val="1000"/>
        </w:numPr>
      </w:pPr>
      <w:r>
        <w:t xml:space="preserve"> </w:t>
      </w:r>
      <w:r>
        <w:t xml:space="preserve">def munge(input:AnyStr): ...</w:t>
      </w:r>
      <w:r>
        <w:br/>
      </w:r>
      <w:r>
        <w:t xml:space="preserve"> </w:t>
      </w:r>
      <w:r>
        <w:t xml:space="preserve">def munge()-&gt;PosInt: ...</w:t>
      </w:r>
    </w:p>
    <w:p>
      <w:pPr>
        <w:numPr>
          <w:ilvl w:val="0"/>
          <w:numId w:val="1007"/>
        </w:numPr>
      </w:pPr>
      <w:r>
        <w:t xml:space="preserve">Don't use spaces around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when used to indicate a</w:t>
      </w:r>
      <w:r>
        <w:br/>
      </w:r>
      <w:r>
        <w:t xml:space="preserve">keyword argument, or when used to indicate a default value for an</w:t>
      </w:r>
      <w:r>
        <w:br/>
      </w:r>
      <w:r>
        <w:rPr>
          <w:iCs/>
          <w:i/>
        </w:rPr>
        <w:t xml:space="preserve">unannotated</w:t>
      </w:r>
      <w:r>
        <w:t xml:space="preserve"> </w:t>
      </w:r>
      <w:r>
        <w:t xml:space="preserve">function parameter: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71" w:name="correct-13"/>
      <w:r>
        <w:t xml:space="preserve">Correct:</w:t>
      </w:r>
      <w:bookmarkEnd w:id="71"/>
    </w:p>
    <w:p>
      <w:pPr>
        <w:numPr>
          <w:ilvl w:val="0"/>
          <w:numId w:val="1000"/>
        </w:numPr>
      </w:pPr>
      <w:r>
        <w:t xml:space="preserve"> </w:t>
      </w:r>
      <w:r>
        <w:t xml:space="preserve">def complex(real, imag=0.0):</w:t>
      </w:r>
      <w:r>
        <w:br/>
      </w:r>
      <w:r>
        <w:t xml:space="preserve"> </w:t>
      </w:r>
      <w:r>
        <w:t xml:space="preserve">return magic(r=real, i=imag)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72" w:name="wrong-12"/>
      <w:r>
        <w:t xml:space="preserve">Wrong:</w:t>
      </w:r>
      <w:bookmarkEnd w:id="72"/>
    </w:p>
    <w:p>
      <w:pPr>
        <w:numPr>
          <w:ilvl w:val="0"/>
          <w:numId w:val="1000"/>
        </w:numPr>
      </w:pPr>
      <w:r>
        <w:t xml:space="preserve"> </w:t>
      </w:r>
      <w:r>
        <w:t xml:space="preserve">def complex(real, imag = 0.0):</w:t>
      </w:r>
      <w:r>
        <w:br/>
      </w:r>
      <w:r>
        <w:t xml:space="preserve"> </w:t>
      </w:r>
      <w:r>
        <w:t xml:space="preserve">return magic(r = real, i = imag)</w:t>
      </w:r>
    </w:p>
    <w:p>
      <w:pPr>
        <w:pStyle w:val="FirstParagraph"/>
      </w:pPr>
      <w:r>
        <w:t xml:space="preserve"> </w:t>
      </w:r>
      <w:r>
        <w:t xml:space="preserve">When combining an argument annotation with a default value, however, do use</w:t>
      </w:r>
      <w:r>
        <w:br/>
      </w:r>
      <w:r>
        <w:t xml:space="preserve"> </w:t>
      </w:r>
      <w:r>
        <w:t xml:space="preserve">spaces around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sign:</w:t>
      </w:r>
    </w:p>
    <w:p>
      <w:pPr>
        <w:pStyle w:val="BodyText"/>
      </w:pPr>
      <w:r>
        <w:t xml:space="preserve"> </w:t>
      </w: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pStyle w:val="SourceCode"/>
      </w:pPr>
      <w:r>
        <w:rPr>
          <w:rStyle w:val="VerbatimChar"/>
        </w:rPr>
        <w:t xml:space="preserve"> # Correct:</w:t>
      </w:r>
      <w:r>
        <w:br/>
      </w:r>
      <w:r>
        <w:rPr>
          <w:rStyle w:val="VerbatimChar"/>
        </w:rPr>
        <w:t xml:space="preserve"> def munge(sep: AnyStr = None): ...</w:t>
      </w:r>
      <w:r>
        <w:br/>
      </w:r>
      <w:r>
        <w:rPr>
          <w:rStyle w:val="VerbatimChar"/>
        </w:rPr>
        <w:t xml:space="preserve"> def munge(input: AnyStr, sep: AnyStr = None, limit=1000): ...</w:t>
      </w:r>
    </w:p>
    <w:p>
      <w:pPr>
        <w:pStyle w:val="FirstParagraph"/>
      </w:pPr>
      <w:r>
        <w:t xml:space="preserve"> </w:t>
      </w: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pStyle w:val="SourceCode"/>
      </w:pPr>
      <w:r>
        <w:rPr>
          <w:rStyle w:val="VerbatimChar"/>
        </w:rPr>
        <w:t xml:space="preserve"> # Wrong:</w:t>
      </w:r>
      <w:r>
        <w:br/>
      </w:r>
      <w:r>
        <w:rPr>
          <w:rStyle w:val="VerbatimChar"/>
        </w:rPr>
        <w:t xml:space="preserve"> def munge(input: AnyStr=None): ...</w:t>
      </w:r>
      <w:r>
        <w:br/>
      </w:r>
      <w:r>
        <w:rPr>
          <w:rStyle w:val="VerbatimChar"/>
        </w:rPr>
        <w:t xml:space="preserve"> def munge(input: AnyStr, limit = 1000): ...</w:t>
      </w:r>
    </w:p>
    <w:p>
      <w:pPr>
        <w:numPr>
          <w:ilvl w:val="0"/>
          <w:numId w:val="1008"/>
        </w:numPr>
      </w:pPr>
      <w:r>
        <w:t xml:space="preserve">Compound statements (multiple statements on the same line) are</w:t>
      </w:r>
      <w:r>
        <w:br/>
      </w:r>
      <w:r>
        <w:t xml:space="preserve">generally discouraged: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73" w:name="correct-14"/>
      <w:r>
        <w:t xml:space="preserve">Correct:</w:t>
      </w:r>
      <w:bookmarkEnd w:id="73"/>
    </w:p>
    <w:p>
      <w:pPr>
        <w:numPr>
          <w:ilvl w:val="0"/>
          <w:numId w:val="1000"/>
        </w:numPr>
      </w:pPr>
      <w:r>
        <w:t xml:space="preserve"> </w:t>
      </w:r>
      <w:r>
        <w:t xml:space="preserve">if foo == 'blah':</w:t>
      </w:r>
      <w:r>
        <w:br/>
      </w:r>
      <w:r>
        <w:t xml:space="preserve"> </w:t>
      </w:r>
      <w:r>
        <w:t xml:space="preserve">do_blah_thing()</w:t>
      </w:r>
      <w:r>
        <w:br/>
      </w:r>
      <w:r>
        <w:t xml:space="preserve"> </w:t>
      </w:r>
      <w:r>
        <w:t xml:space="preserve">do_one()</w:t>
      </w:r>
      <w:r>
        <w:br/>
      </w:r>
      <w:r>
        <w:t xml:space="preserve"> </w:t>
      </w:r>
      <w:r>
        <w:t xml:space="preserve">do_two()</w:t>
      </w:r>
      <w:r>
        <w:br/>
      </w:r>
      <w:r>
        <w:t xml:space="preserve"> </w:t>
      </w:r>
      <w:r>
        <w:t xml:space="preserve">do_three()</w:t>
      </w:r>
    </w:p>
    <w:p>
      <w:pPr>
        <w:numPr>
          <w:ilvl w:val="0"/>
          <w:numId w:val="1000"/>
        </w:numPr>
      </w:pPr>
      <w:r>
        <w:t xml:space="preserve">Rather not: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74" w:name="wrong-13"/>
      <w:r>
        <w:t xml:space="preserve">Wrong:</w:t>
      </w:r>
      <w:bookmarkEnd w:id="74"/>
    </w:p>
    <w:p>
      <w:pPr>
        <w:numPr>
          <w:ilvl w:val="0"/>
          <w:numId w:val="1000"/>
        </w:numPr>
      </w:pPr>
      <w:r>
        <w:t xml:space="preserve"> </w:t>
      </w:r>
      <w:r>
        <w:t xml:space="preserve">if foo == 'blah': do_blah_thing()</w:t>
      </w:r>
      <w:r>
        <w:br/>
      </w:r>
      <w:r>
        <w:t xml:space="preserve"> </w:t>
      </w:r>
      <w:r>
        <w:t xml:space="preserve">do_one(); do_two(); do_three()</w:t>
      </w:r>
    </w:p>
    <w:p>
      <w:pPr>
        <w:numPr>
          <w:ilvl w:val="0"/>
          <w:numId w:val="1008"/>
        </w:numPr>
      </w:pPr>
      <w:r>
        <w:t xml:space="preserve">While sometimes it's okay to put an if/for/while with a small body</w:t>
      </w:r>
      <w:r>
        <w:br/>
      </w:r>
      <w:r>
        <w:t xml:space="preserve">on the same line, never do this for multi-clause statements. Also</w:t>
      </w:r>
      <w:r>
        <w:br/>
      </w:r>
      <w:r>
        <w:t xml:space="preserve">avoid folding such long lines!</w:t>
      </w:r>
    </w:p>
    <w:p>
      <w:pPr>
        <w:numPr>
          <w:ilvl w:val="0"/>
          <w:numId w:val="1000"/>
        </w:numPr>
      </w:pPr>
      <w:r>
        <w:t xml:space="preserve">Rather not: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75" w:name="wrong-14"/>
      <w:r>
        <w:t xml:space="preserve">Wrong:</w:t>
      </w:r>
      <w:bookmarkEnd w:id="75"/>
    </w:p>
    <w:p>
      <w:pPr>
        <w:numPr>
          <w:ilvl w:val="0"/>
          <w:numId w:val="1000"/>
        </w:numPr>
      </w:pPr>
      <w:r>
        <w:t xml:space="preserve"> </w:t>
      </w:r>
      <w:r>
        <w:t xml:space="preserve">if foo == 'blah': do_blah_thing()</w:t>
      </w:r>
      <w:r>
        <w:br/>
      </w:r>
      <w:r>
        <w:t xml:space="preserve"> </w:t>
      </w:r>
      <w:r>
        <w:t xml:space="preserve">for x in lst: total += x</w:t>
      </w:r>
      <w:r>
        <w:br/>
      </w:r>
      <w:r>
        <w:t xml:space="preserve"> </w:t>
      </w:r>
      <w:r>
        <w:t xml:space="preserve">while t &lt; 10: t = delay()</w:t>
      </w:r>
    </w:p>
    <w:p>
      <w:pPr>
        <w:numPr>
          <w:ilvl w:val="0"/>
          <w:numId w:val="1000"/>
        </w:numPr>
      </w:pPr>
      <w:r>
        <w:t xml:space="preserve">Definitely not: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76" w:name="wrong-15"/>
      <w:r>
        <w:t xml:space="preserve">Wrong:</w:t>
      </w:r>
      <w:bookmarkEnd w:id="76"/>
    </w:p>
    <w:p>
      <w:pPr>
        <w:numPr>
          <w:ilvl w:val="0"/>
          <w:numId w:val="1000"/>
        </w:numPr>
      </w:pPr>
      <w:r>
        <w:t xml:space="preserve"> </w:t>
      </w:r>
      <w:r>
        <w:t xml:space="preserve">if foo == 'blah': do_blah_thing()</w:t>
      </w:r>
      <w:r>
        <w:br/>
      </w:r>
      <w:r>
        <w:t xml:space="preserve"> </w:t>
      </w:r>
      <w:r>
        <w:t xml:space="preserve">else: do_non_blah_thing()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try: something()</w:t>
      </w:r>
      <w:r>
        <w:br/>
      </w:r>
      <w:r>
        <w:t xml:space="preserve"> </w:t>
      </w:r>
      <w:r>
        <w:t xml:space="preserve">finally: cleanup()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do_one(); do_two(); do_three(long, argument,</w:t>
      </w:r>
      <w:r>
        <w:br/>
      </w:r>
      <w:r>
        <w:t xml:space="preserve"> </w:t>
      </w:r>
      <w:r>
        <w:t xml:space="preserve">list, like, this)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if foo == 'blah': one(); two(); three()</w:t>
      </w:r>
    </w:p>
    <w:bookmarkEnd w:id="77"/>
    <w:bookmarkEnd w:id="78"/>
    <w:bookmarkStart w:id="79" w:name="when-to-use-trailing-commas"/>
    <w:p>
      <w:pPr>
        <w:pStyle w:val="Heading1"/>
      </w:pPr>
      <w:r>
        <w:t xml:space="preserve">When to Use Trailing Commas</w:t>
      </w:r>
    </w:p>
    <w:p>
      <w:pPr>
        <w:pStyle w:val="FirstParagraph"/>
      </w:pPr>
      <w:r>
        <w:t xml:space="preserve">Trailing commas are usually optional, except they are mandatory when</w:t>
      </w:r>
      <w:r>
        <w:br/>
      </w:r>
      <w:r>
        <w:t xml:space="preserve">making a tuple of one element. For clarity, it is recommended to</w:t>
      </w:r>
      <w:r>
        <w:br/>
      </w:r>
      <w:r>
        <w:t xml:space="preserve">surround the latter in (technically redundant) parentheses:</w:t>
      </w:r>
    </w:p>
    <w:p>
      <w:pPr>
        <w:pStyle w:val="BodyText"/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bookmarkEnd w:id="79"/>
    <w:bookmarkStart w:id="80" w:name="correct-15"/>
    <w:p>
      <w:pPr>
        <w:pStyle w:val="Heading1"/>
      </w:pPr>
      <w:r>
        <w:t xml:space="preserve">Correct:</w:t>
      </w:r>
    </w:p>
    <w:p>
      <w:pPr>
        <w:pStyle w:val="FirstParagraph"/>
      </w:pPr>
      <w:r>
        <w:t xml:space="preserve"> </w:t>
      </w:r>
      <w:r>
        <w:t xml:space="preserve">FILES = ('setup.cfg',)</w:t>
      </w:r>
    </w:p>
    <w:p>
      <w:pPr>
        <w:pStyle w:val="BodyText"/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bookmarkEnd w:id="80"/>
    <w:bookmarkStart w:id="81" w:name="wrong-16"/>
    <w:p>
      <w:pPr>
        <w:pStyle w:val="Heading1"/>
      </w:pPr>
      <w:r>
        <w:t xml:space="preserve">Wrong:</w:t>
      </w:r>
    </w:p>
    <w:p>
      <w:pPr>
        <w:pStyle w:val="FirstParagraph"/>
      </w:pPr>
      <w:r>
        <w:t xml:space="preserve"> </w:t>
      </w:r>
      <w:r>
        <w:t xml:space="preserve">FILES = 'setup.cfg',</w:t>
      </w:r>
    </w:p>
    <w:p>
      <w:pPr>
        <w:pStyle w:val="BodyText"/>
      </w:pPr>
      <w:r>
        <w:t xml:space="preserve">When trailing commas are redundant, they are often helpful when a</w:t>
      </w:r>
      <w:r>
        <w:br/>
      </w:r>
      <w:r>
        <w:t xml:space="preserve">version control system is used, when a list of values, arguments or</w:t>
      </w:r>
      <w:r>
        <w:br/>
      </w:r>
      <w:r>
        <w:t xml:space="preserve">imported items is expected to be extended over time. The pattern is</w:t>
      </w:r>
      <w:r>
        <w:br/>
      </w:r>
      <w:r>
        <w:t xml:space="preserve">to put each value (etc.) on a line by itself, always adding a trailing</w:t>
      </w:r>
      <w:r>
        <w:br/>
      </w:r>
      <w:r>
        <w:t xml:space="preserve">comma, and add the close parenthesis/bracket/brace on the next line.</w:t>
      </w:r>
      <w:r>
        <w:br/>
      </w:r>
      <w:r>
        <w:t xml:space="preserve">However it does not make sense to have a trailing comma on the same</w:t>
      </w:r>
      <w:r>
        <w:br/>
      </w:r>
      <w:r>
        <w:t xml:space="preserve">line as the closing delimiter (except in the above case of singleton</w:t>
      </w:r>
      <w:r>
        <w:br/>
      </w:r>
      <w:r>
        <w:t xml:space="preserve">tuples):</w:t>
      </w:r>
    </w:p>
    <w:p>
      <w:pPr>
        <w:pStyle w:val="BodyText"/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bookmarkEnd w:id="81"/>
    <w:bookmarkStart w:id="82" w:name="correct-16"/>
    <w:p>
      <w:pPr>
        <w:pStyle w:val="Heading1"/>
      </w:pPr>
      <w:r>
        <w:t xml:space="preserve">Correct:</w:t>
      </w:r>
    </w:p>
    <w:p>
      <w:pPr>
        <w:pStyle w:val="FirstParagraph"/>
      </w:pPr>
      <w:r>
        <w:t xml:space="preserve"> </w:t>
      </w:r>
      <w:r>
        <w:t xml:space="preserve">FILES = [</w:t>
      </w:r>
      <w:r>
        <w:br/>
      </w:r>
      <w:r>
        <w:t xml:space="preserve"> </w:t>
      </w:r>
      <w:r>
        <w:t xml:space="preserve">'setup.cfg',</w:t>
      </w:r>
      <w:r>
        <w:br/>
      </w:r>
      <w:r>
        <w:t xml:space="preserve"> </w:t>
      </w:r>
      <w:r>
        <w:t xml:space="preserve">'tox.ini',</w:t>
      </w:r>
      <w:r>
        <w:br/>
      </w:r>
      <w:r>
        <w:t xml:space="preserve"> </w:t>
      </w:r>
      <w:r>
        <w:t xml:space="preserve">]</w:t>
      </w:r>
      <w:r>
        <w:br/>
      </w:r>
      <w:r>
        <w:t xml:space="preserve"> </w:t>
      </w:r>
      <w:r>
        <w:t xml:space="preserve">initialize(FILES,</w:t>
      </w:r>
      <w:r>
        <w:br/>
      </w:r>
      <w:r>
        <w:t xml:space="preserve"> </w:t>
      </w:r>
      <w:r>
        <w:t xml:space="preserve">error=True,</w:t>
      </w:r>
      <w:r>
        <w:br/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bookmarkEnd w:id="82"/>
    <w:bookmarkStart w:id="83" w:name="wrong-17"/>
    <w:p>
      <w:pPr>
        <w:pStyle w:val="Heading1"/>
      </w:pPr>
      <w:r>
        <w:t xml:space="preserve">Wrong:</w:t>
      </w:r>
    </w:p>
    <w:p>
      <w:pPr>
        <w:pStyle w:val="FirstParagraph"/>
      </w:pPr>
      <w:r>
        <w:t xml:space="preserve"> </w:t>
      </w:r>
      <w:r>
        <w:t xml:space="preserve">FILES = ['setup.cfg', 'tox.ini',]</w:t>
      </w:r>
      <w:r>
        <w:br/>
      </w:r>
      <w:r>
        <w:t xml:space="preserve"> </w:t>
      </w:r>
      <w:r>
        <w:t xml:space="preserve">initialize(FILES, error=True,)</w:t>
      </w:r>
    </w:p>
    <w:bookmarkEnd w:id="83"/>
    <w:bookmarkStart w:id="87" w:name="comments"/>
    <w:p>
      <w:pPr>
        <w:pStyle w:val="Heading1"/>
      </w:pPr>
      <w:r>
        <w:t xml:space="preserve">Comments</w:t>
      </w:r>
    </w:p>
    <w:p>
      <w:pPr>
        <w:pStyle w:val="FirstParagraph"/>
      </w:pPr>
      <w:r>
        <w:t xml:space="preserve">Comments that contradict the code are worse than no comments. Always</w:t>
      </w:r>
      <w:r>
        <w:br/>
      </w:r>
      <w:r>
        <w:t xml:space="preserve">make a priority of keeping the comments up-to-date when the code</w:t>
      </w:r>
      <w:r>
        <w:br/>
      </w:r>
      <w:r>
        <w:t xml:space="preserve">changes!</w:t>
      </w:r>
    </w:p>
    <w:p>
      <w:pPr>
        <w:pStyle w:val="BodyText"/>
      </w:pPr>
      <w:r>
        <w:t xml:space="preserve">Comments should be complete sentences. The first word should be</w:t>
      </w:r>
      <w:r>
        <w:br/>
      </w:r>
      <w:r>
        <w:t xml:space="preserve">capitalized, unless it is an identifier that begins with a lower case</w:t>
      </w:r>
      <w:r>
        <w:br/>
      </w:r>
      <w:r>
        <w:t xml:space="preserve">letter (never alter the case of identifiers!).</w:t>
      </w:r>
    </w:p>
    <w:p>
      <w:pPr>
        <w:pStyle w:val="BodyText"/>
      </w:pPr>
      <w:r>
        <w:t xml:space="preserve">Block comments generally consist of one or more paragraphs built out of</w:t>
      </w:r>
      <w:r>
        <w:br/>
      </w:r>
      <w:r>
        <w:t xml:space="preserve">complete sentences, with each sentence ending in a period.</w:t>
      </w:r>
    </w:p>
    <w:p>
      <w:pPr>
        <w:pStyle w:val="BodyText"/>
      </w:pPr>
      <w:r>
        <w:t xml:space="preserve">You should use one or two spaces after a sentence-ending period in</w:t>
      </w:r>
      <w:r>
        <w:br/>
      </w:r>
      <w:r>
        <w:t xml:space="preserve">multi-sentence comments, except after the final sentence.</w:t>
      </w:r>
    </w:p>
    <w:p>
      <w:pPr>
        <w:pStyle w:val="BodyText"/>
      </w:pPr>
      <w:r>
        <w:t xml:space="preserve">Ensure that your comments are clear and easily understandable to other</w:t>
      </w:r>
      <w:r>
        <w:br/>
      </w:r>
      <w:r>
        <w:t xml:space="preserve">speakers of the language you are writing in.</w:t>
      </w:r>
    </w:p>
    <w:p>
      <w:pPr>
        <w:pStyle w:val="BodyText"/>
      </w:pPr>
      <w:r>
        <w:t xml:space="preserve">Python coders from non-English speaking countries: please write your</w:t>
      </w:r>
      <w:r>
        <w:br/>
      </w:r>
      <w:r>
        <w:t xml:space="preserve">comments in English, unless you are 120% sure that the code will never</w:t>
      </w:r>
      <w:r>
        <w:br/>
      </w:r>
      <w:r>
        <w:t xml:space="preserve">be read by people who don't speak your language.</w:t>
      </w:r>
    </w:p>
    <w:bookmarkStart w:id="84" w:name="block-comments"/>
    <w:p>
      <w:pPr>
        <w:pStyle w:val="Heading2"/>
      </w:pPr>
      <w:r>
        <w:t xml:space="preserve">Block Comments</w:t>
      </w:r>
    </w:p>
    <w:p>
      <w:pPr>
        <w:pStyle w:val="FirstParagraph"/>
      </w:pPr>
      <w:r>
        <w:t xml:space="preserve">Block comments generally apply to some (or all) code that follows</w:t>
      </w:r>
      <w:r>
        <w:br/>
      </w:r>
      <w:r>
        <w:t xml:space="preserve">them, and are indented to the same level as that code. Each line of a</w:t>
      </w:r>
      <w:r>
        <w:br/>
      </w:r>
      <w:r>
        <w:t xml:space="preserve">block comment starts with a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and a single space (unless it is</w:t>
      </w:r>
      <w:r>
        <w:br/>
      </w:r>
      <w:r>
        <w:t xml:space="preserve">indented text inside the comment).</w:t>
      </w:r>
    </w:p>
    <w:p>
      <w:pPr>
        <w:pStyle w:val="BodyText"/>
      </w:pPr>
      <w:r>
        <w:t xml:space="preserve">Paragraphs inside a block comment are separated by a line containing a</w:t>
      </w:r>
      <w:r>
        <w:br/>
      </w:r>
      <w:r>
        <w:t xml:space="preserve">single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bookmarkEnd w:id="84"/>
    <w:bookmarkStart w:id="85" w:name="inline-comments"/>
    <w:p>
      <w:pPr>
        <w:pStyle w:val="Heading2"/>
      </w:pPr>
      <w:r>
        <w:t xml:space="preserve">Inline Comments</w:t>
      </w:r>
    </w:p>
    <w:p>
      <w:pPr>
        <w:pStyle w:val="FirstParagraph"/>
      </w:pPr>
      <w:r>
        <w:t xml:space="preserve">Use inline comments sparingly.</w:t>
      </w:r>
    </w:p>
    <w:p>
      <w:pPr>
        <w:pStyle w:val="BodyText"/>
      </w:pPr>
      <w:r>
        <w:t xml:space="preserve">An inline comment is a comment on the same line as a statement.</w:t>
      </w:r>
      <w:r>
        <w:br/>
      </w:r>
      <w:r>
        <w:t xml:space="preserve">Inline comments should be separated by at least two spaces from the</w:t>
      </w:r>
      <w:r>
        <w:br/>
      </w:r>
      <w:r>
        <w:t xml:space="preserve">statement. They should start with a # and a single space.</w:t>
      </w:r>
    </w:p>
    <w:p>
      <w:pPr>
        <w:pStyle w:val="BodyText"/>
      </w:pPr>
      <w:r>
        <w:t xml:space="preserve">Inline comments are unnecessary and in fact distracting if they state</w:t>
      </w:r>
      <w:r>
        <w:br/>
      </w:r>
      <w:r>
        <w:t xml:space="preserve">the obvious. Don't do this:</w:t>
      </w:r>
    </w:p>
    <w:p>
      <w:pPr>
        <w:pStyle w:val="BodyText"/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pStyle w:val="BodyText"/>
      </w:pPr>
      <w:r>
        <w:t xml:space="preserve"> </w:t>
      </w:r>
      <w:r>
        <w:t xml:space="preserve">x = x + 1 # Increment x</w:t>
      </w:r>
    </w:p>
    <w:p>
      <w:pPr>
        <w:pStyle w:val="BodyText"/>
      </w:pPr>
      <w:r>
        <w:t xml:space="preserve">But sometimes, this is useful:</w:t>
      </w:r>
    </w:p>
    <w:p>
      <w:pPr>
        <w:pStyle w:val="BodyText"/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pStyle w:val="BodyText"/>
      </w:pPr>
      <w:r>
        <w:t xml:space="preserve"> </w:t>
      </w:r>
      <w:r>
        <w:t xml:space="preserve">x = x + 1 # Compensate for border</w:t>
      </w:r>
    </w:p>
    <w:bookmarkEnd w:id="85"/>
    <w:bookmarkStart w:id="86" w:name="documentation-strings"/>
    <w:p>
      <w:pPr>
        <w:pStyle w:val="Heading2"/>
      </w:pPr>
      <w:r>
        <w:t xml:space="preserve">Documentation Strings</w:t>
      </w:r>
    </w:p>
    <w:p>
      <w:pPr>
        <w:pStyle w:val="FirstParagraph"/>
      </w:pPr>
      <w:r>
        <w:t xml:space="preserve">Conventions for writing good documentation strings</w:t>
      </w:r>
      <w:r>
        <w:br/>
      </w:r>
      <w:r>
        <w:t xml:space="preserve">(a.k.a. "docstrings") are immortalized in :pep:</w:t>
      </w:r>
      <w:r>
        <w:rPr>
          <w:rStyle w:val="VerbatimChar"/>
        </w:rPr>
        <w:t xml:space="preserve">257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Write docstrings for all public modules, functions, classes, and</w:t>
      </w:r>
      <w:r>
        <w:br/>
      </w:r>
      <w:r>
        <w:t xml:space="preserve">methods. Docstrings are not necessary for non-public methods, but</w:t>
      </w:r>
      <w:r>
        <w:br/>
      </w:r>
      <w:r>
        <w:t xml:space="preserve">you should have a comment that describes what the method does. This</w:t>
      </w:r>
      <w:r>
        <w:br/>
      </w:r>
      <w:r>
        <w:t xml:space="preserve">comment should appear after the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line.</w:t>
      </w:r>
    </w:p>
    <w:p>
      <w:pPr>
        <w:numPr>
          <w:ilvl w:val="0"/>
          <w:numId w:val="1009"/>
        </w:numPr>
      </w:pPr>
      <w:r>
        <w:t xml:space="preserve">:pep:</w:t>
      </w:r>
      <w:r>
        <w:rPr>
          <w:rStyle w:val="VerbatimChar"/>
        </w:rPr>
        <w:t xml:space="preserve">257</w:t>
      </w:r>
      <w:r>
        <w:t xml:space="preserve"> </w:t>
      </w:r>
      <w:r>
        <w:t xml:space="preserve">describes good docstring conventions. Note that most</w:t>
      </w:r>
      <w:r>
        <w:br/>
      </w:r>
      <w:r>
        <w:t xml:space="preserve">importantly, the</w:t>
      </w:r>
      <w:r>
        <w:t xml:space="preserve"> </w:t>
      </w:r>
      <w:r>
        <w:rPr>
          <w:rStyle w:val="VerbatimChar"/>
        </w:rPr>
        <w:t xml:space="preserve">"""</w:t>
      </w:r>
      <w:r>
        <w:t xml:space="preserve"> </w:t>
      </w:r>
      <w:r>
        <w:t xml:space="preserve">that ends a multiline docstring should be</w:t>
      </w:r>
      <w:r>
        <w:br/>
      </w:r>
      <w:r>
        <w:t xml:space="preserve">on a line by itself: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pStyle w:val="SourceCode"/>
      </w:pPr>
      <w:r>
        <w:rPr>
          <w:rStyle w:val="VerbatimChar"/>
        </w:rPr>
        <w:t xml:space="preserve"> """Return a foobang</w:t>
      </w:r>
      <w:r>
        <w:br/>
      </w:r>
      <w:r>
        <w:br/>
      </w:r>
      <w:r>
        <w:rPr>
          <w:rStyle w:val="VerbatimChar"/>
        </w:rPr>
        <w:t xml:space="preserve"> Optional plotz says to frobnicate the bizbaz first.</w:t>
      </w:r>
      <w:r>
        <w:br/>
      </w:r>
      <w:r>
        <w:rPr>
          <w:rStyle w:val="VerbatimChar"/>
        </w:rPr>
        <w:t xml:space="preserve"> """</w:t>
      </w:r>
    </w:p>
    <w:p>
      <w:pPr>
        <w:numPr>
          <w:ilvl w:val="0"/>
          <w:numId w:val="1010"/>
        </w:numPr>
      </w:pPr>
      <w:r>
        <w:t xml:space="preserve">For one liner docstrings, please keep the closing</w:t>
      </w:r>
      <w:r>
        <w:t xml:space="preserve"> </w:t>
      </w:r>
      <w:r>
        <w:rPr>
          <w:rStyle w:val="VerbatimChar"/>
        </w:rPr>
        <w:t xml:space="preserve">"""</w:t>
      </w:r>
      <w:r>
        <w:t xml:space="preserve"> </w:t>
      </w:r>
      <w:r>
        <w:t xml:space="preserve">on</w:t>
      </w:r>
      <w:r>
        <w:br/>
      </w:r>
      <w:r>
        <w:t xml:space="preserve">the same line: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"""Return an ex-parrot."""</w:t>
      </w:r>
    </w:p>
    <w:bookmarkEnd w:id="86"/>
    <w:bookmarkEnd w:id="87"/>
    <w:bookmarkStart w:id="92" w:name="naming-conventions"/>
    <w:p>
      <w:pPr>
        <w:pStyle w:val="Heading1"/>
      </w:pPr>
      <w:r>
        <w:t xml:space="preserve">Naming Conventions</w:t>
      </w:r>
    </w:p>
    <w:p>
      <w:pPr>
        <w:pStyle w:val="FirstParagraph"/>
      </w:pPr>
      <w:r>
        <w:t xml:space="preserve">The naming conventions of Python's library are a bit of a mess, so</w:t>
      </w:r>
      <w:r>
        <w:br/>
      </w:r>
      <w:r>
        <w:t xml:space="preserve">we'll never get this completely consistent -- nevertheless, here are</w:t>
      </w:r>
      <w:r>
        <w:br/>
      </w:r>
      <w:r>
        <w:t xml:space="preserve">the currently recommended naming standards. New modules and packages</w:t>
      </w:r>
      <w:r>
        <w:br/>
      </w:r>
      <w:r>
        <w:t xml:space="preserve">(including third party frameworks) should be written to these</w:t>
      </w:r>
      <w:r>
        <w:br/>
      </w:r>
      <w:r>
        <w:t xml:space="preserve">standards, but where an existing library has a different style,</w:t>
      </w:r>
      <w:r>
        <w:br/>
      </w:r>
      <w:r>
        <w:t xml:space="preserve">internal consistency is preferred.</w:t>
      </w:r>
    </w:p>
    <w:bookmarkStart w:id="88" w:name="overriding-principle"/>
    <w:p>
      <w:pPr>
        <w:pStyle w:val="Heading2"/>
      </w:pPr>
      <w:r>
        <w:t xml:space="preserve">Overriding Principle</w:t>
      </w:r>
    </w:p>
    <w:p>
      <w:pPr>
        <w:pStyle w:val="FirstParagraph"/>
      </w:pPr>
      <w:r>
        <w:t xml:space="preserve">Names that are visible to the user as public parts of the API should</w:t>
      </w:r>
      <w:r>
        <w:br/>
      </w:r>
      <w:r>
        <w:t xml:space="preserve">follow conventions that reflect usage rather than implementation.</w:t>
      </w:r>
    </w:p>
    <w:bookmarkEnd w:id="88"/>
    <w:bookmarkStart w:id="89" w:name="descriptive-naming-styles"/>
    <w:p>
      <w:pPr>
        <w:pStyle w:val="Heading2"/>
      </w:pPr>
      <w:r>
        <w:t xml:space="preserve">Descriptive: Naming Styles</w:t>
      </w:r>
    </w:p>
    <w:p>
      <w:pPr>
        <w:pStyle w:val="FirstParagraph"/>
      </w:pPr>
      <w:r>
        <w:t xml:space="preserve">There are a lot of different naming styles. It helps to be able to</w:t>
      </w:r>
      <w:r>
        <w:br/>
      </w:r>
      <w:r>
        <w:t xml:space="preserve">recognize what naming style is being used, independently from what</w:t>
      </w:r>
      <w:r>
        <w:br/>
      </w:r>
      <w:r>
        <w:t xml:space="preserve">they are used for.</w:t>
      </w:r>
    </w:p>
    <w:p>
      <w:pPr>
        <w:pStyle w:val="BodyText"/>
      </w:pPr>
      <w:r>
        <w:t xml:space="preserve">The following naming styles are commonly distinguished: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b</w:t>
      </w:r>
      <w:r>
        <w:t xml:space="preserve"> </w:t>
      </w:r>
      <w:r>
        <w:t xml:space="preserve">(single lowercase letter)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B</w:t>
      </w:r>
      <w:r>
        <w:t xml:space="preserve"> </w:t>
      </w:r>
      <w:r>
        <w:t xml:space="preserve">(single uppercase letter)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lowercase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lower_case_with_underscores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UPPERCASE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UPPER_CASE_WITH_UNDERSCORES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CapitalizedWords</w:t>
      </w:r>
      <w:r>
        <w:t xml:space="preserve"> </w:t>
      </w:r>
      <w:r>
        <w:t xml:space="preserve">(or CapWords, or CamelCase -- so named because</w:t>
      </w:r>
      <w:r>
        <w:br/>
      </w:r>
      <w:r>
        <w:t xml:space="preserve">of the bumpy look of its letters [4]_). This is also sometimes known</w:t>
      </w:r>
      <w:r>
        <w:br/>
      </w:r>
      <w:r>
        <w:t xml:space="preserve">as StudlyCaps.</w:t>
      </w:r>
    </w:p>
    <w:p>
      <w:pPr>
        <w:numPr>
          <w:ilvl w:val="0"/>
          <w:numId w:val="1000"/>
        </w:numPr>
      </w:pPr>
      <w:r>
        <w:t xml:space="preserve">Note: When using acronyms in CapWords, capitalize all the</w:t>
      </w:r>
      <w:r>
        <w:br/>
      </w:r>
      <w:r>
        <w:t xml:space="preserve">letters of the acronym. Thus HTTPServerError is better than</w:t>
      </w:r>
      <w:r>
        <w:br/>
      </w:r>
      <w:r>
        <w:t xml:space="preserve">HttpServerError.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mixedCase</w:t>
      </w:r>
      <w:r>
        <w:t xml:space="preserve"> </w:t>
      </w:r>
      <w:r>
        <w:t xml:space="preserve">(differs from CapitalizedWords by initial lowercase</w:t>
      </w:r>
      <w:r>
        <w:br/>
      </w:r>
      <w:r>
        <w:t xml:space="preserve">character!)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Capitalized_Words_With_Underscores</w:t>
      </w:r>
      <w:r>
        <w:t xml:space="preserve"> </w:t>
      </w:r>
      <w:r>
        <w:t xml:space="preserve">(ugly!)</w:t>
      </w:r>
    </w:p>
    <w:p>
      <w:pPr>
        <w:pStyle w:val="FirstParagraph"/>
      </w:pPr>
      <w:r>
        <w:t xml:space="preserve">There's also the style of using a short unique prefix to group related</w:t>
      </w:r>
      <w:r>
        <w:br/>
      </w:r>
      <w:r>
        <w:t xml:space="preserve">names together. This is not used much in Python, but it is mentioned</w:t>
      </w:r>
      <w:r>
        <w:br/>
      </w:r>
      <w:r>
        <w:t xml:space="preserve">for completeness. For example, the</w:t>
      </w:r>
      <w:r>
        <w:t xml:space="preserve"> </w:t>
      </w:r>
      <w:r>
        <w:rPr>
          <w:rStyle w:val="VerbatimChar"/>
        </w:rPr>
        <w:t xml:space="preserve">os.stat()</w:t>
      </w:r>
      <w:r>
        <w:t xml:space="preserve"> </w:t>
      </w:r>
      <w:r>
        <w:t xml:space="preserve">function returns a</w:t>
      </w:r>
      <w:r>
        <w:br/>
      </w:r>
      <w:r>
        <w:t xml:space="preserve">tuple whose items traditionally have names like</w:t>
      </w:r>
      <w:r>
        <w:t xml:space="preserve"> </w:t>
      </w:r>
      <w:r>
        <w:rPr>
          <w:rStyle w:val="VerbatimChar"/>
        </w:rPr>
        <w:t xml:space="preserve">st_mode</w:t>
      </w:r>
      <w:r>
        <w:t xml:space="preserve">,</w:t>
      </w:r>
      <w:r>
        <w:br/>
      </w:r>
      <w:r>
        <w:rPr>
          <w:rStyle w:val="VerbatimChar"/>
        </w:rPr>
        <w:t xml:space="preserve">st_size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st_mtime</w:t>
      </w:r>
      <w:r>
        <w:t xml:space="preserve"> </w:t>
      </w:r>
      <w:r>
        <w:t xml:space="preserve">and so on. (This is done to emphasize the</w:t>
      </w:r>
      <w:r>
        <w:br/>
      </w:r>
      <w:r>
        <w:t xml:space="preserve">correspondence with the fields of the POSIX system call struct, which</w:t>
      </w:r>
      <w:r>
        <w:br/>
      </w:r>
      <w:r>
        <w:t xml:space="preserve">helps programmers familiar with that.)</w:t>
      </w:r>
    </w:p>
    <w:p>
      <w:pPr>
        <w:pStyle w:val="BodyText"/>
      </w:pPr>
      <w:r>
        <w:t xml:space="preserve">The X11 library uses a leading X for all its public functions. In</w:t>
      </w:r>
      <w:r>
        <w:br/>
      </w:r>
      <w:r>
        <w:t xml:space="preserve">Python, this style is generally deemed unnecessary because attribute</w:t>
      </w:r>
      <w:r>
        <w:br/>
      </w:r>
      <w:r>
        <w:t xml:space="preserve">and method names are prefixed with an object, and function names are</w:t>
      </w:r>
      <w:r>
        <w:br/>
      </w:r>
      <w:r>
        <w:t xml:space="preserve">prefixed with a module name.</w:t>
      </w:r>
    </w:p>
    <w:p>
      <w:pPr>
        <w:pStyle w:val="BodyText"/>
      </w:pPr>
      <w:r>
        <w:t xml:space="preserve">In addition, the following special forms using leading or trailing</w:t>
      </w:r>
      <w:r>
        <w:br/>
      </w:r>
      <w:r>
        <w:t xml:space="preserve">underscores are recognized (these can generally be combined with any</w:t>
      </w:r>
      <w:r>
        <w:br/>
      </w:r>
      <w:r>
        <w:t xml:space="preserve">case convention):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_single_leading_underscore</w:t>
      </w:r>
      <w:r>
        <w:t xml:space="preserve">: weak "internal use" indicator.</w:t>
      </w:r>
      <w:r>
        <w:br/>
      </w:r>
      <w:r>
        <w:t xml:space="preserve">E.g.</w:t>
      </w:r>
      <w:r>
        <w:t xml:space="preserve"> </w:t>
      </w:r>
      <w:r>
        <w:rPr>
          <w:rStyle w:val="VerbatimChar"/>
        </w:rPr>
        <w:t xml:space="preserve">from M import *</w:t>
      </w:r>
      <w:r>
        <w:t xml:space="preserve"> </w:t>
      </w:r>
      <w:r>
        <w:t xml:space="preserve">does not import objects whose names start</w:t>
      </w:r>
      <w:r>
        <w:br/>
      </w:r>
      <w:r>
        <w:t xml:space="preserve">with an underscore.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single_trailing_underscore_</w:t>
      </w:r>
      <w:r>
        <w:t xml:space="preserve">: used by convention to avoid</w:t>
      </w:r>
      <w:r>
        <w:br/>
      </w:r>
      <w:r>
        <w:t xml:space="preserve">conflicts with Python keyword, e.g. 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tkinter.Toplevel(master, class_='ClassName')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__double_leading_underscore</w:t>
      </w:r>
      <w:r>
        <w:t xml:space="preserve">: when naming a class attribute,</w:t>
      </w:r>
      <w:r>
        <w:br/>
      </w:r>
      <w:r>
        <w:t xml:space="preserve">invokes name mangling (inside class FooBar,</w:t>
      </w:r>
      <w:r>
        <w:t xml:space="preserve"> </w:t>
      </w:r>
      <w:r>
        <w:rPr>
          <w:rStyle w:val="VerbatimChar"/>
        </w:rPr>
        <w:t xml:space="preserve">__boo</w:t>
      </w:r>
      <w:r>
        <w:t xml:space="preserve"> </w:t>
      </w:r>
      <w:r>
        <w:t xml:space="preserve">becomes</w:t>
      </w:r>
      <w:r>
        <w:br/>
      </w:r>
      <w:r>
        <w:rPr>
          <w:rStyle w:val="VerbatimChar"/>
        </w:rPr>
        <w:t xml:space="preserve">_FooBar__boo</w:t>
      </w:r>
      <w:r>
        <w:t xml:space="preserve">; see below).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__double_leading_and_trailing_underscore__</w:t>
      </w:r>
      <w:r>
        <w:t xml:space="preserve">: "magic" objects or</w:t>
      </w:r>
      <w:r>
        <w:br/>
      </w:r>
      <w:r>
        <w:t xml:space="preserve">attributes that live in user-controlled namespaces.</w:t>
      </w:r>
      <w:r>
        <w:br/>
      </w:r>
      <w:r>
        <w:t xml:space="preserve">E.g.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,</w:t>
      </w:r>
      <w:r>
        <w:t xml:space="preserve"> </w:t>
      </w:r>
      <w:r>
        <w:rPr>
          <w:rStyle w:val="VerbatimChar"/>
        </w:rPr>
        <w:t xml:space="preserve">__import__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__file__</w:t>
      </w:r>
      <w:r>
        <w:t xml:space="preserve">. Never invent</w:t>
      </w:r>
      <w:r>
        <w:br/>
      </w:r>
      <w:r>
        <w:t xml:space="preserve">such names; only use them as documented.</w:t>
      </w:r>
    </w:p>
    <w:bookmarkEnd w:id="89"/>
    <w:bookmarkStart w:id="90" w:name="prescriptive-naming-conventions"/>
    <w:p>
      <w:pPr>
        <w:pStyle w:val="Heading2"/>
      </w:pPr>
      <w:r>
        <w:t xml:space="preserve">Prescriptive: Naming Conventions</w:t>
      </w:r>
    </w:p>
    <w:p>
      <w:pPr>
        <w:pStyle w:val="FirstParagraph"/>
      </w:pPr>
      <w:r>
        <w:t xml:space="preserve">Names to Avoid</w:t>
      </w:r>
    </w:p>
    <w:p>
      <w:pPr>
        <w:pStyle w:val="SourceCode"/>
      </w:pPr>
      <w:r>
        <w:br/>
      </w:r>
      <w:r>
        <w:rPr>
          <w:rStyle w:val="VerbatimChar"/>
        </w:rPr>
        <w:t xml:space="preserve">Never use the characters 'l' (lowercase letter el), 'O' (uppercase</w:t>
      </w:r>
      <w:r>
        <w:br/>
      </w:r>
      <w:r>
        <w:rPr>
          <w:rStyle w:val="VerbatimChar"/>
        </w:rPr>
        <w:t xml:space="preserve">letter oh), or 'I' (uppercase letter eye) as single character variable</w:t>
      </w:r>
      <w:r>
        <w:br/>
      </w:r>
      <w:r>
        <w:rPr>
          <w:rStyle w:val="VerbatimChar"/>
        </w:rPr>
        <w:t xml:space="preserve">names.</w:t>
      </w:r>
      <w:r>
        <w:br/>
      </w:r>
      <w:r>
        <w:br/>
      </w:r>
      <w:r>
        <w:rPr>
          <w:rStyle w:val="VerbatimChar"/>
        </w:rPr>
        <w:t xml:space="preserve">In some fonts, these characters are indistinguishable from the</w:t>
      </w:r>
      <w:r>
        <w:br/>
      </w:r>
      <w:r>
        <w:rPr>
          <w:rStyle w:val="VerbatimChar"/>
        </w:rPr>
        <w:t xml:space="preserve">numerals one and zero.  When tempted to use 'l', use 'L' instead.</w:t>
      </w:r>
      <w:r>
        <w:br/>
      </w:r>
      <w:r>
        <w:br/>
      </w:r>
      <w:r>
        <w:rPr>
          <w:rStyle w:val="VerbatimChar"/>
        </w:rPr>
        <w:t xml:space="preserve">ASCII Compatibility</w:t>
      </w:r>
    </w:p>
    <w:p>
      <w:pPr>
        <w:pStyle w:val="FirstParagraph"/>
      </w:pPr>
      <w:r>
        <w:t xml:space="preserve">Identifiers used in the standard library must be ASCII compatible</w:t>
      </w:r>
      <w:r>
        <w:br/>
      </w:r>
      <w:r>
        <w:t xml:space="preserve">as described in the</w:t>
      </w:r>
      <w:r>
        <w:br/>
      </w:r>
      <w:r>
        <w:t xml:space="preserve">:pep:</w:t>
      </w:r>
      <w:r>
        <w:rPr>
          <w:rStyle w:val="VerbatimChar"/>
        </w:rPr>
        <w:t xml:space="preserve">policy section &lt;3131#policy-specification&gt;</w:t>
      </w:r>
      <w:r>
        <w:br/>
      </w:r>
      <w:r>
        <w:t xml:space="preserve">of :pep:</w:t>
      </w:r>
      <w:r>
        <w:rPr>
          <w:rStyle w:val="VerbatimChar"/>
        </w:rPr>
        <w:t xml:space="preserve">3131</w:t>
      </w:r>
      <w:r>
        <w:t xml:space="preserve">.</w:t>
      </w:r>
    </w:p>
    <w:p>
      <w:pPr>
        <w:pStyle w:val="BodyText"/>
      </w:pPr>
      <w:r>
        <w:t xml:space="preserve">Package and Module Names</w:t>
      </w:r>
    </w:p>
    <w:p>
      <w:pPr>
        <w:pStyle w:val="SourceCode"/>
      </w:pPr>
      <w:r>
        <w:br/>
      </w:r>
      <w:r>
        <w:rPr>
          <w:rStyle w:val="VerbatimChar"/>
        </w:rPr>
        <w:t xml:space="preserve">Modules should have short, all-lowercase names.  Underscores can be</w:t>
      </w:r>
      <w:r>
        <w:br/>
      </w:r>
      <w:r>
        <w:rPr>
          <w:rStyle w:val="VerbatimChar"/>
        </w:rPr>
        <w:t xml:space="preserve">used in the module name if it improves readability.  Python packages</w:t>
      </w:r>
      <w:r>
        <w:br/>
      </w:r>
      <w:r>
        <w:rPr>
          <w:rStyle w:val="VerbatimChar"/>
        </w:rPr>
        <w:t xml:space="preserve">should also have short, all-lowercase names, although the use of</w:t>
      </w:r>
      <w:r>
        <w:br/>
      </w:r>
      <w:r>
        <w:rPr>
          <w:rStyle w:val="VerbatimChar"/>
        </w:rPr>
        <w:t xml:space="preserve">underscores is discouraged.</w:t>
      </w:r>
      <w:r>
        <w:br/>
      </w:r>
      <w:r>
        <w:br/>
      </w:r>
      <w:r>
        <w:rPr>
          <w:rStyle w:val="VerbatimChar"/>
        </w:rPr>
        <w:t xml:space="preserve">When an extension module written in C or C++ has an accompanying</w:t>
      </w:r>
      <w:r>
        <w:br/>
      </w:r>
      <w:r>
        <w:rPr>
          <w:rStyle w:val="VerbatimChar"/>
        </w:rPr>
        <w:t xml:space="preserve">Python module that provides a higher level (e.g. more object oriented)</w:t>
      </w:r>
      <w:r>
        <w:br/>
      </w:r>
      <w:r>
        <w:rPr>
          <w:rStyle w:val="VerbatimChar"/>
        </w:rPr>
        <w:t xml:space="preserve">interface, the C/C++ module has a leading underscore</w:t>
      </w:r>
      <w:r>
        <w:br/>
      </w:r>
      <w:r>
        <w:rPr>
          <w:rStyle w:val="VerbatimChar"/>
        </w:rPr>
        <w:t xml:space="preserve">(e.g. ``_socket``).</w:t>
      </w:r>
      <w:r>
        <w:br/>
      </w:r>
      <w:r>
        <w:br/>
      </w:r>
      <w:r>
        <w:rPr>
          <w:rStyle w:val="VerbatimChar"/>
        </w:rPr>
        <w:t xml:space="preserve">Class Names</w:t>
      </w:r>
      <w:r>
        <w:br/>
      </w:r>
      <w:r>
        <w:rPr>
          <w:rStyle w:val="VerbatimChar"/>
        </w:rPr>
        <w:t xml:space="preserve">~~~~~~~~~~~</w:t>
      </w:r>
      <w:r>
        <w:br/>
      </w:r>
      <w:r>
        <w:br/>
      </w:r>
      <w:r>
        <w:rPr>
          <w:rStyle w:val="VerbatimChar"/>
        </w:rPr>
        <w:t xml:space="preserve">Class names should normally use the CapWords convention.</w:t>
      </w:r>
      <w:r>
        <w:br/>
      </w:r>
      <w:r>
        <w:br/>
      </w:r>
      <w:r>
        <w:rPr>
          <w:rStyle w:val="VerbatimChar"/>
        </w:rPr>
        <w:t xml:space="preserve">The naming convention for functions may be used instead in cases where</w:t>
      </w:r>
      <w:r>
        <w:br/>
      </w:r>
      <w:r>
        <w:rPr>
          <w:rStyle w:val="VerbatimChar"/>
        </w:rPr>
        <w:t xml:space="preserve">the interface is documented and used primarily as a callable.</w:t>
      </w:r>
      <w:r>
        <w:br/>
      </w:r>
      <w:r>
        <w:br/>
      </w:r>
      <w:r>
        <w:rPr>
          <w:rStyle w:val="VerbatimChar"/>
        </w:rPr>
        <w:t xml:space="preserve">Note that there is a separate convention for builtin names: most builtin</w:t>
      </w:r>
      <w:r>
        <w:br/>
      </w:r>
      <w:r>
        <w:rPr>
          <w:rStyle w:val="VerbatimChar"/>
        </w:rPr>
        <w:t xml:space="preserve">names are single words (or two words run together), with the CapWords</w:t>
      </w:r>
      <w:r>
        <w:br/>
      </w:r>
      <w:r>
        <w:rPr>
          <w:rStyle w:val="VerbatimChar"/>
        </w:rPr>
        <w:t xml:space="preserve">convention used only for exception names and builtin constants.</w:t>
      </w:r>
      <w:r>
        <w:br/>
      </w:r>
      <w:r>
        <w:br/>
      </w:r>
      <w:r>
        <w:rPr>
          <w:rStyle w:val="VerbatimChar"/>
        </w:rPr>
        <w:t xml:space="preserve">Type Variable Names</w:t>
      </w:r>
      <w:r>
        <w:br/>
      </w:r>
      <w:r>
        <w:rPr>
          <w:rStyle w:val="VerbatimChar"/>
        </w:rPr>
        <w:t xml:space="preserve">~~~~~~~~~~~~~~~~~~~</w:t>
      </w:r>
      <w:r>
        <w:br/>
      </w:r>
      <w:r>
        <w:br/>
      </w:r>
      <w:r>
        <w:rPr>
          <w:rStyle w:val="VerbatimChar"/>
        </w:rPr>
        <w:t xml:space="preserve">Names of type variables introduced in :pep:`484` should normally use CapWords</w:t>
      </w:r>
      <w:r>
        <w:br/>
      </w:r>
      <w:r>
        <w:rPr>
          <w:rStyle w:val="VerbatimChar"/>
        </w:rPr>
        <w:t xml:space="preserve">preferring short names: ``T``, ``AnyStr``, ``Num``. It is recommended to add</w:t>
      </w:r>
      <w:r>
        <w:br/>
      </w:r>
      <w:r>
        <w:rPr>
          <w:rStyle w:val="VerbatimChar"/>
        </w:rPr>
        <w:t xml:space="preserve">suffixes ``_co`` or ``_contra`` to the variables used to declare covariant</w:t>
      </w:r>
      <w:r>
        <w:br/>
      </w:r>
      <w:r>
        <w:rPr>
          <w:rStyle w:val="VerbatimChar"/>
        </w:rPr>
        <w:t xml:space="preserve">or contravariant behavior correspondingly:</w:t>
      </w:r>
      <w:r>
        <w:br/>
      </w:r>
      <w:r>
        <w:br/>
      </w:r>
      <w:r>
        <w:rPr>
          <w:rStyle w:val="VerbatimChar"/>
        </w:rPr>
        <w:t xml:space="preserve">.. code-block::</w:t>
      </w:r>
      <w:r>
        <w:br/>
      </w:r>
      <w:r>
        <w:rPr>
          <w:rStyle w:val="VerbatimChar"/>
        </w:rPr>
        <w:t xml:space="preserve">   :class: good</w:t>
      </w:r>
      <w:r>
        <w:br/>
      </w:r>
      <w:r>
        <w:br/>
      </w:r>
      <w:r>
        <w:rPr>
          <w:rStyle w:val="VerbatimChar"/>
        </w:rPr>
        <w:t xml:space="preserve">   from typing import TypeVar</w:t>
      </w:r>
      <w:r>
        <w:br/>
      </w:r>
      <w:r>
        <w:br/>
      </w:r>
      <w:r>
        <w:rPr>
          <w:rStyle w:val="VerbatimChar"/>
        </w:rPr>
        <w:t xml:space="preserve">   VT_co = TypeVar('VT_co', covariant=True)</w:t>
      </w:r>
      <w:r>
        <w:br/>
      </w:r>
      <w:r>
        <w:rPr>
          <w:rStyle w:val="VerbatimChar"/>
        </w:rPr>
        <w:t xml:space="preserve">   KT_contra = TypeVar('KT_contra', contravariant=True)</w:t>
      </w:r>
      <w:r>
        <w:br/>
      </w:r>
      <w:r>
        <w:br/>
      </w:r>
      <w:r>
        <w:rPr>
          <w:rStyle w:val="VerbatimChar"/>
        </w:rPr>
        <w:t xml:space="preserve">Exception Names</w:t>
      </w:r>
      <w:r>
        <w:br/>
      </w:r>
      <w:r>
        <w:rPr>
          <w:rStyle w:val="VerbatimChar"/>
        </w:rPr>
        <w:t xml:space="preserve">~~~~~~~~~~~~~~~</w:t>
      </w:r>
      <w:r>
        <w:br/>
      </w:r>
      <w:r>
        <w:br/>
      </w:r>
      <w:r>
        <w:rPr>
          <w:rStyle w:val="VerbatimChar"/>
        </w:rPr>
        <w:t xml:space="preserve">Because exceptions should be classes, the class naming convention</w:t>
      </w:r>
      <w:r>
        <w:br/>
      </w:r>
      <w:r>
        <w:rPr>
          <w:rStyle w:val="VerbatimChar"/>
        </w:rPr>
        <w:t xml:space="preserve">applies here.  However, you should use the suffix "Error" on your</w:t>
      </w:r>
      <w:r>
        <w:br/>
      </w:r>
      <w:r>
        <w:rPr>
          <w:rStyle w:val="VerbatimChar"/>
        </w:rPr>
        <w:t xml:space="preserve">exception names (if the exception actually is an error).</w:t>
      </w:r>
      <w:r>
        <w:br/>
      </w:r>
      <w:r>
        <w:br/>
      </w:r>
      <w:r>
        <w:rPr>
          <w:rStyle w:val="VerbatimChar"/>
        </w:rPr>
        <w:t xml:space="preserve">Global Variable Names</w:t>
      </w:r>
      <w:r>
        <w:br/>
      </w:r>
      <w:r>
        <w:rPr>
          <w:rStyle w:val="VerbatimChar"/>
        </w:rPr>
        <w:t xml:space="preserve">~~~~~~~~~~~~~~~~~~~~~</w:t>
      </w:r>
      <w:r>
        <w:br/>
      </w:r>
      <w:r>
        <w:br/>
      </w:r>
      <w:r>
        <w:rPr>
          <w:rStyle w:val="VerbatimChar"/>
        </w:rPr>
        <w:t xml:space="preserve">(Let's hope that these variables are meant for use inside one module</w:t>
      </w:r>
      <w:r>
        <w:br/>
      </w:r>
      <w:r>
        <w:rPr>
          <w:rStyle w:val="VerbatimChar"/>
        </w:rPr>
        <w:t xml:space="preserve">only.)  The conventions are about the same as those for functions.</w:t>
      </w:r>
      <w:r>
        <w:br/>
      </w:r>
      <w:r>
        <w:br/>
      </w:r>
      <w:r>
        <w:rPr>
          <w:rStyle w:val="VerbatimChar"/>
        </w:rPr>
        <w:t xml:space="preserve">Modules that are designed for use via ``from M import *`` should use</w:t>
      </w:r>
      <w:r>
        <w:br/>
      </w:r>
      <w:r>
        <w:rPr>
          <w:rStyle w:val="VerbatimChar"/>
        </w:rPr>
        <w:t xml:space="preserve">the ``__all__`` mechanism to prevent exporting globals, or use the</w:t>
      </w:r>
      <w:r>
        <w:br/>
      </w:r>
      <w:r>
        <w:rPr>
          <w:rStyle w:val="VerbatimChar"/>
        </w:rPr>
        <w:t xml:space="preserve">older convention of prefixing such globals with an underscore (which</w:t>
      </w:r>
      <w:r>
        <w:br/>
      </w:r>
      <w:r>
        <w:rPr>
          <w:rStyle w:val="VerbatimChar"/>
        </w:rPr>
        <w:t xml:space="preserve">you might want to do to indicate these globals are "module</w:t>
      </w:r>
      <w:r>
        <w:br/>
      </w:r>
      <w:r>
        <w:rPr>
          <w:rStyle w:val="VerbatimChar"/>
        </w:rPr>
        <w:t xml:space="preserve">non-public").</w:t>
      </w:r>
      <w:r>
        <w:br/>
      </w:r>
      <w:r>
        <w:br/>
      </w:r>
      <w:r>
        <w:rPr>
          <w:rStyle w:val="VerbatimChar"/>
        </w:rPr>
        <w:t xml:space="preserve">Function and Variable Names</w:t>
      </w:r>
    </w:p>
    <w:p>
      <w:pPr>
        <w:pStyle w:val="FirstParagraph"/>
      </w:pPr>
      <w:r>
        <w:t xml:space="preserve">Function names should be lowercase, with words separated by</w:t>
      </w:r>
      <w:r>
        <w:br/>
      </w:r>
      <w:r>
        <w:t xml:space="preserve">underscores as necessary to improve readability.</w:t>
      </w:r>
    </w:p>
    <w:p>
      <w:pPr>
        <w:pStyle w:val="BodyText"/>
      </w:pPr>
      <w:r>
        <w:t xml:space="preserve">Variable names follow the same convention as function names.</w:t>
      </w:r>
    </w:p>
    <w:p>
      <w:pPr>
        <w:pStyle w:val="BodyText"/>
      </w:pPr>
      <w:r>
        <w:t xml:space="preserve">mixedCase is allowed only in contexts where that's already the</w:t>
      </w:r>
      <w:r>
        <w:br/>
      </w:r>
      <w:r>
        <w:t xml:space="preserve">prevailing style (e.g. threading.py), to retain backwards</w:t>
      </w:r>
      <w:r>
        <w:br/>
      </w:r>
      <w:r>
        <w:t xml:space="preserve">compatibility.</w:t>
      </w:r>
    </w:p>
    <w:p>
      <w:pPr>
        <w:pStyle w:val="BodyText"/>
      </w:pPr>
      <w:r>
        <w:t xml:space="preserve">Function and Method Arguments</w:t>
      </w:r>
    </w:p>
    <w:p>
      <w:pPr>
        <w:pStyle w:val="SourceCode"/>
      </w:pPr>
      <w:r>
        <w:br/>
      </w:r>
      <w:r>
        <w:rPr>
          <w:rStyle w:val="VerbatimChar"/>
        </w:rPr>
        <w:t xml:space="preserve">Always use ``self`` for the first argument to instance methods.</w:t>
      </w:r>
      <w:r>
        <w:br/>
      </w:r>
      <w:r>
        <w:br/>
      </w:r>
      <w:r>
        <w:rPr>
          <w:rStyle w:val="VerbatimChar"/>
        </w:rPr>
        <w:t xml:space="preserve">Always use ``cls`` for the first argument to class methods.</w:t>
      </w:r>
      <w:r>
        <w:br/>
      </w:r>
      <w:r>
        <w:br/>
      </w:r>
      <w:r>
        <w:rPr>
          <w:rStyle w:val="VerbatimChar"/>
        </w:rPr>
        <w:t xml:space="preserve">If a function argument's name clashes with a reserved keyword, it is</w:t>
      </w:r>
      <w:r>
        <w:br/>
      </w:r>
      <w:r>
        <w:rPr>
          <w:rStyle w:val="VerbatimChar"/>
        </w:rPr>
        <w:t xml:space="preserve">generally better to append a single trailing underscore rather than</w:t>
      </w:r>
      <w:r>
        <w:br/>
      </w:r>
      <w:r>
        <w:rPr>
          <w:rStyle w:val="VerbatimChar"/>
        </w:rPr>
        <w:t xml:space="preserve">use an abbreviation or spelling corruption.  Thus ``class_`` is better</w:t>
      </w:r>
      <w:r>
        <w:br/>
      </w:r>
      <w:r>
        <w:rPr>
          <w:rStyle w:val="VerbatimChar"/>
        </w:rPr>
        <w:t xml:space="preserve">than ``clss``.  (Perhaps better is to avoid such clashes by using a</w:t>
      </w:r>
      <w:r>
        <w:br/>
      </w:r>
      <w:r>
        <w:rPr>
          <w:rStyle w:val="VerbatimChar"/>
        </w:rPr>
        <w:t xml:space="preserve">synonym.)</w:t>
      </w:r>
      <w:r>
        <w:br/>
      </w:r>
      <w:r>
        <w:br/>
      </w:r>
      <w:r>
        <w:rPr>
          <w:rStyle w:val="VerbatimChar"/>
        </w:rPr>
        <w:t xml:space="preserve">Method Names and Instance Variables</w:t>
      </w:r>
    </w:p>
    <w:p>
      <w:pPr>
        <w:pStyle w:val="FirstParagraph"/>
      </w:pPr>
      <w:r>
        <w:t xml:space="preserve">Use the function naming rules: lowercase with words separated by</w:t>
      </w:r>
      <w:r>
        <w:br/>
      </w:r>
      <w:r>
        <w:t xml:space="preserve">underscores as necessary to improve readability.</w:t>
      </w:r>
    </w:p>
    <w:p>
      <w:pPr>
        <w:pStyle w:val="BodyText"/>
      </w:pPr>
      <w:r>
        <w:t xml:space="preserve">Use one leading underscore only for non-public methods and instance</w:t>
      </w:r>
      <w:r>
        <w:br/>
      </w:r>
      <w:r>
        <w:t xml:space="preserve">variables.</w:t>
      </w:r>
    </w:p>
    <w:p>
      <w:pPr>
        <w:pStyle w:val="BodyText"/>
      </w:pPr>
      <w:r>
        <w:t xml:space="preserve">To avoid name clashes with subclasses, use two leading underscores to</w:t>
      </w:r>
      <w:r>
        <w:br/>
      </w:r>
      <w:r>
        <w:t xml:space="preserve">invoke Python's name mangling rules.</w:t>
      </w:r>
    </w:p>
    <w:p>
      <w:pPr>
        <w:pStyle w:val="BodyText"/>
      </w:pPr>
      <w:r>
        <w:t xml:space="preserve">Python mangles these names with the class name: if class Foo has an</w:t>
      </w:r>
      <w:r>
        <w:br/>
      </w:r>
      <w:r>
        <w:t xml:space="preserve">attribute named</w:t>
      </w:r>
      <w:r>
        <w:t xml:space="preserve"> </w:t>
      </w:r>
      <w:r>
        <w:rPr>
          <w:rStyle w:val="VerbatimChar"/>
        </w:rPr>
        <w:t xml:space="preserve">__a</w:t>
      </w:r>
      <w:r>
        <w:t xml:space="preserve">, it cannot be accessed by</w:t>
      </w:r>
      <w:r>
        <w:t xml:space="preserve"> </w:t>
      </w:r>
      <w:r>
        <w:rPr>
          <w:rStyle w:val="VerbatimChar"/>
        </w:rPr>
        <w:t xml:space="preserve">Foo.__a</w:t>
      </w:r>
      <w:r>
        <w:t xml:space="preserve">. (An</w:t>
      </w:r>
      <w:r>
        <w:br/>
      </w:r>
      <w:r>
        <w:t xml:space="preserve">insistent user could still gain access by calling</w:t>
      </w:r>
      <w:r>
        <w:t xml:space="preserve"> </w:t>
      </w:r>
      <w:r>
        <w:rPr>
          <w:rStyle w:val="VerbatimChar"/>
        </w:rPr>
        <w:t xml:space="preserve">Foo._Foo__a</w:t>
      </w:r>
      <w:r>
        <w:t xml:space="preserve">.)</w:t>
      </w:r>
      <w:r>
        <w:br/>
      </w:r>
      <w:r>
        <w:t xml:space="preserve">Generally, double leading underscores should be used only to avoid</w:t>
      </w:r>
      <w:r>
        <w:br/>
      </w:r>
      <w:r>
        <w:t xml:space="preserve">name conflicts with attributes in classes designed to be subclassed.</w:t>
      </w:r>
    </w:p>
    <w:p>
      <w:pPr>
        <w:pStyle w:val="BodyText"/>
      </w:pPr>
      <w:r>
        <w:t xml:space="preserve">Note: there is some controversy about the use of __names (see below).</w:t>
      </w:r>
    </w:p>
    <w:p>
      <w:pPr>
        <w:pStyle w:val="BodyText"/>
      </w:pPr>
      <w:r>
        <w:t xml:space="preserve">Constants</w:t>
      </w:r>
    </w:p>
    <w:p>
      <w:pPr>
        <w:pStyle w:val="SourceCode"/>
      </w:pPr>
      <w:r>
        <w:br/>
      </w:r>
      <w:r>
        <w:rPr>
          <w:rStyle w:val="VerbatimChar"/>
        </w:rPr>
        <w:t xml:space="preserve">Constants are usually defined on a module level and written in all</w:t>
      </w:r>
      <w:r>
        <w:br/>
      </w:r>
      <w:r>
        <w:rPr>
          <w:rStyle w:val="VerbatimChar"/>
        </w:rPr>
        <w:t xml:space="preserve">capital letters with underscores separating words.  Examples include</w:t>
      </w:r>
      <w:r>
        <w:br/>
      </w:r>
      <w:r>
        <w:rPr>
          <w:rStyle w:val="VerbatimChar"/>
        </w:rPr>
        <w:t xml:space="preserve">``MAX_OVERFLOW`` and ``TOTAL``.</w:t>
      </w:r>
      <w:r>
        <w:br/>
      </w:r>
      <w:r>
        <w:br/>
      </w:r>
      <w:r>
        <w:rPr>
          <w:rStyle w:val="VerbatimChar"/>
        </w:rPr>
        <w:t xml:space="preserve">Designing for Inheritance</w:t>
      </w:r>
    </w:p>
    <w:p>
      <w:pPr>
        <w:pStyle w:val="FirstParagraph"/>
      </w:pPr>
      <w:r>
        <w:t xml:space="preserve">Always decide whether a class's methods and instance variables</w:t>
      </w:r>
      <w:r>
        <w:br/>
      </w:r>
      <w:r>
        <w:t xml:space="preserve">(collectively: "attributes") should be public or non-public. If in</w:t>
      </w:r>
      <w:r>
        <w:br/>
      </w:r>
      <w:r>
        <w:t xml:space="preserve">doubt, choose non-public; it's easier to make it public later than to</w:t>
      </w:r>
      <w:r>
        <w:br/>
      </w:r>
      <w:r>
        <w:t xml:space="preserve">make a public attribute non-public.</w:t>
      </w:r>
    </w:p>
    <w:p>
      <w:pPr>
        <w:pStyle w:val="BodyText"/>
      </w:pPr>
      <w:r>
        <w:t xml:space="preserve">Public attributes are those that you expect unrelated clients of your</w:t>
      </w:r>
      <w:r>
        <w:br/>
      </w:r>
      <w:r>
        <w:t xml:space="preserve">class to use, with your commitment to avoid backwards incompatible</w:t>
      </w:r>
      <w:r>
        <w:br/>
      </w:r>
      <w:r>
        <w:t xml:space="preserve">changes. Non-public attributes are those that are not intended to be</w:t>
      </w:r>
      <w:r>
        <w:br/>
      </w:r>
      <w:r>
        <w:t xml:space="preserve">used by third parties; you make no guarantees that non-public</w:t>
      </w:r>
      <w:r>
        <w:br/>
      </w:r>
      <w:r>
        <w:t xml:space="preserve">attributes won't change or even be removed.</w:t>
      </w:r>
    </w:p>
    <w:p>
      <w:pPr>
        <w:pStyle w:val="BodyText"/>
      </w:pPr>
      <w:r>
        <w:t xml:space="preserve">We don't use the term "private" here, since no attribute is really</w:t>
      </w:r>
      <w:r>
        <w:br/>
      </w:r>
      <w:r>
        <w:t xml:space="preserve">private in Python (without a generally unnecessary amount of work).</w:t>
      </w:r>
    </w:p>
    <w:p>
      <w:pPr>
        <w:pStyle w:val="BodyText"/>
      </w:pPr>
      <w:r>
        <w:t xml:space="preserve">Another category of attributes are those that are part of the</w:t>
      </w:r>
      <w:r>
        <w:br/>
      </w:r>
      <w:r>
        <w:t xml:space="preserve">"subclass API" (often called "protected" in other languages). Some</w:t>
      </w:r>
      <w:r>
        <w:br/>
      </w:r>
      <w:r>
        <w:t xml:space="preserve">classes are designed to be inherited from, either to extend or modify</w:t>
      </w:r>
      <w:r>
        <w:br/>
      </w:r>
      <w:r>
        <w:t xml:space="preserve">aspects of the class's behavior. When designing such a class, take</w:t>
      </w:r>
      <w:r>
        <w:br/>
      </w:r>
      <w:r>
        <w:t xml:space="preserve">care to make explicit decisions about which attributes are public,</w:t>
      </w:r>
      <w:r>
        <w:br/>
      </w:r>
      <w:r>
        <w:t xml:space="preserve">which are part of the subclass API, and which are truly only to be</w:t>
      </w:r>
      <w:r>
        <w:br/>
      </w:r>
      <w:r>
        <w:t xml:space="preserve">used by your base class.</w:t>
      </w:r>
    </w:p>
    <w:p>
      <w:pPr>
        <w:pStyle w:val="BodyText"/>
      </w:pPr>
      <w:r>
        <w:t xml:space="preserve">With this in mind, here are the Pythonic guidelines:</w:t>
      </w:r>
    </w:p>
    <w:p>
      <w:pPr>
        <w:numPr>
          <w:ilvl w:val="0"/>
          <w:numId w:val="1013"/>
        </w:numPr>
      </w:pPr>
      <w:r>
        <w:t xml:space="preserve">Public attributes should have no leading underscores.</w:t>
      </w:r>
    </w:p>
    <w:p>
      <w:pPr>
        <w:numPr>
          <w:ilvl w:val="0"/>
          <w:numId w:val="1013"/>
        </w:numPr>
      </w:pPr>
      <w:r>
        <w:t xml:space="preserve">If your public attribute name collides with a reserved keyword,</w:t>
      </w:r>
      <w:r>
        <w:br/>
      </w:r>
      <w:r>
        <w:t xml:space="preserve">append a single trailing underscore to your attribute name. This is</w:t>
      </w:r>
      <w:r>
        <w:br/>
      </w:r>
      <w:r>
        <w:t xml:space="preserve">preferable to an abbreviation or corrupted spelling. (However,</w:t>
      </w:r>
      <w:r>
        <w:br/>
      </w:r>
      <w:r>
        <w:t xml:space="preserve">notwithstanding this rule, 'cls' is the preferred spelling for any</w:t>
      </w:r>
      <w:r>
        <w:br/>
      </w:r>
      <w:r>
        <w:t xml:space="preserve">variable or argument which is known to be a class, especially the</w:t>
      </w:r>
      <w:r>
        <w:br/>
      </w:r>
      <w:r>
        <w:t xml:space="preserve">first argument to a class method.)</w:t>
      </w:r>
    </w:p>
    <w:p>
      <w:pPr>
        <w:numPr>
          <w:ilvl w:val="0"/>
          <w:numId w:val="1000"/>
        </w:numPr>
      </w:pPr>
      <w:r>
        <w:t xml:space="preserve">Note 1: See the argument name recommendation above for class methods.</w:t>
      </w:r>
    </w:p>
    <w:p>
      <w:pPr>
        <w:numPr>
          <w:ilvl w:val="0"/>
          <w:numId w:val="1013"/>
        </w:numPr>
      </w:pPr>
      <w:r>
        <w:t xml:space="preserve">For simple public data attributes, it is best to expose just the</w:t>
      </w:r>
      <w:r>
        <w:br/>
      </w:r>
      <w:r>
        <w:t xml:space="preserve">attribute name, without complicated accessor/mutator methods. Keep</w:t>
      </w:r>
      <w:r>
        <w:br/>
      </w:r>
      <w:r>
        <w:t xml:space="preserve">in mind that Python provides an easy path to future enhancement,</w:t>
      </w:r>
      <w:r>
        <w:br/>
      </w:r>
      <w:r>
        <w:t xml:space="preserve">should you find that a simple data attribute needs to grow</w:t>
      </w:r>
      <w:r>
        <w:br/>
      </w:r>
      <w:r>
        <w:t xml:space="preserve">functional behavior. In that case, use properties to hide</w:t>
      </w:r>
      <w:r>
        <w:br/>
      </w:r>
      <w:r>
        <w:t xml:space="preserve">functional implementation behind simple data attribute access</w:t>
      </w:r>
      <w:r>
        <w:br/>
      </w:r>
      <w:r>
        <w:t xml:space="preserve">syntax.</w:t>
      </w:r>
    </w:p>
    <w:p>
      <w:pPr>
        <w:numPr>
          <w:ilvl w:val="0"/>
          <w:numId w:val="1000"/>
        </w:numPr>
      </w:pPr>
      <w:r>
        <w:t xml:space="preserve">Note 1: Try to keep the functional behavior side-effect free,</w:t>
      </w:r>
      <w:r>
        <w:br/>
      </w:r>
      <w:r>
        <w:t xml:space="preserve">although side-effects such as caching are generally fine.</w:t>
      </w:r>
    </w:p>
    <w:p>
      <w:pPr>
        <w:numPr>
          <w:ilvl w:val="0"/>
          <w:numId w:val="1000"/>
        </w:numPr>
      </w:pPr>
      <w:r>
        <w:t xml:space="preserve">Note 2: Avoid using properties for computationally expensive</w:t>
      </w:r>
      <w:r>
        <w:br/>
      </w:r>
      <w:r>
        <w:t xml:space="preserve">operations; the attribute notation makes the caller believe that</w:t>
      </w:r>
      <w:r>
        <w:br/>
      </w:r>
      <w:r>
        <w:t xml:space="preserve">access is (relatively) cheap.</w:t>
      </w:r>
    </w:p>
    <w:p>
      <w:pPr>
        <w:numPr>
          <w:ilvl w:val="0"/>
          <w:numId w:val="1013"/>
        </w:numPr>
      </w:pPr>
      <w:r>
        <w:t xml:space="preserve">If your class is intended to be subclassed, and you have attributes</w:t>
      </w:r>
      <w:r>
        <w:br/>
      </w:r>
      <w:r>
        <w:t xml:space="preserve">that you do not want subclasses to use, consider naming them with</w:t>
      </w:r>
      <w:r>
        <w:br/>
      </w:r>
      <w:r>
        <w:t xml:space="preserve">double leading underscores and no trailing underscores. This</w:t>
      </w:r>
      <w:r>
        <w:br/>
      </w:r>
      <w:r>
        <w:t xml:space="preserve">invokes Python's name mangling algorithm, where the name of the</w:t>
      </w:r>
      <w:r>
        <w:br/>
      </w:r>
      <w:r>
        <w:t xml:space="preserve">class is mangled into the attribute name. This helps avoid</w:t>
      </w:r>
      <w:r>
        <w:br/>
      </w:r>
      <w:r>
        <w:t xml:space="preserve">attribute name collisions should subclasses inadvertently contain</w:t>
      </w:r>
      <w:r>
        <w:br/>
      </w:r>
      <w:r>
        <w:t xml:space="preserve">attributes with the same name.</w:t>
      </w:r>
    </w:p>
    <w:p>
      <w:pPr>
        <w:numPr>
          <w:ilvl w:val="0"/>
          <w:numId w:val="1000"/>
        </w:numPr>
      </w:pPr>
      <w:r>
        <w:t xml:space="preserve">Note 1: Note that only the simple class name is used in the mangled</w:t>
      </w:r>
      <w:r>
        <w:br/>
      </w:r>
      <w:r>
        <w:t xml:space="preserve">name, so if a subclass chooses both the same class name and attribute</w:t>
      </w:r>
      <w:r>
        <w:br/>
      </w:r>
      <w:r>
        <w:t xml:space="preserve">name, you can still get name collisions.</w:t>
      </w:r>
    </w:p>
    <w:p>
      <w:pPr>
        <w:numPr>
          <w:ilvl w:val="0"/>
          <w:numId w:val="1000"/>
        </w:numPr>
      </w:pPr>
      <w:r>
        <w:t xml:space="preserve">Note 2: Name mangling can make certain uses, such as debugging and</w:t>
      </w:r>
      <w:r>
        <w:br/>
      </w:r>
      <w:r>
        <w:rPr>
          <w:rStyle w:val="VerbatimChar"/>
        </w:rPr>
        <w:t xml:space="preserve">__getattr__()</w:t>
      </w:r>
      <w:r>
        <w:t xml:space="preserve">, less convenient. However the name mangling</w:t>
      </w:r>
      <w:r>
        <w:br/>
      </w:r>
      <w:r>
        <w:t xml:space="preserve">algorithm is well documented and easy to perform manually.</w:t>
      </w:r>
    </w:p>
    <w:p>
      <w:pPr>
        <w:numPr>
          <w:ilvl w:val="0"/>
          <w:numId w:val="1000"/>
        </w:numPr>
      </w:pPr>
      <w:r>
        <w:t xml:space="preserve">Note 3: Not everyone likes name mangling. Try to balance the</w:t>
      </w:r>
      <w:r>
        <w:br/>
      </w:r>
      <w:r>
        <w:t xml:space="preserve">need to avoid accidental name clashes with potential use by</w:t>
      </w:r>
      <w:r>
        <w:br/>
      </w:r>
      <w:r>
        <w:t xml:space="preserve">advanced callers.</w:t>
      </w:r>
    </w:p>
    <w:bookmarkEnd w:id="90"/>
    <w:bookmarkStart w:id="91" w:name="public-and-internal-interfaces"/>
    <w:p>
      <w:pPr>
        <w:pStyle w:val="Heading2"/>
      </w:pPr>
      <w:r>
        <w:t xml:space="preserve">Public and Internal Interfaces</w:t>
      </w:r>
    </w:p>
    <w:p>
      <w:pPr>
        <w:pStyle w:val="FirstParagraph"/>
      </w:pPr>
      <w:r>
        <w:t xml:space="preserve">Any backwards compatibility guarantees apply only to public interfaces.</w:t>
      </w:r>
      <w:r>
        <w:br/>
      </w:r>
      <w:r>
        <w:t xml:space="preserve">Accordingly, it is important that users be able to clearly distinguish</w:t>
      </w:r>
      <w:r>
        <w:br/>
      </w:r>
      <w:r>
        <w:t xml:space="preserve">between public and internal interfaces.</w:t>
      </w:r>
    </w:p>
    <w:p>
      <w:pPr>
        <w:pStyle w:val="BodyText"/>
      </w:pPr>
      <w:r>
        <w:t xml:space="preserve">Documented interfaces are considered public, unless the documentation</w:t>
      </w:r>
      <w:r>
        <w:br/>
      </w:r>
      <w:r>
        <w:t xml:space="preserve">explicitly declares them to be provisional or internal interfaces exempt</w:t>
      </w:r>
      <w:r>
        <w:br/>
      </w:r>
      <w:r>
        <w:t xml:space="preserve">from the usual backwards compatibility guarantees. All undocumented</w:t>
      </w:r>
      <w:r>
        <w:br/>
      </w:r>
      <w:r>
        <w:t xml:space="preserve">interfaces should be assumed to be internal.</w:t>
      </w:r>
    </w:p>
    <w:p>
      <w:pPr>
        <w:pStyle w:val="BodyText"/>
      </w:pPr>
      <w:r>
        <w:t xml:space="preserve">To better support introspection, modules should explicitly declare the</w:t>
      </w:r>
      <w:r>
        <w:br/>
      </w:r>
      <w:r>
        <w:t xml:space="preserve">names in their public API using the</w:t>
      </w:r>
      <w:r>
        <w:t xml:space="preserve"> </w:t>
      </w:r>
      <w:r>
        <w:rPr>
          <w:rStyle w:val="VerbatimChar"/>
        </w:rPr>
        <w:t xml:space="preserve">__all__</w:t>
      </w:r>
      <w:r>
        <w:t xml:space="preserve"> </w:t>
      </w:r>
      <w:r>
        <w:t xml:space="preserve">attribute. Setting</w:t>
      </w:r>
      <w:r>
        <w:br/>
      </w:r>
      <w:r>
        <w:rPr>
          <w:rStyle w:val="VerbatimChar"/>
        </w:rPr>
        <w:t xml:space="preserve">__all__</w:t>
      </w:r>
      <w:r>
        <w:t xml:space="preserve"> </w:t>
      </w:r>
      <w:r>
        <w:t xml:space="preserve">to an empty list indicates that the module has no public API.</w:t>
      </w:r>
    </w:p>
    <w:p>
      <w:pPr>
        <w:pStyle w:val="BodyText"/>
      </w:pPr>
      <w:r>
        <w:t xml:space="preserve">Even with</w:t>
      </w:r>
      <w:r>
        <w:t xml:space="preserve"> </w:t>
      </w:r>
      <w:r>
        <w:rPr>
          <w:rStyle w:val="VerbatimChar"/>
        </w:rPr>
        <w:t xml:space="preserve">__all__</w:t>
      </w:r>
      <w:r>
        <w:t xml:space="preserve"> </w:t>
      </w:r>
      <w:r>
        <w:t xml:space="preserve">set appropriately, internal interfaces (packages,</w:t>
      </w:r>
      <w:r>
        <w:br/>
      </w:r>
      <w:r>
        <w:t xml:space="preserve">modules, classes, functions, attributes or other names) should still be</w:t>
      </w:r>
      <w:r>
        <w:br/>
      </w:r>
      <w:r>
        <w:t xml:space="preserve">prefixed with a single leading underscore.</w:t>
      </w:r>
    </w:p>
    <w:p>
      <w:pPr>
        <w:pStyle w:val="BodyText"/>
      </w:pPr>
      <w:r>
        <w:t xml:space="preserve">An interface is also considered internal if any containing namespace</w:t>
      </w:r>
      <w:r>
        <w:br/>
      </w:r>
      <w:r>
        <w:t xml:space="preserve">(package, module or class) is considered internal.</w:t>
      </w:r>
    </w:p>
    <w:p>
      <w:pPr>
        <w:pStyle w:val="BodyText"/>
      </w:pPr>
      <w:r>
        <w:t xml:space="preserve">Imported names should always be considered an implementation detail.</w:t>
      </w:r>
      <w:r>
        <w:br/>
      </w:r>
      <w:r>
        <w:t xml:space="preserve">Other modules must not rely on indirect access to such imported names</w:t>
      </w:r>
      <w:r>
        <w:br/>
      </w:r>
      <w:r>
        <w:t xml:space="preserve">unless they are an explicitly documented part of the containing module's</w:t>
      </w:r>
      <w:r>
        <w:br/>
      </w:r>
      <w:r>
        <w:t xml:space="preserve">API, such as</w:t>
      </w:r>
      <w:r>
        <w:t xml:space="preserve"> </w:t>
      </w:r>
      <w:r>
        <w:rPr>
          <w:rStyle w:val="VerbatimChar"/>
        </w:rPr>
        <w:t xml:space="preserve">os.path</w:t>
      </w:r>
      <w:r>
        <w:t xml:space="preserve"> </w:t>
      </w:r>
      <w:r>
        <w:t xml:space="preserve">or a package's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 </w:t>
      </w:r>
      <w:r>
        <w:t xml:space="preserve">module that exposes</w:t>
      </w:r>
      <w:r>
        <w:br/>
      </w:r>
      <w:r>
        <w:t xml:space="preserve">functionality from submodules.</w:t>
      </w:r>
    </w:p>
    <w:bookmarkEnd w:id="91"/>
    <w:bookmarkEnd w:id="92"/>
    <w:bookmarkStart w:id="118" w:name="programming-recommendations"/>
    <w:p>
      <w:pPr>
        <w:pStyle w:val="Heading1"/>
      </w:pPr>
      <w:r>
        <w:t xml:space="preserve">Programming Recommendations</w:t>
      </w:r>
    </w:p>
    <w:p>
      <w:pPr>
        <w:numPr>
          <w:ilvl w:val="0"/>
          <w:numId w:val="1014"/>
        </w:numPr>
      </w:pPr>
      <w:r>
        <w:t xml:space="preserve">Code should be written in a way that does not disadvantage other</w:t>
      </w:r>
      <w:r>
        <w:br/>
      </w:r>
      <w:r>
        <w:t xml:space="preserve">implementations of Python (PyPy, Jython, IronPython, Cython, Psyco,</w:t>
      </w:r>
      <w:r>
        <w:br/>
      </w:r>
      <w:r>
        <w:t xml:space="preserve">and such).</w:t>
      </w:r>
    </w:p>
    <w:p>
      <w:pPr>
        <w:numPr>
          <w:ilvl w:val="0"/>
          <w:numId w:val="1000"/>
        </w:numPr>
      </w:pPr>
      <w:r>
        <w:t xml:space="preserve">For example, do not rely on CPython's efficient implementation of</w:t>
      </w:r>
      <w:r>
        <w:br/>
      </w:r>
      <w:r>
        <w:t xml:space="preserve">in-place string concatenation for statements in the form</w:t>
      </w:r>
      <w:r>
        <w:t xml:space="preserve"> </w:t>
      </w:r>
      <w:r>
        <w:rPr>
          <w:rStyle w:val="VerbatimChar"/>
        </w:rPr>
        <w:t xml:space="preserve">a += b</w:t>
      </w:r>
      <w:r>
        <w:br/>
      </w:r>
      <w:r>
        <w:t xml:space="preserve">or</w:t>
      </w:r>
      <w:r>
        <w:t xml:space="preserve"> </w:t>
      </w:r>
      <w:r>
        <w:rPr>
          <w:rStyle w:val="VerbatimChar"/>
        </w:rPr>
        <w:t xml:space="preserve">a = a + b</w:t>
      </w:r>
      <w:r>
        <w:t xml:space="preserve">. This optimization is fragile even in CPython (it</w:t>
      </w:r>
      <w:r>
        <w:br/>
      </w:r>
      <w:r>
        <w:t xml:space="preserve">only works for some types) and isn't present at all in implementations</w:t>
      </w:r>
      <w:r>
        <w:br/>
      </w:r>
      <w:r>
        <w:t xml:space="preserve">that don't use refcounting. In performance sensitive parts of the</w:t>
      </w:r>
      <w:r>
        <w:br/>
      </w:r>
      <w:r>
        <w:t xml:space="preserve">library, the</w:t>
      </w:r>
      <w:r>
        <w:t xml:space="preserve"> </w:t>
      </w:r>
      <w:r>
        <w:rPr>
          <w:rStyle w:val="VerbatimChar"/>
        </w:rPr>
        <w:t xml:space="preserve">''.join()</w:t>
      </w:r>
      <w:r>
        <w:t xml:space="preserve"> </w:t>
      </w:r>
      <w:r>
        <w:t xml:space="preserve">form should be used instead. This will</w:t>
      </w:r>
      <w:r>
        <w:br/>
      </w:r>
      <w:r>
        <w:t xml:space="preserve">ensure that concatenation occurs in linear time across various</w:t>
      </w:r>
      <w:r>
        <w:br/>
      </w:r>
      <w:r>
        <w:t xml:space="preserve">implementations.</w:t>
      </w:r>
    </w:p>
    <w:p>
      <w:pPr>
        <w:numPr>
          <w:ilvl w:val="0"/>
          <w:numId w:val="1014"/>
        </w:numPr>
      </w:pPr>
      <w:r>
        <w:t xml:space="preserve">Comparisons to singletons like None should always be done with</w:t>
      </w:r>
      <w:r>
        <w:br/>
      </w:r>
      <w:r>
        <w:rPr>
          <w:rStyle w:val="VerbatimChar"/>
        </w:rPr>
        <w:t xml:space="preserve">is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is not</w:t>
      </w:r>
      <w:r>
        <w:t xml:space="preserve">, never the equality operators.</w:t>
      </w:r>
    </w:p>
    <w:p>
      <w:pPr>
        <w:numPr>
          <w:ilvl w:val="0"/>
          <w:numId w:val="1000"/>
        </w:numPr>
      </w:pPr>
      <w:r>
        <w:t xml:space="preserve">Also, beware of writing</w:t>
      </w:r>
      <w:r>
        <w:t xml:space="preserve"> </w:t>
      </w:r>
      <w:r>
        <w:rPr>
          <w:rStyle w:val="VerbatimChar"/>
        </w:rPr>
        <w:t xml:space="preserve">if x</w:t>
      </w:r>
      <w:r>
        <w:t xml:space="preserve"> </w:t>
      </w:r>
      <w:r>
        <w:t xml:space="preserve">when you really mean</w:t>
      </w:r>
      <w:r>
        <w:t xml:space="preserve"> </w:t>
      </w:r>
      <w:r>
        <w:rPr>
          <w:rStyle w:val="VerbatimChar"/>
        </w:rPr>
        <w:t xml:space="preserve">if x is not</w:t>
      </w:r>
      <w:r>
        <w:br/>
      </w:r>
      <w:r>
        <w:rPr>
          <w:rStyle w:val="VerbatimChar"/>
        </w:rPr>
        <w:t xml:space="preserve">None</w:t>
      </w:r>
      <w:r>
        <w:t xml:space="preserve"> </w:t>
      </w:r>
      <w:r>
        <w:t xml:space="preserve">-- e.g. when testing whether a variable or argument that</w:t>
      </w:r>
      <w:r>
        <w:br/>
      </w:r>
      <w:r>
        <w:t xml:space="preserve">defaults to None was set to some other value. The other value might</w:t>
      </w:r>
      <w:r>
        <w:br/>
      </w:r>
      <w:r>
        <w:t xml:space="preserve">have a type (such as a container) that could be false in a boolean</w:t>
      </w:r>
      <w:r>
        <w:br/>
      </w:r>
      <w:r>
        <w:t xml:space="preserve">context!</w:t>
      </w:r>
    </w:p>
    <w:p>
      <w:pPr>
        <w:numPr>
          <w:ilvl w:val="0"/>
          <w:numId w:val="101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is not</w:t>
      </w:r>
      <w:r>
        <w:t xml:space="preserve"> </w:t>
      </w:r>
      <w:r>
        <w:t xml:space="preserve">operator rather than</w:t>
      </w:r>
      <w:r>
        <w:t xml:space="preserve"> </w:t>
      </w:r>
      <w:r>
        <w:rPr>
          <w:rStyle w:val="VerbatimChar"/>
        </w:rPr>
        <w:t xml:space="preserve">not ... is</w:t>
      </w:r>
      <w:r>
        <w:t xml:space="preserve">. While both</w:t>
      </w:r>
      <w:r>
        <w:br/>
      </w:r>
      <w:r>
        <w:t xml:space="preserve">expressions are functionally identical, the former is more readable</w:t>
      </w:r>
      <w:r>
        <w:br/>
      </w:r>
      <w:r>
        <w:t xml:space="preserve">and preferred: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93" w:name="correct-17"/>
      <w:r>
        <w:t xml:space="preserve">Correct:</w:t>
      </w:r>
      <w:bookmarkEnd w:id="93"/>
    </w:p>
    <w:p>
      <w:pPr>
        <w:numPr>
          <w:ilvl w:val="0"/>
          <w:numId w:val="1000"/>
        </w:numPr>
      </w:pPr>
      <w:r>
        <w:t xml:space="preserve"> </w:t>
      </w:r>
      <w:r>
        <w:t xml:space="preserve">if foo is not None: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94" w:name="wrong-18"/>
      <w:r>
        <w:t xml:space="preserve">Wrong:</w:t>
      </w:r>
      <w:bookmarkEnd w:id="94"/>
    </w:p>
    <w:p>
      <w:pPr>
        <w:numPr>
          <w:ilvl w:val="0"/>
          <w:numId w:val="1000"/>
        </w:numPr>
      </w:pPr>
      <w:r>
        <w:t xml:space="preserve"> </w:t>
      </w:r>
      <w:r>
        <w:t xml:space="preserve">if not foo is None:</w:t>
      </w:r>
    </w:p>
    <w:p>
      <w:pPr>
        <w:numPr>
          <w:ilvl w:val="0"/>
          <w:numId w:val="1014"/>
        </w:numPr>
      </w:pPr>
      <w:r>
        <w:t xml:space="preserve">When implementing ordering operations with rich comparisons, it is</w:t>
      </w:r>
      <w:r>
        <w:br/>
      </w:r>
      <w:r>
        <w:t xml:space="preserve">best to implement all six operations (</w:t>
      </w:r>
      <w:r>
        <w:rPr>
          <w:rStyle w:val="VerbatimChar"/>
        </w:rPr>
        <w:t xml:space="preserve">__eq__</w:t>
      </w:r>
      <w:r>
        <w:t xml:space="preserve">,</w:t>
      </w:r>
      <w:r>
        <w:t xml:space="preserve"> </w:t>
      </w:r>
      <w:r>
        <w:rPr>
          <w:rStyle w:val="VerbatimChar"/>
        </w:rPr>
        <w:t xml:space="preserve">__ne__</w:t>
      </w:r>
      <w:r>
        <w:t xml:space="preserve">,</w:t>
      </w:r>
      <w:r>
        <w:br/>
      </w:r>
      <w:r>
        <w:rPr>
          <w:rStyle w:val="VerbatimChar"/>
        </w:rPr>
        <w:t xml:space="preserve">__lt__</w:t>
      </w:r>
      <w:r>
        <w:t xml:space="preserve">,</w:t>
      </w:r>
      <w:r>
        <w:t xml:space="preserve"> </w:t>
      </w:r>
      <w:r>
        <w:rPr>
          <w:rStyle w:val="VerbatimChar"/>
        </w:rPr>
        <w:t xml:space="preserve">__le__</w:t>
      </w:r>
      <w:r>
        <w:t xml:space="preserve">,</w:t>
      </w:r>
      <w:r>
        <w:t xml:space="preserve"> </w:t>
      </w:r>
      <w:r>
        <w:rPr>
          <w:rStyle w:val="VerbatimChar"/>
        </w:rPr>
        <w:t xml:space="preserve">__gt__</w:t>
      </w:r>
      <w:r>
        <w:t xml:space="preserve">,</w:t>
      </w:r>
      <w:r>
        <w:t xml:space="preserve"> </w:t>
      </w:r>
      <w:r>
        <w:rPr>
          <w:rStyle w:val="VerbatimChar"/>
        </w:rPr>
        <w:t xml:space="preserve">__ge__</w:t>
      </w:r>
      <w:r>
        <w:t xml:space="preserve">) rather than relying</w:t>
      </w:r>
      <w:r>
        <w:br/>
      </w:r>
      <w:r>
        <w:t xml:space="preserve">on other code to only exercise a particular comparison.</w:t>
      </w:r>
    </w:p>
    <w:p>
      <w:pPr>
        <w:numPr>
          <w:ilvl w:val="0"/>
          <w:numId w:val="1000"/>
        </w:numPr>
      </w:pPr>
      <w:r>
        <w:t xml:space="preserve">To minimize the effort involved, the</w:t>
      </w:r>
      <w:r>
        <w:t xml:space="preserve"> </w:t>
      </w:r>
      <w:r>
        <w:rPr>
          <w:rStyle w:val="VerbatimChar"/>
        </w:rPr>
        <w:t xml:space="preserve">functools.total_ordering()</w:t>
      </w:r>
      <w:r>
        <w:br/>
      </w:r>
      <w:r>
        <w:t xml:space="preserve">decorator provides a tool to generate missing comparison methods.</w:t>
      </w:r>
    </w:p>
    <w:p>
      <w:pPr>
        <w:numPr>
          <w:ilvl w:val="0"/>
          <w:numId w:val="1000"/>
        </w:numPr>
      </w:pPr>
      <w:r>
        <w:t xml:space="preserve">:pep:</w:t>
      </w:r>
      <w:r>
        <w:rPr>
          <w:rStyle w:val="VerbatimChar"/>
        </w:rPr>
        <w:t xml:space="preserve">207</w:t>
      </w:r>
      <w:r>
        <w:t xml:space="preserve"> </w:t>
      </w:r>
      <w:r>
        <w:t xml:space="preserve">indicates that reflexivity rules</w:t>
      </w:r>
      <w:r>
        <w:t xml:space="preserve"> </w:t>
      </w:r>
      <w:r>
        <w:rPr>
          <w:iCs/>
          <w:i/>
        </w:rPr>
        <w:t xml:space="preserve">are</w:t>
      </w:r>
      <w:r>
        <w:t xml:space="preserve"> </w:t>
      </w:r>
      <w:r>
        <w:t xml:space="preserve">assumed by Python.</w:t>
      </w:r>
      <w:r>
        <w:br/>
      </w:r>
      <w:r>
        <w:t xml:space="preserve">Thus, the interpreter may swap</w:t>
      </w:r>
      <w:r>
        <w:t xml:space="preserve"> </w:t>
      </w:r>
      <w:r>
        <w:rPr>
          <w:rStyle w:val="VerbatimChar"/>
        </w:rPr>
        <w:t xml:space="preserve">y &gt; x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x &lt; y</w:t>
      </w:r>
      <w:r>
        <w:t xml:space="preserve">,</w:t>
      </w:r>
      <w:r>
        <w:t xml:space="preserve"> </w:t>
      </w:r>
      <w:r>
        <w:rPr>
          <w:rStyle w:val="VerbatimChar"/>
        </w:rPr>
        <w:t xml:space="preserve">y &gt;= x</w:t>
      </w:r>
      <w:r>
        <w:br/>
      </w:r>
      <w:r>
        <w:t xml:space="preserve">with</w:t>
      </w:r>
      <w:r>
        <w:t xml:space="preserve"> </w:t>
      </w:r>
      <w:r>
        <w:rPr>
          <w:rStyle w:val="VerbatimChar"/>
        </w:rPr>
        <w:t xml:space="preserve">x &lt;= y</w:t>
      </w:r>
      <w:r>
        <w:t xml:space="preserve">, and may swap the arguments of</w:t>
      </w:r>
      <w:r>
        <w:t xml:space="preserve"> </w:t>
      </w:r>
      <w:r>
        <w:rPr>
          <w:rStyle w:val="VerbatimChar"/>
        </w:rPr>
        <w:t xml:space="preserve">x == 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 !=</w:t>
      </w:r>
      <w:r>
        <w:br/>
      </w:r>
      <w:r>
        <w:rPr>
          <w:rStyle w:val="VerbatimChar"/>
        </w:rPr>
        <w:t xml:space="preserve">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 </w:t>
      </w:r>
      <w:r>
        <w:t xml:space="preserve">operations are guaranteed to use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 </w:t>
      </w:r>
      <w:r>
        <w:t xml:space="preserve">function uses the</w:t>
      </w:r>
      <w:r>
        <w:t xml:space="preserve"> </w:t>
      </w:r>
      <w:r>
        <w:rPr>
          <w:rStyle w:val="VerbatimChar"/>
        </w:rPr>
        <w:t xml:space="preserve">&gt;</w:t>
      </w:r>
      <w:r>
        <w:br/>
      </w:r>
      <w:r>
        <w:t xml:space="preserve">operator. However, it is best to implement all six operations so</w:t>
      </w:r>
      <w:r>
        <w:br/>
      </w:r>
      <w:r>
        <w:t xml:space="preserve">that confusion doesn't arise in other contexts.</w:t>
      </w:r>
    </w:p>
    <w:p>
      <w:pPr>
        <w:numPr>
          <w:ilvl w:val="0"/>
          <w:numId w:val="1014"/>
        </w:numPr>
      </w:pPr>
      <w:r>
        <w:t xml:space="preserve">Always use a def statement instead of an assignment statement that binds</w:t>
      </w:r>
      <w:r>
        <w:br/>
      </w:r>
      <w:r>
        <w:t xml:space="preserve">a lambda expression directly to an identifier: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95" w:name="correct-18"/>
      <w:r>
        <w:t xml:space="preserve">Correct:</w:t>
      </w:r>
      <w:bookmarkEnd w:id="95"/>
    </w:p>
    <w:p>
      <w:pPr>
        <w:numPr>
          <w:ilvl w:val="0"/>
          <w:numId w:val="1000"/>
        </w:numPr>
      </w:pPr>
      <w:r>
        <w:t xml:space="preserve"> </w:t>
      </w:r>
      <w:r>
        <w:t xml:space="preserve">def f(x): return 2*x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96" w:name="wrong-19"/>
      <w:r>
        <w:t xml:space="preserve">Wrong:</w:t>
      </w:r>
      <w:bookmarkEnd w:id="96"/>
    </w:p>
    <w:p>
      <w:pPr>
        <w:numPr>
          <w:ilvl w:val="0"/>
          <w:numId w:val="1000"/>
        </w:numPr>
      </w:pPr>
      <w:r>
        <w:t xml:space="preserve"> </w:t>
      </w:r>
      <w:r>
        <w:t xml:space="preserve">f = lambda x: 2*x</w:t>
      </w:r>
    </w:p>
    <w:p>
      <w:pPr>
        <w:numPr>
          <w:ilvl w:val="0"/>
          <w:numId w:val="1000"/>
        </w:numPr>
      </w:pPr>
      <w:r>
        <w:t xml:space="preserve">The first form means that the name of the resulting function object is</w:t>
      </w:r>
      <w:r>
        <w:br/>
      </w:r>
      <w:r>
        <w:t xml:space="preserve">specifically 'f' instead of the generic '</w:t>
      </w:r>
      <w:r>
        <w:t xml:space="preserve">'. This is more</w:t>
      </w:r>
      <w:r>
        <w:br/>
      </w:r>
      <w:r>
        <w:t xml:space="preserve">useful for tracebacks and string representations in general. The use</w:t>
      </w:r>
      <w:r>
        <w:br/>
      </w:r>
      <w:r>
        <w:t xml:space="preserve">of the assignment statement eliminates the sole benefit a lambda</w:t>
      </w:r>
      <w:r>
        <w:br/>
      </w:r>
      <w:r>
        <w:t xml:space="preserve">expression can offer over an explicit def statement (i.e. that it can</w:t>
      </w:r>
      <w:r>
        <w:br/>
      </w:r>
      <w:r>
        <w:t xml:space="preserve">be embedded inside a larger expression)</w:t>
      </w:r>
    </w:p>
    <w:p>
      <w:pPr>
        <w:numPr>
          <w:ilvl w:val="0"/>
          <w:numId w:val="1014"/>
        </w:numPr>
      </w:pPr>
      <w:r>
        <w:t xml:space="preserve">Derive exceptions from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BaseException</w:t>
      </w:r>
      <w:r>
        <w:t xml:space="preserve">.</w:t>
      </w:r>
      <w:r>
        <w:br/>
      </w:r>
      <w:r>
        <w:t xml:space="preserve">Direct inheritance from</w:t>
      </w:r>
      <w:r>
        <w:t xml:space="preserve"> </w:t>
      </w:r>
      <w:r>
        <w:rPr>
          <w:rStyle w:val="VerbatimChar"/>
        </w:rPr>
        <w:t xml:space="preserve">BaseException</w:t>
      </w:r>
      <w:r>
        <w:t xml:space="preserve"> </w:t>
      </w:r>
      <w:r>
        <w:t xml:space="preserve">is reserved for exceptions</w:t>
      </w:r>
      <w:r>
        <w:br/>
      </w:r>
      <w:r>
        <w:t xml:space="preserve">where catching them is almost always the wrong thing to do.</w:t>
      </w:r>
    </w:p>
    <w:p>
      <w:pPr>
        <w:numPr>
          <w:ilvl w:val="0"/>
          <w:numId w:val="1000"/>
        </w:numPr>
      </w:pPr>
      <w:r>
        <w:t xml:space="preserve">Design exception hierarchies based on the distinctions that code</w:t>
      </w:r>
      <w:r>
        <w:br/>
      </w:r>
      <w:r>
        <w:rPr>
          <w:iCs/>
          <w:i/>
        </w:rPr>
        <w:t xml:space="preserve">catching</w:t>
      </w:r>
      <w:r>
        <w:t xml:space="preserve"> </w:t>
      </w:r>
      <w:r>
        <w:t xml:space="preserve">the exceptions is likely to need, rather than the locations</w:t>
      </w:r>
      <w:r>
        <w:br/>
      </w:r>
      <w:r>
        <w:t xml:space="preserve">where the exceptions are raised. Aim to answer the question</w:t>
      </w:r>
      <w:r>
        <w:br/>
      </w:r>
      <w:r>
        <w:t xml:space="preserve">"What went wrong?" programmatically, rather than only stating that</w:t>
      </w:r>
      <w:r>
        <w:br/>
      </w:r>
      <w:r>
        <w:t xml:space="preserve">"A problem occurred" (see :pep:</w:t>
      </w:r>
      <w:r>
        <w:rPr>
          <w:rStyle w:val="VerbatimChar"/>
        </w:rPr>
        <w:t xml:space="preserve">3151</w:t>
      </w:r>
      <w:r>
        <w:t xml:space="preserve"> </w:t>
      </w:r>
      <w:r>
        <w:t xml:space="preserve">for an example of this lesson being</w:t>
      </w:r>
      <w:r>
        <w:br/>
      </w:r>
      <w:r>
        <w:t xml:space="preserve">learned for the builtin exception hierarchy)</w:t>
      </w:r>
    </w:p>
    <w:p>
      <w:pPr>
        <w:numPr>
          <w:ilvl w:val="0"/>
          <w:numId w:val="1000"/>
        </w:numPr>
      </w:pPr>
      <w:r>
        <w:t xml:space="preserve">Class naming conventions apply here, although you should add the</w:t>
      </w:r>
      <w:r>
        <w:br/>
      </w:r>
      <w:r>
        <w:t xml:space="preserve">suffix "Error" to your exception classes if the exception is an</w:t>
      </w:r>
      <w:r>
        <w:br/>
      </w:r>
      <w:r>
        <w:t xml:space="preserve">error. Non-error exceptions that are used for non-local flow control</w:t>
      </w:r>
      <w:r>
        <w:br/>
      </w:r>
      <w:r>
        <w:t xml:space="preserve">or other forms of signaling need no special suffix.</w:t>
      </w:r>
    </w:p>
    <w:p>
      <w:pPr>
        <w:numPr>
          <w:ilvl w:val="0"/>
          <w:numId w:val="1014"/>
        </w:numPr>
      </w:pPr>
      <w:r>
        <w:t xml:space="preserve">Use exception chaining appropriately.</w:t>
      </w:r>
      <w:r>
        <w:t xml:space="preserve"> </w:t>
      </w:r>
      <w:r>
        <w:rPr>
          <w:rStyle w:val="VerbatimChar"/>
        </w:rPr>
        <w:t xml:space="preserve">raise X from Y</w:t>
      </w:r>
      <w:r>
        <w:br/>
      </w:r>
      <w:r>
        <w:t xml:space="preserve">should be used to indicate explicit replacement without losing the</w:t>
      </w:r>
      <w:r>
        <w:br/>
      </w:r>
      <w:r>
        <w:t xml:space="preserve">original traceback.</w:t>
      </w:r>
    </w:p>
    <w:p>
      <w:pPr>
        <w:numPr>
          <w:ilvl w:val="0"/>
          <w:numId w:val="1000"/>
        </w:numPr>
      </w:pPr>
      <w:r>
        <w:t xml:space="preserve">When deliberately replacing an inner exception (using</w:t>
      </w:r>
      <w:r>
        <w:t xml:space="preserve"> </w:t>
      </w:r>
      <w:r>
        <w:rPr>
          <w:rStyle w:val="VerbatimChar"/>
        </w:rPr>
        <w:t xml:space="preserve">raise X from</w:t>
      </w:r>
      <w:r>
        <w:br/>
      </w:r>
      <w:r>
        <w:rPr>
          <w:rStyle w:val="VerbatimChar"/>
        </w:rPr>
        <w:t xml:space="preserve">None</w:t>
      </w:r>
      <w:r>
        <w:t xml:space="preserve">), ensure that relevant details are transferred to the new</w:t>
      </w:r>
      <w:r>
        <w:br/>
      </w:r>
      <w:r>
        <w:t xml:space="preserve">exception (such as preserving the attribute name when converting</w:t>
      </w:r>
      <w:r>
        <w:br/>
      </w:r>
      <w:r>
        <w:t xml:space="preserve">KeyError to AttributeError, or embedding the text of the original</w:t>
      </w:r>
      <w:r>
        <w:br/>
      </w:r>
      <w:r>
        <w:t xml:space="preserve">exception in the new exception message).</w:t>
      </w:r>
    </w:p>
    <w:p>
      <w:pPr>
        <w:numPr>
          <w:ilvl w:val="0"/>
          <w:numId w:val="1014"/>
        </w:numPr>
      </w:pPr>
      <w:r>
        <w:t xml:space="preserve">When catching exceptions, mention specific exceptions whenever</w:t>
      </w:r>
      <w:r>
        <w:br/>
      </w:r>
      <w:r>
        <w:t xml:space="preserve">possible instead of using a bare</w:t>
      </w:r>
      <w:r>
        <w:t xml:space="preserve"> </w:t>
      </w:r>
      <w:r>
        <w:rPr>
          <w:rStyle w:val="VerbatimChar"/>
        </w:rPr>
        <w:t xml:space="preserve">except:</w:t>
      </w:r>
      <w:r>
        <w:t xml:space="preserve"> </w:t>
      </w:r>
      <w:r>
        <w:t xml:space="preserve">clause: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try:</w:t>
      </w:r>
      <w:r>
        <w:br/>
      </w:r>
      <w:r>
        <w:t xml:space="preserve"> </w:t>
      </w:r>
      <w:r>
        <w:t xml:space="preserve">import platform_specific_module</w:t>
      </w:r>
      <w:r>
        <w:br/>
      </w:r>
      <w:r>
        <w:t xml:space="preserve"> </w:t>
      </w:r>
      <w:r>
        <w:t xml:space="preserve">except ImportError:</w:t>
      </w:r>
      <w:r>
        <w:br/>
      </w:r>
      <w:r>
        <w:t xml:space="preserve"> </w:t>
      </w:r>
      <w:r>
        <w:t xml:space="preserve">platform_specific_module = None</w:t>
      </w:r>
    </w:p>
    <w:p>
      <w:pPr>
        <w:numPr>
          <w:ilvl w:val="0"/>
          <w:numId w:val="1000"/>
        </w:numPr>
      </w:pPr>
      <w:r>
        <w:t xml:space="preserve">A bare</w:t>
      </w:r>
      <w:r>
        <w:t xml:space="preserve"> </w:t>
      </w:r>
      <w:r>
        <w:rPr>
          <w:rStyle w:val="VerbatimChar"/>
        </w:rPr>
        <w:t xml:space="preserve">except:</w:t>
      </w:r>
      <w:r>
        <w:t xml:space="preserve"> </w:t>
      </w:r>
      <w:r>
        <w:t xml:space="preserve">clause will catch SystemExit and</w:t>
      </w:r>
      <w:r>
        <w:br/>
      </w:r>
      <w:r>
        <w:t xml:space="preserve">KeyboardInterrupt exceptions, making it harder to interrupt a</w:t>
      </w:r>
      <w:r>
        <w:br/>
      </w:r>
      <w:r>
        <w:t xml:space="preserve">program with Control-C, and can disguise other problems. If you</w:t>
      </w:r>
      <w:r>
        <w:br/>
      </w:r>
      <w:r>
        <w:t xml:space="preserve">want to catch all exceptions that signal program errors, use</w:t>
      </w:r>
      <w:r>
        <w:br/>
      </w:r>
      <w:r>
        <w:rPr>
          <w:rStyle w:val="VerbatimChar"/>
        </w:rPr>
        <w:t xml:space="preserve">except Exception:</w:t>
      </w:r>
      <w:r>
        <w:t xml:space="preserve"> </w:t>
      </w:r>
      <w:r>
        <w:t xml:space="preserve">(bare except is equivalent to</w:t>
      </w:r>
      <w:r>
        <w:t xml:space="preserve"> </w:t>
      </w:r>
      <w:r>
        <w:rPr>
          <w:rStyle w:val="VerbatimChar"/>
        </w:rPr>
        <w:t xml:space="preserve">except</w:t>
      </w:r>
      <w:r>
        <w:br/>
      </w:r>
      <w:r>
        <w:rPr>
          <w:rStyle w:val="VerbatimChar"/>
        </w:rPr>
        <w:t xml:space="preserve">BaseException: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A good rule of thumb is to limit use of bare 'except' clauses to two</w:t>
      </w:r>
      <w:r>
        <w:br/>
      </w:r>
      <w:r>
        <w:t xml:space="preserve">cases:</w:t>
      </w:r>
    </w:p>
    <w:p>
      <w:pPr>
        <w:numPr>
          <w:ilvl w:val="1"/>
          <w:numId w:val="1015"/>
        </w:numPr>
      </w:pPr>
      <w:r>
        <w:t xml:space="preserve">If the exception handler will be printing out or logging the</w:t>
      </w:r>
      <w:r>
        <w:br/>
      </w:r>
      <w:r>
        <w:t xml:space="preserve">traceback; at least the user will be aware that an error has</w:t>
      </w:r>
      <w:r>
        <w:br/>
      </w:r>
      <w:r>
        <w:t xml:space="preserve">occurred.</w:t>
      </w:r>
    </w:p>
    <w:p>
      <w:pPr>
        <w:numPr>
          <w:ilvl w:val="1"/>
          <w:numId w:val="1015"/>
        </w:numPr>
      </w:pPr>
      <w:r>
        <w:t xml:space="preserve">If the code needs to do some cleanup work, but then lets the</w:t>
      </w:r>
      <w:r>
        <w:br/>
      </w:r>
      <w:r>
        <w:t xml:space="preserve">exception propagate upwards with</w:t>
      </w:r>
      <w:r>
        <w:t xml:space="preserve"> </w:t>
      </w:r>
      <w:r>
        <w:rPr>
          <w:rStyle w:val="VerbatimChar"/>
        </w:rPr>
        <w:t xml:space="preserve">raise</w:t>
      </w:r>
      <w:r>
        <w:t xml:space="preserve">.</w:t>
      </w:r>
      <w:r>
        <w:t xml:space="preserve"> </w:t>
      </w:r>
      <w:r>
        <w:rPr>
          <w:rStyle w:val="VerbatimChar"/>
        </w:rPr>
        <w:t xml:space="preserve">try...finally</w:t>
      </w:r>
      <w:r>
        <w:br/>
      </w:r>
      <w:r>
        <w:t xml:space="preserve">can be a better way to handle this case.</w:t>
      </w:r>
    </w:p>
    <w:p>
      <w:pPr>
        <w:numPr>
          <w:ilvl w:val="0"/>
          <w:numId w:val="1014"/>
        </w:numPr>
      </w:pPr>
      <w:r>
        <w:t xml:space="preserve">When catching operating system errors, prefer the explicit exception</w:t>
      </w:r>
      <w:r>
        <w:br/>
      </w:r>
      <w:r>
        <w:t xml:space="preserve">hierarchy introduced in Python 3.3 over introspection of</w:t>
      </w:r>
      <w:r>
        <w:t xml:space="preserve"> </w:t>
      </w:r>
      <w:r>
        <w:rPr>
          <w:rStyle w:val="VerbatimChar"/>
        </w:rPr>
        <w:t xml:space="preserve">errno</w:t>
      </w:r>
      <w:r>
        <w:br/>
      </w:r>
      <w:r>
        <w:t xml:space="preserve">values.</w:t>
      </w:r>
    </w:p>
    <w:p>
      <w:pPr>
        <w:numPr>
          <w:ilvl w:val="0"/>
          <w:numId w:val="1014"/>
        </w:numPr>
      </w:pPr>
      <w:r>
        <w:t xml:space="preserve">Additionally, for all try/except clauses, limit the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clause</w:t>
      </w:r>
      <w:r>
        <w:br/>
      </w:r>
      <w:r>
        <w:t xml:space="preserve">to the absolute minimum amount of code necessary. Again, this</w:t>
      </w:r>
      <w:r>
        <w:br/>
      </w:r>
      <w:r>
        <w:t xml:space="preserve">avoids masking bugs: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97" w:name="correct-19"/>
      <w:r>
        <w:t xml:space="preserve">Correct:</w:t>
      </w:r>
      <w:bookmarkEnd w:id="97"/>
    </w:p>
    <w:p>
      <w:pPr>
        <w:numPr>
          <w:ilvl w:val="0"/>
          <w:numId w:val="1000"/>
        </w:numPr>
      </w:pPr>
      <w:r>
        <w:t xml:space="preserve"> </w:t>
      </w:r>
      <w:r>
        <w:t xml:space="preserve">try:</w:t>
      </w:r>
      <w:r>
        <w:br/>
      </w:r>
      <w:r>
        <w:t xml:space="preserve"> </w:t>
      </w:r>
      <w:r>
        <w:t xml:space="preserve">value = collection[key]</w:t>
      </w:r>
      <w:r>
        <w:br/>
      </w:r>
      <w:r>
        <w:t xml:space="preserve"> </w:t>
      </w:r>
      <w:r>
        <w:t xml:space="preserve">except KeyError:</w:t>
      </w:r>
      <w:r>
        <w:br/>
      </w:r>
      <w:r>
        <w:t xml:space="preserve"> </w:t>
      </w:r>
      <w:r>
        <w:t xml:space="preserve">return key_not_found(key)</w:t>
      </w:r>
      <w:r>
        <w:br/>
      </w:r>
      <w:r>
        <w:t xml:space="preserve"> </w:t>
      </w:r>
      <w:r>
        <w:t xml:space="preserve">else:</w:t>
      </w:r>
      <w:r>
        <w:br/>
      </w:r>
      <w:r>
        <w:t xml:space="preserve"> </w:t>
      </w:r>
      <w:r>
        <w:t xml:space="preserve">return handle_value(value)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98" w:name="wrong-20"/>
      <w:r>
        <w:t xml:space="preserve">Wrong:</w:t>
      </w:r>
      <w:bookmarkEnd w:id="98"/>
    </w:p>
    <w:p>
      <w:pPr>
        <w:numPr>
          <w:ilvl w:val="0"/>
          <w:numId w:val="1000"/>
        </w:numPr>
      </w:pPr>
      <w:r>
        <w:t xml:space="preserve"> </w:t>
      </w:r>
      <w:r>
        <w:t xml:space="preserve">try:</w:t>
      </w:r>
      <w:r>
        <w:br/>
      </w:r>
      <w:r>
        <w:t xml:space="preserve"> </w:t>
      </w:r>
      <w:r>
        <w:t xml:space="preserve"># Too broad!</w:t>
      </w:r>
      <w:r>
        <w:br/>
      </w:r>
      <w:r>
        <w:t xml:space="preserve"> </w:t>
      </w:r>
      <w:r>
        <w:t xml:space="preserve">return handle_value(collection[key])</w:t>
      </w:r>
      <w:r>
        <w:br/>
      </w:r>
      <w:r>
        <w:t xml:space="preserve"> </w:t>
      </w:r>
      <w:r>
        <w:t xml:space="preserve">except KeyError:</w:t>
      </w:r>
      <w:r>
        <w:br/>
      </w:r>
      <w:r>
        <w:t xml:space="preserve"> </w:t>
      </w:r>
      <w:r>
        <w:t xml:space="preserve"># Will also catch KeyError raised by handle_value()</w:t>
      </w:r>
      <w:r>
        <w:br/>
      </w:r>
      <w:r>
        <w:t xml:space="preserve"> </w:t>
      </w:r>
      <w:r>
        <w:t xml:space="preserve">return key_not_found(key)</w:t>
      </w:r>
    </w:p>
    <w:p>
      <w:pPr>
        <w:numPr>
          <w:ilvl w:val="0"/>
          <w:numId w:val="1014"/>
        </w:numPr>
      </w:pPr>
      <w:r>
        <w:t xml:space="preserve">When a resource is local to a particular section of code, use a</w:t>
      </w:r>
      <w:r>
        <w:br/>
      </w:r>
      <w:r>
        <w:rPr>
          <w:rStyle w:val="VerbatimChar"/>
        </w:rPr>
        <w:t xml:space="preserve">with</w:t>
      </w:r>
      <w:r>
        <w:t xml:space="preserve"> </w:t>
      </w:r>
      <w:r>
        <w:t xml:space="preserve">statement to ensure it is cleaned up promptly and reliably</w:t>
      </w:r>
      <w:r>
        <w:br/>
      </w:r>
      <w:r>
        <w:t xml:space="preserve">after use. A try/finally statement is also acceptable.</w:t>
      </w:r>
    </w:p>
    <w:p>
      <w:pPr>
        <w:numPr>
          <w:ilvl w:val="0"/>
          <w:numId w:val="1014"/>
        </w:numPr>
      </w:pPr>
      <w:r>
        <w:t xml:space="preserve">Context managers should be invoked through separate functions or methods</w:t>
      </w:r>
      <w:r>
        <w:br/>
      </w:r>
      <w:r>
        <w:t xml:space="preserve">whenever they do something other than acquire and release resources: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99" w:name="correct-20"/>
      <w:r>
        <w:t xml:space="preserve">Correct:</w:t>
      </w:r>
      <w:bookmarkEnd w:id="99"/>
    </w:p>
    <w:p>
      <w:pPr>
        <w:numPr>
          <w:ilvl w:val="0"/>
          <w:numId w:val="1000"/>
        </w:numPr>
      </w:pPr>
      <w:r>
        <w:t xml:space="preserve"> </w:t>
      </w:r>
      <w:r>
        <w:t xml:space="preserve">with conn.begin_transaction():</w:t>
      </w:r>
      <w:r>
        <w:br/>
      </w:r>
      <w:r>
        <w:t xml:space="preserve"> </w:t>
      </w:r>
      <w:r>
        <w:t xml:space="preserve">do_stuff_in_transaction(conn)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100" w:name="wrong-21"/>
      <w:r>
        <w:t xml:space="preserve">Wrong:</w:t>
      </w:r>
      <w:bookmarkEnd w:id="100"/>
    </w:p>
    <w:p>
      <w:pPr>
        <w:numPr>
          <w:ilvl w:val="0"/>
          <w:numId w:val="1000"/>
        </w:numPr>
      </w:pPr>
      <w:r>
        <w:t xml:space="preserve"> </w:t>
      </w:r>
      <w:r>
        <w:t xml:space="preserve">with conn:</w:t>
      </w:r>
      <w:r>
        <w:br/>
      </w:r>
      <w:r>
        <w:t xml:space="preserve"> </w:t>
      </w:r>
      <w:r>
        <w:t xml:space="preserve">do_stuff_in_transaction(conn)</w:t>
      </w:r>
    </w:p>
    <w:p>
      <w:pPr>
        <w:numPr>
          <w:ilvl w:val="0"/>
          <w:numId w:val="1000"/>
        </w:numPr>
      </w:pPr>
      <w:r>
        <w:t xml:space="preserve">The latter example doesn't provide any information to indicate that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__enter__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__exit__</w:t>
      </w:r>
      <w:r>
        <w:t xml:space="preserve"> </w:t>
      </w:r>
      <w:r>
        <w:t xml:space="preserve">methods are doing something other</w:t>
      </w:r>
      <w:r>
        <w:br/>
      </w:r>
      <w:r>
        <w:t xml:space="preserve">than closing the connection after a transaction. Being explicit is</w:t>
      </w:r>
      <w:r>
        <w:br/>
      </w:r>
      <w:r>
        <w:t xml:space="preserve">important in this case.</w:t>
      </w:r>
    </w:p>
    <w:p>
      <w:pPr>
        <w:numPr>
          <w:ilvl w:val="0"/>
          <w:numId w:val="1014"/>
        </w:numPr>
      </w:pPr>
      <w:r>
        <w:t xml:space="preserve">Be consistent in return statements. Either all return statements in</w:t>
      </w:r>
      <w:r>
        <w:br/>
      </w:r>
      <w:r>
        <w:t xml:space="preserve">a function should return an expression, or none of them should. If</w:t>
      </w:r>
      <w:r>
        <w:br/>
      </w:r>
      <w:r>
        <w:t xml:space="preserve">any return statement returns an expression, any return statements</w:t>
      </w:r>
      <w:r>
        <w:br/>
      </w:r>
      <w:r>
        <w:t xml:space="preserve">where no value is returned should explicitly state this as</w:t>
      </w:r>
      <w:r>
        <w:t xml:space="preserve"> </w:t>
      </w:r>
      <w:r>
        <w:rPr>
          <w:rStyle w:val="VerbatimChar"/>
        </w:rPr>
        <w:t xml:space="preserve">return</w:t>
      </w:r>
      <w:r>
        <w:br/>
      </w:r>
      <w:r>
        <w:rPr>
          <w:rStyle w:val="VerbatimChar"/>
        </w:rPr>
        <w:t xml:space="preserve">None</w:t>
      </w:r>
      <w:r>
        <w:t xml:space="preserve">, and an explicit return statement should be present at the</w:t>
      </w:r>
      <w:r>
        <w:br/>
      </w:r>
      <w:r>
        <w:t xml:space="preserve">end of the function (if reachable):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101" w:name="correct-21"/>
      <w:r>
        <w:t xml:space="preserve">Correct:</w:t>
      </w:r>
      <w:bookmarkEnd w:id="101"/>
    </w:p>
    <w:p>
      <w:pPr>
        <w:numPr>
          <w:ilvl w:val="0"/>
          <w:numId w:val="1000"/>
        </w:numPr>
      </w:pPr>
      <w:r>
        <w:t xml:space="preserve"> </w:t>
      </w:r>
      <w:r>
        <w:t xml:space="preserve">def foo(x):</w:t>
      </w:r>
      <w:r>
        <w:br/>
      </w:r>
      <w:r>
        <w:t xml:space="preserve"> </w:t>
      </w:r>
      <w:r>
        <w:t xml:space="preserve">if x &gt;= 0:</w:t>
      </w:r>
      <w:r>
        <w:br/>
      </w:r>
      <w:r>
        <w:t xml:space="preserve"> </w:t>
      </w:r>
      <w:r>
        <w:t xml:space="preserve">return math.sqrt(x)</w:t>
      </w:r>
      <w:r>
        <w:br/>
      </w:r>
      <w:r>
        <w:t xml:space="preserve"> </w:t>
      </w:r>
      <w:r>
        <w:t xml:space="preserve">else:</w:t>
      </w:r>
      <w:r>
        <w:br/>
      </w:r>
      <w:r>
        <w:t xml:space="preserve"> </w:t>
      </w:r>
      <w:r>
        <w:t xml:space="preserve">return None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def bar(x):</w:t>
      </w:r>
      <w:r>
        <w:br/>
      </w:r>
      <w:r>
        <w:t xml:space="preserve"> </w:t>
      </w:r>
      <w:r>
        <w:t xml:space="preserve">if x &lt; 0:</w:t>
      </w:r>
      <w:r>
        <w:br/>
      </w:r>
      <w:r>
        <w:t xml:space="preserve"> </w:t>
      </w:r>
      <w:r>
        <w:t xml:space="preserve">return None</w:t>
      </w:r>
      <w:r>
        <w:br/>
      </w:r>
      <w:r>
        <w:t xml:space="preserve"> </w:t>
      </w:r>
      <w:r>
        <w:t xml:space="preserve">return math.sqrt(x)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102" w:name="wrong-22"/>
      <w:r>
        <w:t xml:space="preserve">Wrong:</w:t>
      </w:r>
      <w:bookmarkEnd w:id="102"/>
    </w:p>
    <w:p>
      <w:pPr>
        <w:numPr>
          <w:ilvl w:val="0"/>
          <w:numId w:val="1000"/>
        </w:numPr>
      </w:pPr>
      <w:r>
        <w:t xml:space="preserve"> </w:t>
      </w:r>
      <w:r>
        <w:t xml:space="preserve">def foo(x):</w:t>
      </w:r>
      <w:r>
        <w:br/>
      </w:r>
      <w:r>
        <w:t xml:space="preserve"> </w:t>
      </w:r>
      <w:r>
        <w:t xml:space="preserve">if x &gt;= 0:</w:t>
      </w:r>
      <w:r>
        <w:br/>
      </w:r>
      <w:r>
        <w:t xml:space="preserve"> </w:t>
      </w:r>
      <w:r>
        <w:t xml:space="preserve">return math.sqrt(x)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def bar(x):</w:t>
      </w:r>
      <w:r>
        <w:br/>
      </w:r>
      <w:r>
        <w:t xml:space="preserve"> </w:t>
      </w:r>
      <w:r>
        <w:t xml:space="preserve">if x &lt; 0:</w:t>
      </w:r>
      <w:r>
        <w:br/>
      </w:r>
      <w:r>
        <w:t xml:space="preserve"> </w:t>
      </w:r>
      <w:r>
        <w:t xml:space="preserve">return</w:t>
      </w:r>
      <w:r>
        <w:br/>
      </w:r>
      <w:r>
        <w:t xml:space="preserve"> </w:t>
      </w:r>
      <w:r>
        <w:t xml:space="preserve">return math.sqrt(x)</w:t>
      </w:r>
    </w:p>
    <w:p>
      <w:pPr>
        <w:numPr>
          <w:ilvl w:val="0"/>
          <w:numId w:val="101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''.startswith()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''.endswith()</w:t>
      </w:r>
      <w:r>
        <w:t xml:space="preserve"> </w:t>
      </w:r>
      <w:r>
        <w:t xml:space="preserve">instead of string</w:t>
      </w:r>
      <w:r>
        <w:br/>
      </w:r>
      <w:r>
        <w:t xml:space="preserve">slicing to check for prefixes or suffixes.</w:t>
      </w:r>
    </w:p>
    <w:p>
      <w:pPr>
        <w:numPr>
          <w:ilvl w:val="0"/>
          <w:numId w:val="1000"/>
        </w:numPr>
      </w:pPr>
      <w:r>
        <w:t xml:space="preserve">startswith() and endswith() are cleaner and less error prone: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103" w:name="correct-22"/>
      <w:r>
        <w:t xml:space="preserve">Correct:</w:t>
      </w:r>
      <w:bookmarkEnd w:id="103"/>
    </w:p>
    <w:p>
      <w:pPr>
        <w:numPr>
          <w:ilvl w:val="0"/>
          <w:numId w:val="1000"/>
        </w:numPr>
      </w:pPr>
      <w:r>
        <w:t xml:space="preserve"> </w:t>
      </w:r>
      <w:r>
        <w:t xml:space="preserve">if foo.startswith('bar'):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104" w:name="wrong-23"/>
      <w:r>
        <w:t xml:space="preserve">Wrong:</w:t>
      </w:r>
      <w:bookmarkEnd w:id="104"/>
    </w:p>
    <w:p>
      <w:pPr>
        <w:numPr>
          <w:ilvl w:val="0"/>
          <w:numId w:val="1000"/>
        </w:numPr>
      </w:pPr>
      <w:r>
        <w:t xml:space="preserve"> </w:t>
      </w:r>
      <w:r>
        <w:t xml:space="preserve">if foo[:3] == 'bar':</w:t>
      </w:r>
    </w:p>
    <w:p>
      <w:pPr>
        <w:numPr>
          <w:ilvl w:val="0"/>
          <w:numId w:val="1014"/>
        </w:numPr>
      </w:pPr>
      <w:r>
        <w:t xml:space="preserve">Object type comparisons should always use isinstance() instead of</w:t>
      </w:r>
      <w:r>
        <w:br/>
      </w:r>
      <w:r>
        <w:t xml:space="preserve">comparing types directly: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105" w:name="correct-23"/>
      <w:r>
        <w:t xml:space="preserve">Correct:</w:t>
      </w:r>
      <w:bookmarkEnd w:id="105"/>
    </w:p>
    <w:p>
      <w:pPr>
        <w:numPr>
          <w:ilvl w:val="0"/>
          <w:numId w:val="1000"/>
        </w:numPr>
      </w:pPr>
      <w:r>
        <w:t xml:space="preserve"> </w:t>
      </w:r>
      <w:r>
        <w:t xml:space="preserve">if isinstance(obj, int):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106" w:name="wrong-24"/>
      <w:r>
        <w:t xml:space="preserve">Wrong:</w:t>
      </w:r>
      <w:bookmarkEnd w:id="106"/>
    </w:p>
    <w:p>
      <w:pPr>
        <w:numPr>
          <w:ilvl w:val="0"/>
          <w:numId w:val="1000"/>
        </w:numPr>
      </w:pPr>
      <w:r>
        <w:t xml:space="preserve"> </w:t>
      </w:r>
      <w:r>
        <w:t xml:space="preserve">if type(obj) is type(1):</w:t>
      </w:r>
    </w:p>
    <w:p>
      <w:pPr>
        <w:numPr>
          <w:ilvl w:val="0"/>
          <w:numId w:val="1014"/>
        </w:numPr>
      </w:pPr>
      <w:r>
        <w:t xml:space="preserve">For sequences, (strings, lists, tuples), use the fact that empty</w:t>
      </w:r>
      <w:r>
        <w:br/>
      </w:r>
      <w:r>
        <w:t xml:space="preserve">sequences are false: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107" w:name="correct-24"/>
      <w:r>
        <w:t xml:space="preserve">Correct:</w:t>
      </w:r>
      <w:bookmarkEnd w:id="107"/>
    </w:p>
    <w:p>
      <w:pPr>
        <w:numPr>
          <w:ilvl w:val="0"/>
          <w:numId w:val="1000"/>
        </w:numPr>
      </w:pPr>
      <w:r>
        <w:t xml:space="preserve"> </w:t>
      </w:r>
      <w:r>
        <w:t xml:space="preserve">if not seq:</w:t>
      </w:r>
      <w:r>
        <w:br/>
      </w:r>
      <w:r>
        <w:t xml:space="preserve"> </w:t>
      </w:r>
      <w:r>
        <w:t xml:space="preserve">if seq: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108" w:name="wrong-25"/>
      <w:r>
        <w:t xml:space="preserve">Wrong:</w:t>
      </w:r>
      <w:bookmarkEnd w:id="108"/>
    </w:p>
    <w:p>
      <w:pPr>
        <w:numPr>
          <w:ilvl w:val="0"/>
          <w:numId w:val="1000"/>
        </w:numPr>
      </w:pPr>
      <w:r>
        <w:t xml:space="preserve"> </w:t>
      </w:r>
      <w:r>
        <w:t xml:space="preserve">if len(seq):</w:t>
      </w:r>
      <w:r>
        <w:br/>
      </w:r>
      <w:r>
        <w:t xml:space="preserve"> </w:t>
      </w:r>
      <w:r>
        <w:t xml:space="preserve">if not len(seq):</w:t>
      </w:r>
    </w:p>
    <w:p>
      <w:pPr>
        <w:numPr>
          <w:ilvl w:val="0"/>
          <w:numId w:val="1014"/>
        </w:numPr>
      </w:pPr>
      <w:r>
        <w:t xml:space="preserve">Don't write string literals that rely on significant trailing</w:t>
      </w:r>
      <w:r>
        <w:br/>
      </w:r>
      <w:r>
        <w:t xml:space="preserve">whitespace. Such trailing whitespace is visually indistinguishable</w:t>
      </w:r>
      <w:r>
        <w:br/>
      </w:r>
      <w:r>
        <w:t xml:space="preserve">and some editors (or more recently, reindent.py) will trim them.</w:t>
      </w:r>
    </w:p>
    <w:p>
      <w:pPr>
        <w:numPr>
          <w:ilvl w:val="0"/>
          <w:numId w:val="1014"/>
        </w:numPr>
      </w:pPr>
      <w:r>
        <w:t xml:space="preserve">Don't compare boolean values to True or False using</w:t>
      </w:r>
      <w:r>
        <w:t xml:space="preserve"> </w:t>
      </w:r>
      <w:r>
        <w:rPr>
          <w:rStyle w:val="VerbatimChar"/>
        </w:rPr>
        <w:t xml:space="preserve">==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109" w:name="correct-25"/>
      <w:r>
        <w:t xml:space="preserve">Correct:</w:t>
      </w:r>
      <w:bookmarkEnd w:id="109"/>
    </w:p>
    <w:p>
      <w:pPr>
        <w:numPr>
          <w:ilvl w:val="0"/>
          <w:numId w:val="1000"/>
        </w:numPr>
      </w:pPr>
      <w:r>
        <w:t xml:space="preserve"> </w:t>
      </w:r>
      <w:r>
        <w:t xml:space="preserve">if greeting: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110" w:name="wrong-26"/>
      <w:r>
        <w:t xml:space="preserve">Wrong:</w:t>
      </w:r>
      <w:bookmarkEnd w:id="110"/>
    </w:p>
    <w:p>
      <w:pPr>
        <w:numPr>
          <w:ilvl w:val="0"/>
          <w:numId w:val="1000"/>
        </w:numPr>
      </w:pPr>
      <w:r>
        <w:t xml:space="preserve"> </w:t>
      </w:r>
      <w:r>
        <w:t xml:space="preserve">if greeting == True:</w:t>
      </w:r>
    </w:p>
    <w:p>
      <w:pPr>
        <w:numPr>
          <w:ilvl w:val="0"/>
          <w:numId w:val="1000"/>
        </w:numPr>
      </w:pPr>
      <w:r>
        <w:t xml:space="preserve">Worse: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111" w:name="wrong-27"/>
      <w:r>
        <w:t xml:space="preserve">Wrong:</w:t>
      </w:r>
      <w:bookmarkEnd w:id="111"/>
    </w:p>
    <w:p>
      <w:pPr>
        <w:numPr>
          <w:ilvl w:val="0"/>
          <w:numId w:val="1000"/>
        </w:numPr>
      </w:pPr>
      <w:r>
        <w:t xml:space="preserve"> </w:t>
      </w:r>
      <w:r>
        <w:t xml:space="preserve">if greeting is True:</w:t>
      </w:r>
    </w:p>
    <w:p>
      <w:pPr>
        <w:numPr>
          <w:ilvl w:val="0"/>
          <w:numId w:val="1014"/>
        </w:numPr>
      </w:pPr>
      <w:r>
        <w:t xml:space="preserve">Use of the flow control statements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/</w:t>
      </w:r>
      <w:r>
        <w:rPr>
          <w:rStyle w:val="VerbatimChar"/>
        </w:rPr>
        <w:t xml:space="preserve">break</w:t>
      </w:r>
      <w:r>
        <w:t xml:space="preserve">/</w:t>
      </w:r>
      <w:r>
        <w:rPr>
          <w:rStyle w:val="VerbatimChar"/>
        </w:rPr>
        <w:t xml:space="preserve">continue</w:t>
      </w:r>
      <w:r>
        <w:br/>
      </w:r>
      <w:r>
        <w:t xml:space="preserve">within the finally suite of a</w:t>
      </w:r>
      <w:r>
        <w:t xml:space="preserve"> </w:t>
      </w:r>
      <w:r>
        <w:rPr>
          <w:rStyle w:val="VerbatimChar"/>
        </w:rPr>
        <w:t xml:space="preserve">try...finally</w:t>
      </w:r>
      <w:r>
        <w:t xml:space="preserve">, where the flow control</w:t>
      </w:r>
      <w:r>
        <w:br/>
      </w:r>
      <w:r>
        <w:t xml:space="preserve">statement would jump outside the finally suite, is discouraged. This</w:t>
      </w:r>
      <w:r>
        <w:br/>
      </w:r>
      <w:r>
        <w:t xml:space="preserve">is because such statements will implicitly cancel any active exception</w:t>
      </w:r>
      <w:r>
        <w:br/>
      </w:r>
      <w:r>
        <w:t xml:space="preserve">that is propagating through the finally suite: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112" w:name="wrong-28"/>
      <w:r>
        <w:t xml:space="preserve">Wrong:</w:t>
      </w:r>
      <w:bookmarkEnd w:id="112"/>
    </w:p>
    <w:p>
      <w:pPr>
        <w:numPr>
          <w:ilvl w:val="0"/>
          <w:numId w:val="1000"/>
        </w:numPr>
      </w:pPr>
      <w:r>
        <w:t xml:space="preserve"> </w:t>
      </w:r>
      <w:r>
        <w:t xml:space="preserve">def foo():</w:t>
      </w:r>
      <w:r>
        <w:br/>
      </w:r>
      <w:r>
        <w:t xml:space="preserve"> </w:t>
      </w:r>
      <w:r>
        <w:t xml:space="preserve">try:</w:t>
      </w:r>
      <w:r>
        <w:br/>
      </w:r>
      <w:r>
        <w:t xml:space="preserve"> </w:t>
      </w:r>
      <w:r>
        <w:t xml:space="preserve">1 / 0</w:t>
      </w:r>
      <w:r>
        <w:br/>
      </w:r>
      <w:r>
        <w:t xml:space="preserve"> </w:t>
      </w:r>
      <w:r>
        <w:t xml:space="preserve">finally:</w:t>
      </w:r>
      <w:r>
        <w:br/>
      </w:r>
      <w:r>
        <w:t xml:space="preserve"> </w:t>
      </w:r>
      <w:r>
        <w:t xml:space="preserve">return 42</w:t>
      </w:r>
    </w:p>
    <w:bookmarkStart w:id="114" w:name="function-annotations"/>
    <w:p>
      <w:pPr>
        <w:pStyle w:val="Heading2"/>
      </w:pPr>
      <w:r>
        <w:t xml:space="preserve">Function Annotations</w:t>
      </w:r>
    </w:p>
    <w:p>
      <w:pPr>
        <w:pStyle w:val="FirstParagraph"/>
      </w:pPr>
      <w:r>
        <w:t xml:space="preserve">With the acceptance of :pep:</w:t>
      </w:r>
      <w:r>
        <w:rPr>
          <w:rStyle w:val="VerbatimChar"/>
        </w:rPr>
        <w:t xml:space="preserve">484</w:t>
      </w:r>
      <w:r>
        <w:t xml:space="preserve">, the style rules for function</w:t>
      </w:r>
      <w:r>
        <w:br/>
      </w:r>
      <w:r>
        <w:t xml:space="preserve">annotations have changed.</w:t>
      </w:r>
    </w:p>
    <w:p>
      <w:pPr>
        <w:numPr>
          <w:ilvl w:val="0"/>
          <w:numId w:val="1016"/>
        </w:numPr>
      </w:pPr>
      <w:r>
        <w:t xml:space="preserve">Function annotations should use :pep:</w:t>
      </w:r>
      <w:r>
        <w:rPr>
          <w:rStyle w:val="VerbatimChar"/>
        </w:rPr>
        <w:t xml:space="preserve">484</w:t>
      </w:r>
      <w:r>
        <w:t xml:space="preserve"> </w:t>
      </w:r>
      <w:r>
        <w:t xml:space="preserve">syntax (there are some</w:t>
      </w:r>
      <w:r>
        <w:br/>
      </w:r>
      <w:r>
        <w:t xml:space="preserve">formatting recommendations for annotations in the previous section).</w:t>
      </w:r>
    </w:p>
    <w:p>
      <w:pPr>
        <w:numPr>
          <w:ilvl w:val="0"/>
          <w:numId w:val="1016"/>
        </w:numPr>
      </w:pPr>
      <w:r>
        <w:t xml:space="preserve">The experimentation with annotation styles that was recommended</w:t>
      </w:r>
      <w:r>
        <w:br/>
      </w:r>
      <w:r>
        <w:t xml:space="preserve">previously in this PEP is no longer encouraged.</w:t>
      </w:r>
    </w:p>
    <w:p>
      <w:pPr>
        <w:numPr>
          <w:ilvl w:val="0"/>
          <w:numId w:val="1016"/>
        </w:numPr>
      </w:pPr>
      <w:r>
        <w:t xml:space="preserve">However, outside the stdlib, experiments within the rules of :pep:</w:t>
      </w:r>
      <w:r>
        <w:rPr>
          <w:rStyle w:val="VerbatimChar"/>
        </w:rPr>
        <w:t xml:space="preserve">484</w:t>
      </w:r>
      <w:r>
        <w:br/>
      </w:r>
      <w:r>
        <w:t xml:space="preserve">are now encouraged. For example, marking up a large third party</w:t>
      </w:r>
      <w:r>
        <w:br/>
      </w:r>
      <w:r>
        <w:t xml:space="preserve">library or application with :pep:</w:t>
      </w:r>
      <w:r>
        <w:rPr>
          <w:rStyle w:val="VerbatimChar"/>
        </w:rPr>
        <w:t xml:space="preserve">484</w:t>
      </w:r>
      <w:r>
        <w:t xml:space="preserve"> </w:t>
      </w:r>
      <w:r>
        <w:t xml:space="preserve">style type annotations,</w:t>
      </w:r>
      <w:r>
        <w:br/>
      </w:r>
      <w:r>
        <w:t xml:space="preserve">reviewing how easy it was to add those annotations, and observing</w:t>
      </w:r>
      <w:r>
        <w:br/>
      </w:r>
      <w:r>
        <w:t xml:space="preserve">whether their presence increases code understandability.</w:t>
      </w:r>
    </w:p>
    <w:p>
      <w:pPr>
        <w:numPr>
          <w:ilvl w:val="0"/>
          <w:numId w:val="1016"/>
        </w:numPr>
      </w:pPr>
      <w:r>
        <w:t xml:space="preserve">The Python standard library should be conservative in adopting such</w:t>
      </w:r>
      <w:r>
        <w:br/>
      </w:r>
      <w:r>
        <w:t xml:space="preserve">annotations, but their use is allowed for new code and for big</w:t>
      </w:r>
      <w:r>
        <w:br/>
      </w:r>
      <w:r>
        <w:t xml:space="preserve">refactorings.</w:t>
      </w:r>
    </w:p>
    <w:p>
      <w:pPr>
        <w:numPr>
          <w:ilvl w:val="0"/>
          <w:numId w:val="1016"/>
        </w:numPr>
      </w:pPr>
      <w:r>
        <w:t xml:space="preserve">For code that wants to make a different use of function annotations</w:t>
      </w:r>
      <w:r>
        <w:br/>
      </w:r>
      <w:r>
        <w:t xml:space="preserve">it is recommended to put a comment of the form: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113" w:name="type-ignore"/>
      <w:r>
        <w:t xml:space="preserve">type: ignore</w:t>
      </w:r>
      <w:bookmarkEnd w:id="113"/>
    </w:p>
    <w:p>
      <w:pPr>
        <w:numPr>
          <w:ilvl w:val="0"/>
          <w:numId w:val="1000"/>
        </w:numPr>
      </w:pPr>
      <w:r>
        <w:t xml:space="preserve">near the top of the file; this tells type checkers to ignore all</w:t>
      </w:r>
      <w:r>
        <w:br/>
      </w:r>
      <w:r>
        <w:t xml:space="preserve">annotations. (More fine-grained ways of disabling complaints from</w:t>
      </w:r>
      <w:r>
        <w:br/>
      </w:r>
      <w:r>
        <w:t xml:space="preserve">type checkers can be found in :pep:</w:t>
      </w:r>
      <w:r>
        <w:rPr>
          <w:rStyle w:val="VerbatimChar"/>
        </w:rPr>
        <w:t xml:space="preserve">484</w:t>
      </w:r>
      <w:r>
        <w:t xml:space="preserve">.)</w:t>
      </w:r>
    </w:p>
    <w:p>
      <w:pPr>
        <w:numPr>
          <w:ilvl w:val="0"/>
          <w:numId w:val="1016"/>
        </w:numPr>
      </w:pPr>
      <w:r>
        <w:t xml:space="preserve">Like linters, type checkers are optional, separate tools. Python</w:t>
      </w:r>
      <w:r>
        <w:br/>
      </w:r>
      <w:r>
        <w:t xml:space="preserve">interpreters by default should not issue any messages due to type</w:t>
      </w:r>
      <w:r>
        <w:br/>
      </w:r>
      <w:r>
        <w:t xml:space="preserve">checking and should not alter their behavior based on annotations.</w:t>
      </w:r>
    </w:p>
    <w:p>
      <w:pPr>
        <w:numPr>
          <w:ilvl w:val="0"/>
          <w:numId w:val="1016"/>
        </w:numPr>
      </w:pPr>
      <w:r>
        <w:t xml:space="preserve">Users who don't want to use type checkers are free to ignore them.</w:t>
      </w:r>
      <w:r>
        <w:br/>
      </w:r>
      <w:r>
        <w:t xml:space="preserve">However, it is expected that users of third party library packages</w:t>
      </w:r>
      <w:r>
        <w:br/>
      </w:r>
      <w:r>
        <w:t xml:space="preserve">may want to run type checkers over those packages. For this purpose</w:t>
      </w:r>
      <w:r>
        <w:br/>
      </w:r>
      <w:r>
        <w:t xml:space="preserve">:pep:</w:t>
      </w:r>
      <w:r>
        <w:rPr>
          <w:rStyle w:val="VerbatimChar"/>
        </w:rPr>
        <w:t xml:space="preserve">484</w:t>
      </w:r>
      <w:r>
        <w:t xml:space="preserve"> </w:t>
      </w:r>
      <w:r>
        <w:t xml:space="preserve">recommends the use of stub files: .pyi files that are read</w:t>
      </w:r>
      <w:r>
        <w:br/>
      </w:r>
      <w:r>
        <w:t xml:space="preserve">by the type checker in preference of the corresponding .py files.</w:t>
      </w:r>
      <w:r>
        <w:br/>
      </w:r>
      <w:r>
        <w:t xml:space="preserve">Stub files can be distributed with a library, or separately (with</w:t>
      </w:r>
      <w:r>
        <w:br/>
      </w:r>
      <w:r>
        <w:t xml:space="preserve">the library author's permission) through the typeshed repo [5]_.</w:t>
      </w:r>
    </w:p>
    <w:bookmarkEnd w:id="114"/>
    <w:bookmarkStart w:id="117" w:name="variable-annotations"/>
    <w:p>
      <w:pPr>
        <w:pStyle w:val="Heading2"/>
      </w:pPr>
      <w:r>
        <w:t xml:space="preserve">Variable Annotations</w:t>
      </w:r>
    </w:p>
    <w:p>
      <w:pPr>
        <w:pStyle w:val="FirstParagraph"/>
      </w:pPr>
      <w:r>
        <w:t xml:space="preserve">:pep:</w:t>
      </w:r>
      <w:r>
        <w:rPr>
          <w:rStyle w:val="VerbatimChar"/>
        </w:rPr>
        <w:t xml:space="preserve">526</w:t>
      </w:r>
      <w:r>
        <w:t xml:space="preserve"> </w:t>
      </w:r>
      <w:r>
        <w:t xml:space="preserve">introduced variable annotations. The style recommendations for them are</w:t>
      </w:r>
      <w:r>
        <w:br/>
      </w:r>
      <w:r>
        <w:t xml:space="preserve">similar to those on function annotations described above:</w:t>
      </w:r>
    </w:p>
    <w:p>
      <w:pPr>
        <w:numPr>
          <w:ilvl w:val="0"/>
          <w:numId w:val="1017"/>
        </w:numPr>
      </w:pPr>
      <w:r>
        <w:t xml:space="preserve">Annotations for module level variables, class and instance variables,</w:t>
      </w:r>
      <w:r>
        <w:br/>
      </w:r>
      <w:r>
        <w:t xml:space="preserve">and local variables should have a single space after the colon.</w:t>
      </w:r>
    </w:p>
    <w:p>
      <w:pPr>
        <w:numPr>
          <w:ilvl w:val="0"/>
          <w:numId w:val="1017"/>
        </w:numPr>
      </w:pPr>
      <w:r>
        <w:t xml:space="preserve">There should be no space before the colon.</w:t>
      </w:r>
    </w:p>
    <w:p>
      <w:pPr>
        <w:numPr>
          <w:ilvl w:val="0"/>
          <w:numId w:val="1017"/>
        </w:numPr>
      </w:pPr>
      <w:r>
        <w:t xml:space="preserve">If an assignment has a right hand side, then the equality sign should have</w:t>
      </w:r>
      <w:r>
        <w:br/>
      </w:r>
      <w:r>
        <w:t xml:space="preserve">exactly one space on both sides: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good</w:t>
      </w:r>
    </w:p>
    <w:p>
      <w:pPr>
        <w:numPr>
          <w:ilvl w:val="0"/>
          <w:numId w:val="1000"/>
        </w:numPr>
        <w:pStyle w:val="Heading1"/>
      </w:pPr>
      <w:bookmarkStart w:id="115" w:name="correct-26"/>
      <w:r>
        <w:t xml:space="preserve">Correct:</w:t>
      </w:r>
      <w:bookmarkEnd w:id="115"/>
    </w:p>
    <w:p>
      <w:pPr>
        <w:numPr>
          <w:ilvl w:val="0"/>
          <w:numId w:val="1000"/>
        </w:numPr>
      </w:pPr>
      <w:r>
        <w:t xml:space="preserve"> </w:t>
      </w:r>
      <w:r>
        <w:t xml:space="preserve">code: int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class Point:</w:t>
      </w:r>
      <w:r>
        <w:br/>
      </w:r>
      <w:r>
        <w:t xml:space="preserve"> </w:t>
      </w:r>
      <w:r>
        <w:t xml:space="preserve">coords: Tuple[int, int]</w:t>
      </w:r>
      <w:r>
        <w:br/>
      </w:r>
      <w:r>
        <w:t xml:space="preserve"> </w:t>
      </w:r>
      <w:r>
        <w:t xml:space="preserve">label: str = '</w:t>
      </w:r>
      <w:r>
        <w:t xml:space="preserve">'</w:t>
      </w:r>
    </w:p>
    <w:p>
      <w:pPr>
        <w:numPr>
          <w:ilvl w:val="0"/>
          <w:numId w:val="1000"/>
        </w:numPr>
      </w:pPr>
      <w:r>
        <w:t xml:space="preserve">.. code-block::</w:t>
      </w:r>
      <w:r>
        <w:br/>
      </w:r>
      <w:r>
        <w:t xml:space="preserve"> </w:t>
      </w:r>
      <w:r>
        <w:t xml:space="preserve">:class: bad</w:t>
      </w:r>
    </w:p>
    <w:p>
      <w:pPr>
        <w:numPr>
          <w:ilvl w:val="0"/>
          <w:numId w:val="1000"/>
        </w:numPr>
        <w:pStyle w:val="Heading1"/>
      </w:pPr>
      <w:bookmarkStart w:id="116" w:name="wrong-29"/>
      <w:r>
        <w:t xml:space="preserve">Wrong:</w:t>
      </w:r>
      <w:bookmarkEnd w:id="116"/>
    </w:p>
    <w:p>
      <w:pPr>
        <w:numPr>
          <w:ilvl w:val="0"/>
          <w:numId w:val="1000"/>
        </w:numPr>
      </w:pPr>
      <w:r>
        <w:t xml:space="preserve"> </w:t>
      </w:r>
      <w:r>
        <w:t xml:space="preserve">code:int # No space after colon</w:t>
      </w:r>
      <w:r>
        <w:br/>
      </w:r>
      <w:r>
        <w:t xml:space="preserve"> </w:t>
      </w:r>
      <w:r>
        <w:t xml:space="preserve">code : int # Space before colon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class Test:</w:t>
      </w:r>
      <w:r>
        <w:br/>
      </w:r>
      <w:r>
        <w:t xml:space="preserve"> </w:t>
      </w:r>
      <w:r>
        <w:t xml:space="preserve">result: int=0 # No spaces around equality sign</w:t>
      </w:r>
    </w:p>
    <w:p>
      <w:pPr>
        <w:numPr>
          <w:ilvl w:val="0"/>
          <w:numId w:val="1017"/>
        </w:numPr>
      </w:pPr>
      <w:r>
        <w:t xml:space="preserve">Although the :pep:</w:t>
      </w:r>
      <w:r>
        <w:rPr>
          <w:rStyle w:val="VerbatimChar"/>
        </w:rPr>
        <w:t xml:space="preserve">526</w:t>
      </w:r>
      <w:r>
        <w:t xml:space="preserve"> </w:t>
      </w:r>
      <w:r>
        <w:t xml:space="preserve">is accepted for Python 3.6, the variable annotation</w:t>
      </w:r>
      <w:r>
        <w:br/>
      </w:r>
      <w:r>
        <w:t xml:space="preserve">syntax is the preferred syntax for stub files on all versions of Python</w:t>
      </w:r>
      <w:r>
        <w:br/>
      </w:r>
      <w:r>
        <w:t xml:space="preserve">(see :pep:</w:t>
      </w:r>
      <w:r>
        <w:rPr>
          <w:rStyle w:val="VerbatimChar"/>
        </w:rPr>
        <w:t xml:space="preserve">484</w:t>
      </w:r>
      <w:r>
        <w:t xml:space="preserve"> </w:t>
      </w:r>
      <w:r>
        <w:t xml:space="preserve">for details).</w:t>
      </w:r>
    </w:p>
    <w:p>
      <w:pPr>
        <w:pStyle w:val="FirstParagraph"/>
      </w:pPr>
      <w:r>
        <w:t xml:space="preserve">.. rubric:: Footnotes</w:t>
      </w:r>
    </w:p>
    <w:p>
      <w:pPr>
        <w:pStyle w:val="BodyText"/>
      </w:pPr>
      <w:r>
        <w:t xml:space="preserve">.. [#fn-hi]</w:t>
      </w:r>
      <w:r>
        <w:t xml:space="preserve"> </w:t>
      </w:r>
      <w:r>
        <w:rPr>
          <w:iCs/>
          <w:i/>
        </w:rPr>
        <w:t xml:space="preserve">Hanging indentation</w:t>
      </w:r>
      <w:r>
        <w:t xml:space="preserve"> </w:t>
      </w:r>
      <w:r>
        <w:t xml:space="preserve">is a type-setting style where all</w:t>
      </w:r>
      <w:r>
        <w:br/>
      </w:r>
      <w:r>
        <w:t xml:space="preserve"> </w:t>
      </w:r>
      <w:r>
        <w:t xml:space="preserve">the lines in a paragraph are indented except the first line. In</w:t>
      </w:r>
      <w:r>
        <w:br/>
      </w:r>
      <w:r>
        <w:t xml:space="preserve"> </w:t>
      </w:r>
      <w:r>
        <w:t xml:space="preserve">the context of Python, the term is used to describe a style where</w:t>
      </w:r>
      <w:r>
        <w:br/>
      </w:r>
      <w:r>
        <w:t xml:space="preserve"> </w:t>
      </w:r>
      <w:r>
        <w:t xml:space="preserve">the opening parenthesis of a parenthesized statement is the last</w:t>
      </w:r>
      <w:r>
        <w:br/>
      </w:r>
      <w:r>
        <w:t xml:space="preserve"> </w:t>
      </w:r>
      <w:r>
        <w:t xml:space="preserve">non-whitespace character of the line, with subsequent lines being</w:t>
      </w:r>
      <w:r>
        <w:br/>
      </w:r>
      <w:r>
        <w:t xml:space="preserve"> </w:t>
      </w:r>
      <w:r>
        <w:t xml:space="preserve">indented until the closing parenthesis.</w:t>
      </w:r>
    </w:p>
    <w:bookmarkEnd w:id="117"/>
    <w:bookmarkEnd w:id="118"/>
    <w:bookmarkStart w:id="122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.. [2] Barry's GNU Mailman style guide</w:t>
      </w:r>
      <w:r>
        <w:br/>
      </w:r>
      <w:r>
        <w:t xml:space="preserve"> </w:t>
      </w:r>
      <w:hyperlink r:id="rId119">
        <w:r>
          <w:rPr>
            <w:rStyle w:val="Hyperlink"/>
          </w:rPr>
          <w:t xml:space="preserve">http://barry.warsaw.us/software/STYLEGUIDE.txt</w:t>
        </w:r>
      </w:hyperlink>
    </w:p>
    <w:p>
      <w:pPr>
        <w:pStyle w:val="BodyText"/>
      </w:pPr>
      <w:r>
        <w:t xml:space="preserve">.. [3] Donald Knuth's</w:t>
      </w:r>
      <w:r>
        <w:t xml:space="preserve"> </w:t>
      </w:r>
      <w:r>
        <w:rPr>
          <w:iCs/>
          <w:i/>
        </w:rPr>
        <w:t xml:space="preserve">The TeXBook</w:t>
      </w:r>
      <w:r>
        <w:t xml:space="preserve">, pages 195 and 196.</w:t>
      </w:r>
    </w:p>
    <w:p>
      <w:pPr>
        <w:pStyle w:val="BodyText"/>
      </w:pPr>
      <w:r>
        <w:t xml:space="preserve">.. [4]</w:t>
      </w:r>
      <w:r>
        <w:t xml:space="preserve"> </w:t>
      </w:r>
      <w:hyperlink r:id="rId120">
        <w:r>
          <w:rPr>
            <w:rStyle w:val="Hyperlink"/>
          </w:rPr>
          <w:t xml:space="preserve">http://www.wikipedia.com/wiki/Camel_case</w:t>
        </w:r>
      </w:hyperlink>
    </w:p>
    <w:p>
      <w:pPr>
        <w:pStyle w:val="BodyText"/>
      </w:pPr>
      <w:r>
        <w:t xml:space="preserve">.. [5] Typeshed repo</w:t>
      </w:r>
      <w:r>
        <w:br/>
      </w:r>
      <w:r>
        <w:t xml:space="preserve"> </w:t>
      </w:r>
      <w:hyperlink r:id="rId121">
        <w:r>
          <w:rPr>
            <w:rStyle w:val="Hyperlink"/>
          </w:rPr>
          <w:t xml:space="preserve">https://github.com/python/typeshed</w:t>
        </w:r>
      </w:hyperlink>
    </w:p>
    <w:p>
      <w:pPr>
        <w:pStyle w:val="BodyText"/>
      </w:pPr>
    </w:p>
    <w:bookmarkEnd w:id="122"/>
    <w:bookmarkStart w:id="123" w:name="copyright"/>
    <w:p>
      <w:pPr>
        <w:pStyle w:val="Heading1"/>
      </w:pPr>
      <w:r>
        <w:t xml:space="preserve">Copyright</w:t>
      </w:r>
    </w:p>
    <w:p>
      <w:pPr>
        <w:pStyle w:val="FirstParagraph"/>
      </w:pPr>
      <w:r>
        <w:t xml:space="preserve">This document has been placed in the public domain.</w:t>
      </w:r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9" Target="http://barry.warsaw.us/software/STYLEGUIDE.txt" TargetMode="External" /><Relationship Type="http://schemas.openxmlformats.org/officeDocument/2006/relationships/hyperlink" Id="rId120" Target="http://www.wikipedia.com/wiki/Camel_case" TargetMode="External" /><Relationship Type="http://schemas.openxmlformats.org/officeDocument/2006/relationships/hyperlink" Id="rId121" Target="https://github.com/python/typeshed" TargetMode="External" /><Relationship Type="http://schemas.openxmlformats.org/officeDocument/2006/relationships/hyperlink" Id="rId21" Target="mailto:barry@python.org" TargetMode="External" /><Relationship Type="http://schemas.openxmlformats.org/officeDocument/2006/relationships/hyperlink" Id="rId20" Target="mailto:guido@python.org" TargetMode="External" /><Relationship Type="http://schemas.openxmlformats.org/officeDocument/2006/relationships/hyperlink" Id="rId22" Target="mailto:ncoghla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barry.warsaw.us/software/STYLEGUIDE.txt" TargetMode="External" /><Relationship Type="http://schemas.openxmlformats.org/officeDocument/2006/relationships/hyperlink" Id="rId120" Target="http://www.wikipedia.com/wiki/Camel_case" TargetMode="External" /><Relationship Type="http://schemas.openxmlformats.org/officeDocument/2006/relationships/hyperlink" Id="rId121" Target="https://github.com/python/typeshed" TargetMode="External" /><Relationship Type="http://schemas.openxmlformats.org/officeDocument/2006/relationships/hyperlink" Id="rId21" Target="mailto:barry@python.org" TargetMode="External" /><Relationship Type="http://schemas.openxmlformats.org/officeDocument/2006/relationships/hyperlink" Id="rId20" Target="mailto:guido@python.org" TargetMode="External" /><Relationship Type="http://schemas.openxmlformats.org/officeDocument/2006/relationships/hyperlink" Id="rId22" Target="mailto:ncoghla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2025-10-07T08:58:34Z</dcterms:created>
  <dcterms:modified xsi:type="dcterms:W3CDTF">2025-10-07T08:58:34Z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