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Primarily based on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</w:rPr>
        <w:t>The finite volume method in computational fluid dynamics - an advanced introduction with OpenFOAM and Matlab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.</w:t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/>
          <w:szCs w:val="22"/>
        </w:rPr>
      </w:pPr>
      <w:r>
        <w:rPr>
          <w:rFonts w:hint="eastAsia" w:ascii="等距更纱黑体 SC" w:hAnsi="等距更纱黑体 SC" w:eastAsia="等距更纱黑体 SC" w:cs="等距更纱黑体 SC"/>
          <w:b/>
          <w:szCs w:val="22"/>
        </w:rPr>
        <w:t>Chapter 6 &amp; 7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pointField(vectorField) - a list of all mesh vertices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  <w:lang w:eastAsia="zh-CN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//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  <w:lang w:eastAsia="zh-CN"/>
        </w:rPr>
        <w:t>i.e.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4678 // total 4678 vertices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(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(-32 -16 0.9377382715)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(-32 -32 0.9377382715)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(-32 -16.30818205 0.9377382715)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/.../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)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faceList - a list of identities of the points defining the faces of the mesh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const faceList&amp; fs = faces(); 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  <w:lang w:eastAsia="zh-CN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faceList是包含数据类型为labelList的链表, labelList中便储存了构成face的vertex的索引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  <w:lang w:val="en-US" w:eastAsia="zh-CN"/>
        </w:rPr>
        <w:t xml:space="preserve">,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  <w:lang w:eastAsia="zh-CN"/>
        </w:rPr>
        <w:t>i.e.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labelList&amp; f = fs[facei];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  <w:lang w:eastAsia="zh-CN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//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  <w:lang w:eastAsia="zh-CN"/>
        </w:rPr>
        <w:t>i.e.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8938 // total 8938 faces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(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4(2 2341 2583 244) // a labelList, label of vertex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4(81 244 2583 2420)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4(3 2342 2684 345)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4(244 345 2684 2583)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4(4 2343 2785 446)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/.../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)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数据类型label可以理解为标签, 有点类似于数组的索引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for (label pi = 0; pi &lt; nPoints; pi++){ ... }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faceOwner()/faceNeighbour() - 返回internal face所对应的owner cell index或neighbour cell index, 数据类型是labelList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labelList&amp; own = faceOwner();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cEst[own[facei]] += fCtrs[facei];  //own[facei] represents owner index.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//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  <w:lang w:eastAsia="zh-CN"/>
        </w:rPr>
        <w:t>i.e.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 face owner, how many faces for how many owners.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8938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(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0 // element label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0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1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/.../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)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some functions in primitiveMesh class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// PS: The primitiveMesh does not recognise boundaries or domain interfaces.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labelListList &amp; cellCells() const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labelListList &amp; pointCells() const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cellList &amp; cells() const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vectorField &amp; cellCentres() const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vectorField &amp; faceCentres() const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scalarField &amp; cellVolumes() const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vectorField &amp; faceAreas() const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the polyMesh class introduces the handling of boundary definition and information as blow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labelUList &amp; owner () const //Internal face owner.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labelUList &amp; neighbour () const //Internal face neighbour.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// Return old-time cell volumes.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DimensionedField&lt; scalar, volMesh &gt; &amp; V0 () const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// Return old-old-time cell volumes.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DimensionedField&lt; scalar, volMesh &gt; &amp; V00 () const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// Return face deltas as surfaceVectorField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tmp&lt; surfaceVectorField &gt; delta () const</w:t>
      </w:r>
    </w:p>
    <w:p>
      <w:pPr>
        <w:kinsoku w:val="0"/>
        <w:snapToGrid w:val="0"/>
        <w:ind w:left="210" w:leftChars="100" w:firstLine="360" w:firstLine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OpenFOAM® decomposes the boundary mesh into patches stored in a list</w:t>
      </w:r>
    </w:p>
    <w:p>
      <w:pPr>
        <w:kinsoku w:val="0"/>
        <w:snapToGrid w:val="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designated by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</w:rPr>
        <w:t xml:space="preserve">polyPatchList(List&lt;polyPatch&gt;)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under the class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</w:rPr>
        <w:t>polyBoundaryMesh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. Then, similar to interior mesh, a specialized class denoted by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</w:rPr>
        <w:t xml:space="preserve">fvBoundaryMesh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is derived from</w:t>
      </w:r>
    </w:p>
    <w:p>
      <w:pPr>
        <w:kinsoku w:val="0"/>
        <w:snapToGrid w:val="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</w:rPr>
        <w:t xml:space="preserve">polyBoundaryMesh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that inherits its functionalities and expands on it to include specific functions and data needed for finite-volume discretization. As for </w:t>
      </w:r>
      <w:r>
        <w:rPr>
          <w:rFonts w:hint="eastAsia" w:ascii="等距更纱黑体 SC" w:hAnsi="等距更纱黑体 SC" w:eastAsia="等距更纱黑体 SC" w:cs="等距更纱黑体 SC"/>
          <w:i/>
          <w:iCs/>
          <w:sz w:val="18"/>
          <w:szCs w:val="21"/>
        </w:rPr>
        <w:t xml:space="preserve">internal(boundary?)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discretization, a similar hierarchy of classes composed of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</w:rPr>
        <w:t>primitivePatch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,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</w:rPr>
        <w:t>polyPatch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, and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</w:rPr>
        <w:t xml:space="preserve">fvPatch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is defined for boundary discretization. These classes are specific for the boundary mesh and contain the geometric information of each boundary. But it is the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</w:rPr>
        <w:t xml:space="preserve">fvPatch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that is used to implement the boundary conditions during the finite volume discretization.</w:t>
      </w:r>
    </w:p>
    <w:p>
      <w:pPr>
        <w:kinsoku w:val="0"/>
        <w:snapToGrid w:val="0"/>
        <w:ind w:left="210" w:leftChars="100" w:firstLine="360" w:firstLine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  <w:highlight w:val="green"/>
        </w:rPr>
        <w:t xml:space="preserve">In a similar way the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  <w:highlight w:val="green"/>
        </w:rPr>
        <w:t xml:space="preserve">fvMesh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  <w:highlight w:val="green"/>
        </w:rPr>
        <w:t xml:space="preserve">is used to access all mesh functionalities. Thus, it is mainly with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  <w:highlight w:val="green"/>
        </w:rPr>
        <w:t xml:space="preserve">fvMesh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  <w:highlight w:val="green"/>
        </w:rPr>
        <w:t xml:space="preserve">and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  <w:highlight w:val="green"/>
        </w:rPr>
        <w:t xml:space="preserve">fvPatch 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  <w:highlight w:val="green"/>
        </w:rPr>
        <w:t>that the discretization classes and functions interact.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Boundary definition in polyMesh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#boundary patch name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{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type #patchtype; // wall, patch, empty, etc.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nFaces #number of face in patch set;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startFace #starting face index for patch;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}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Mesh manipulation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// read the element centroids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volVectorField C = mesh.C();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// element volumes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volScalarField V = mesh.V();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// surface centroids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surfaceVectorField Cf = mesh.Cf();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Loop over the cell volumes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DimensionedField&lt; scalar, volMesh &gt;&amp; cellVolumes = mesh.V();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forAll(cellVolumes, cellI)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{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scalar cellVolume = cellVolumes[cellI];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}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Access boundary patches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fvBoundaryMesh&amp; boundaryMesh = mesh.boundary();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forAll(boundaryMesh, patchI)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{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const fvPatch&amp; patch = boundaryMesh[patchI];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forAll(patch, faceI)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{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vector faceNormal = patch.Sf()[faceI];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scalar faceArea = patch.magSf()[faceI];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// patch.nf() returns a tmp&lt;Type&gt;.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vector unitFaceNormal = patch.nf()()[faceI];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vector faceCenter = patch.Cf()[faceI];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label owner = patch.faceCells()[faceI];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}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}   // access: mesh -&gt; fvBoundaryMesh -&gt; fvPatch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Template class GeometricField&lt;Type,...&gt;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Each data defined using this class is strictly related to the mesh dimensions, both for the boundaries and interior domain.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GeometricField&lt;Type,..&gt;的数据结构</w:t>
      </w:r>
    </w:p>
    <w:p>
      <w:pPr>
        <w:numPr>
          <w:ilvl w:val="0"/>
          <w:numId w:val="2"/>
        </w:num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volField&lt;type&gt;</w:t>
      </w:r>
    </w:p>
    <w:p>
      <w:pPr>
        <w:numPr>
          <w:ilvl w:val="0"/>
          <w:numId w:val="2"/>
        </w:num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surfaceField&lt;type&gt;</w:t>
      </w:r>
    </w:p>
    <w:p>
      <w:pPr>
        <w:numPr>
          <w:ilvl w:val="0"/>
          <w:numId w:val="2"/>
        </w:num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pointField&lt;type&gt;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Properties GeometricField&lt;type,...&gt; class inherits</w:t>
      </w:r>
    </w:p>
    <w:p>
      <w:pPr>
        <w:numPr>
          <w:ilvl w:val="0"/>
          <w:numId w:val="2"/>
        </w:num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Dimensions（单位）</w:t>
      </w:r>
    </w:p>
    <w:p>
      <w:pPr>
        <w:numPr>
          <w:ilvl w:val="0"/>
          <w:numId w:val="2"/>
        </w:num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InternalField &amp; BoundaryField (GeometricBoundaryField, fvPatchField)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Mesh - each GeometricField contains a reference to the corresponding mesh</w:t>
      </w:r>
    </w:p>
    <w:p>
      <w:pPr>
        <w:numPr>
          <w:ilvl w:val="0"/>
          <w:numId w:val="2"/>
        </w:num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Time Values and Previous Values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GeometricField Example((i)field name, (ii)field dimension, (iii)initialization, and (iv)boundary conditions)</w:t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volScalarField T</w:t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(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IOobject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(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"T",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runTime.timeName(),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mesh,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IOobject::NO_READ,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IOobject::AUTO_WRITE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),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mesh,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dimensionedScalar("DTVol", dimensionSet(0,0,0,1,0,0,0), 300.0),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"zeroGradient"</w:t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);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Access InternalField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forAll(T.internalField(), cellI)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{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scalar cellT = T.internalField()[cellI];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}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Access BoundaryField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const volVectorField::GeometricBoundaryField&amp; UBoundaryList = U.boundaryField();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// boundary access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forAll(UBoun</w:t>
      </w:r>
      <w:bookmarkStart w:id="0" w:name="_GoBack"/>
      <w:bookmarkEnd w:id="0"/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daryList, patchI)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{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const fvPatchField&lt;vector&gt;&amp; fieldBoundary = UBoundaryList[patchI];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forAll(fieldBoundary, faceI)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{</w:t>
      </w:r>
    </w:p>
    <w:p>
      <w:pPr>
        <w:kinsoku w:val="0"/>
        <w:snapToGrid w:val="0"/>
        <w:spacing w:before="156" w:beforeLines="50" w:after="156" w:afterLines="50"/>
        <w:ind w:left="840" w:leftChars="4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vector faceU = fieldBoundary[faceI];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}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}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// boundary access in a more compact form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forAll(T.boundaryField(), patchI)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{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forAll(T.boundaryField()[patchI], faceI)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{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scalar faceT = T.boundaryField()[patchI][faceI];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6"/>
          <w:szCs w:val="20"/>
        </w:rPr>
      </w:pPr>
      <w:r>
        <w:rPr>
          <w:rFonts w:hint="eastAsia" w:ascii="等距更纱黑体 SC" w:hAnsi="等距更纱黑体 SC" w:eastAsia="等距更纱黑体 SC" w:cs="等距更纱黑体 SC"/>
          <w:sz w:val="16"/>
          <w:szCs w:val="20"/>
        </w:rPr>
        <w:t>}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5"/>
          <w:szCs w:val="18"/>
        </w:rPr>
      </w:pPr>
      <w:r>
        <w:rPr>
          <w:rFonts w:hint="eastAsia" w:ascii="等距更纱黑体 SC" w:hAnsi="等距更纱黑体 SC" w:eastAsia="等距更纱黑体 SC" w:cs="等距更纱黑体 SC"/>
          <w:sz w:val="15"/>
          <w:szCs w:val="18"/>
        </w:rPr>
        <w:t>}</w:t>
      </w:r>
    </w:p>
    <w:p>
      <w:pPr>
        <w:numPr>
          <w:ilvl w:val="0"/>
          <w:numId w:val="1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lduAddressing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face addressing scheme - coefficients are stored following the interior face ordering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5 arrays - diag(), lower(), upper(), lowerAddr() - owner, upperAddr() - neighbour</w:t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drawing>
          <wp:inline distT="0" distB="0" distL="114300" distR="114300">
            <wp:extent cx="3731895" cy="2621915"/>
            <wp:effectExtent l="0" t="0" r="1905" b="6985"/>
            <wp:docPr id="1" name="图片 1" descr="lduMatri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duMatri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1895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// summation of the off-diagonal coefficients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for (label faceI=0; faceI&lt;l.size(); faceI++)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{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ab/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// this is a mistake!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ac[l[faceI]] -= Lower[faceI];</w:t>
      </w:r>
    </w:p>
    <w:p>
      <w:pPr>
        <w:kinsoku w:val="0"/>
        <w:snapToGrid w:val="0"/>
        <w:spacing w:before="156" w:beforeLines="50" w:after="156" w:afterLines="50"/>
        <w:ind w:left="420" w:leftChars="2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ac[u[faceI]] -= Upper[faceI];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}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/>
          <w:szCs w:val="22"/>
        </w:rPr>
      </w:pPr>
      <w:r>
        <w:rPr>
          <w:rFonts w:hint="eastAsia" w:ascii="等距更纱黑体 SC" w:hAnsi="等距更纱黑体 SC" w:eastAsia="等距更纱黑体 SC" w:cs="等距更纱黑体 SC"/>
          <w:b/>
          <w:szCs w:val="22"/>
        </w:rPr>
        <w:t>Chapter 8</w:t>
      </w:r>
    </w:p>
    <w:p>
      <w:pPr>
        <w:numPr>
          <w:ilvl w:val="0"/>
          <w:numId w:val="3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类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surfaceMesh， volMesh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 xml:space="preserve">deltaCoeffs - </w:t>
      </w:r>
      <m:oMath>
        <m:f>
          <m:fPr>
            <m:ctrlPr>
              <w:rPr>
                <w:rFonts w:hint="eastAsia" w:ascii="DejaVu Math TeX Gyre" w:hAnsi="DejaVu Math TeX Gyre" w:eastAsia="等距更纱黑体 SC" w:cs="等距更纱黑体 SC"/>
                <w:i/>
                <w:sz w:val="20"/>
                <w:szCs w:val="22"/>
              </w:rPr>
            </m:ctrlPr>
          </m:fPr>
          <m:num>
            <m:sSub>
              <m:sSubPr>
                <m:ctrlPr>
                  <w:rPr>
                    <w:rFonts w:hint="eastAsia" w:ascii="DejaVu Math TeX Gyre" w:hAnsi="DejaVu Math TeX Gyre" w:eastAsia="等距更纱黑体 SC" w:cs="等距更纱黑体 SC"/>
                    <w:i/>
                    <w:sz w:val="20"/>
                    <w:szCs w:val="22"/>
                  </w:rPr>
                </m:ctrlPr>
              </m:sSubPr>
              <m:e>
                <m:r>
                  <m:rPr>
                    <m:sty m:val="bi"/>
                  </m:rPr>
                  <w:rPr>
                    <w:rFonts w:hint="eastAsia" w:ascii="DejaVu Math TeX Gyre" w:hAnsi="DejaVu Math TeX Gyre" w:eastAsia="等距更纱黑体 SC" w:cs="等距更纱黑体 SC"/>
                    <w:sz w:val="20"/>
                    <w:szCs w:val="22"/>
                  </w:rPr>
                  <m:t>S</m:t>
                </m:r>
                <m:ctrlPr>
                  <w:rPr>
                    <w:rFonts w:hint="eastAsia" w:ascii="DejaVu Math TeX Gyre" w:hAnsi="DejaVu Math TeX Gyre" w:eastAsia="等距更纱黑体 SC" w:cs="等距更纱黑体 SC"/>
                    <w:i/>
                    <w:sz w:val="20"/>
                    <w:szCs w:val="22"/>
                  </w:rPr>
                </m:ctrlPr>
              </m:e>
              <m:sub>
                <m:r>
                  <m:rPr/>
                  <w:rPr>
                    <w:rFonts w:hint="eastAsia" w:ascii="DejaVu Math TeX Gyre" w:hAnsi="DejaVu Math TeX Gyre" w:eastAsia="等距更纱黑体 SC" w:cs="等距更纱黑体 SC"/>
                    <w:sz w:val="20"/>
                    <w:szCs w:val="22"/>
                  </w:rPr>
                  <m:t>f</m:t>
                </m:r>
                <m:ctrlPr>
                  <w:rPr>
                    <w:rFonts w:hint="eastAsia" w:ascii="DejaVu Math TeX Gyre" w:hAnsi="DejaVu Math TeX Gyre" w:eastAsia="等距更纱黑体 SC" w:cs="等距更纱黑体 SC"/>
                    <w:i/>
                    <w:sz w:val="20"/>
                    <w:szCs w:val="22"/>
                  </w:rPr>
                </m:ctrlPr>
              </m:sub>
            </m:sSub>
            <m:ctrlPr>
              <w:rPr>
                <w:rFonts w:hint="eastAsia" w:ascii="DejaVu Math TeX Gyre" w:hAnsi="DejaVu Math TeX Gyre" w:eastAsia="等距更纱黑体 SC" w:cs="等距更纱黑体 SC"/>
                <w:i/>
                <w:sz w:val="20"/>
                <w:szCs w:val="22"/>
              </w:rPr>
            </m:ctrlPr>
          </m:num>
          <m:den>
            <m:sSub>
              <m:sSubPr>
                <m:ctrlPr>
                  <w:rPr>
                    <w:rFonts w:hint="eastAsia" w:ascii="DejaVu Math TeX Gyre" w:hAnsi="DejaVu Math TeX Gyre" w:eastAsia="等距更纱黑体 SC" w:cs="等距更纱黑体 SC"/>
                    <w:i/>
                    <w:sz w:val="20"/>
                    <w:szCs w:val="22"/>
                  </w:rPr>
                </m:ctrlPr>
              </m:sSubPr>
              <m:e>
                <m:r>
                  <m:rPr/>
                  <w:rPr>
                    <w:rFonts w:hint="eastAsia" w:ascii="DejaVu Math TeX Gyre" w:hAnsi="DejaVu Math TeX Gyre" w:eastAsia="等距更纱黑体 SC" w:cs="等距更纱黑体 SC"/>
                    <w:sz w:val="20"/>
                    <w:szCs w:val="22"/>
                  </w:rPr>
                  <m:t>d</m:t>
                </m:r>
                <m:ctrlPr>
                  <w:rPr>
                    <w:rFonts w:hint="eastAsia" w:ascii="DejaVu Math TeX Gyre" w:hAnsi="DejaVu Math TeX Gyre" w:eastAsia="等距更纱黑体 SC" w:cs="等距更纱黑体 SC"/>
                    <w:i/>
                    <w:sz w:val="20"/>
                    <w:szCs w:val="22"/>
                  </w:rPr>
                </m:ctrlPr>
              </m:e>
              <m:sub>
                <m:r>
                  <m:rPr/>
                  <w:rPr>
                    <w:rFonts w:hint="eastAsia" w:ascii="DejaVu Math TeX Gyre" w:hAnsi="DejaVu Math TeX Gyre" w:eastAsia="等距更纱黑体 SC" w:cs="等距更纱黑体 SC"/>
                    <w:sz w:val="20"/>
                    <w:szCs w:val="22"/>
                  </w:rPr>
                  <m:t>CF</m:t>
                </m:r>
                <m:ctrlPr>
                  <w:rPr>
                    <w:rFonts w:hint="eastAsia" w:ascii="DejaVu Math TeX Gyre" w:hAnsi="DejaVu Math TeX Gyre" w:eastAsia="等距更纱黑体 SC" w:cs="等距更纱黑体 SC"/>
                    <w:i/>
                    <w:sz w:val="20"/>
                    <w:szCs w:val="22"/>
                  </w:rPr>
                </m:ctrlPr>
              </m:sub>
            </m:sSub>
            <m:ctrlPr>
              <w:rPr>
                <w:rFonts w:hint="eastAsia" w:ascii="DejaVu Math TeX Gyre" w:hAnsi="DejaVu Math TeX Gyre" w:eastAsia="等距更纱黑体 SC" w:cs="等距更纱黑体 SC"/>
                <w:i/>
                <w:sz w:val="20"/>
                <w:szCs w:val="22"/>
              </w:rPr>
            </m:ctrlPr>
          </m:den>
        </m:f>
      </m:oMath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 xml:space="preserve">The “deltaCoeffs.internalField()” represents the internal mesh </w:t>
      </w: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  <w:t xml:space="preserve">gDiff </w:t>
      </w: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field.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In OpenFOAM the boundary coefficients are stored in “</w:t>
      </w: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  <w:t>interalCoeffs</w:t>
      </w: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”(</w:t>
      </w:r>
      <m:oMath>
        <m:sSub>
          <m:sSubPr>
            <m:ctrlPr>
              <w:rPr>
                <w:rFonts w:hint="eastAsia" w:ascii="DejaVu Math TeX Gyre" w:hAnsi="DejaVu Math TeX Gyre" w:eastAsia="等距更纱黑体 SC" w:cs="等距更纱黑体 SC"/>
                <w:i/>
                <w:sz w:val="20"/>
                <w:szCs w:val="22"/>
              </w:rPr>
            </m:ctrlPr>
          </m:sSubPr>
          <m:e>
            <m:r>
              <m:rPr/>
              <w:rPr>
                <w:rFonts w:hint="eastAsia" w:ascii="DejaVu Math TeX Gyre" w:hAnsi="DejaVu Math TeX Gyre" w:eastAsia="等距更纱黑体 SC" w:cs="等距更纱黑体 SC"/>
                <w:sz w:val="20"/>
                <w:szCs w:val="22"/>
              </w:rPr>
              <m:t>FluxC</m:t>
            </m:r>
            <m:ctrlPr>
              <w:rPr>
                <w:rFonts w:hint="eastAsia" w:ascii="DejaVu Math TeX Gyre" w:hAnsi="DejaVu Math TeX Gyre" w:eastAsia="等距更纱黑体 SC" w:cs="等距更纱黑体 SC"/>
                <w:i/>
                <w:sz w:val="20"/>
                <w:szCs w:val="22"/>
              </w:rPr>
            </m:ctrlPr>
          </m:e>
          <m:sub>
            <m:r>
              <m:rPr/>
              <w:rPr>
                <w:rFonts w:hint="eastAsia" w:ascii="DejaVu Math TeX Gyre" w:hAnsi="DejaVu Math TeX Gyre" w:eastAsia="等距更纱黑体 SC" w:cs="等距更纱黑体 SC"/>
                <w:sz w:val="20"/>
                <w:szCs w:val="22"/>
              </w:rPr>
              <m:t>b</m:t>
            </m:r>
            <m:ctrlPr>
              <w:rPr>
                <w:rFonts w:hint="eastAsia" w:ascii="DejaVu Math TeX Gyre" w:hAnsi="DejaVu Math TeX Gyre" w:eastAsia="等距更纱黑体 SC" w:cs="等距更纱黑体 SC"/>
                <w:i/>
                <w:sz w:val="20"/>
                <w:szCs w:val="22"/>
              </w:rPr>
            </m:ctrlPr>
          </m:sub>
        </m:sSub>
      </m:oMath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) and “</w:t>
      </w: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  <w:t>boundaryCoeffs</w:t>
      </w: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”(</w:t>
      </w:r>
      <m:oMath>
        <m:sSub>
          <m:sSubPr>
            <m:ctrlPr>
              <w:rPr>
                <w:rFonts w:hint="eastAsia" w:ascii="DejaVu Math TeX Gyre" w:hAnsi="DejaVu Math TeX Gyre" w:eastAsia="等距更纱黑体 SC" w:cs="等距更纱黑体 SC"/>
                <w:i/>
                <w:sz w:val="20"/>
                <w:szCs w:val="22"/>
              </w:rPr>
            </m:ctrlPr>
          </m:sSubPr>
          <m:e>
            <m:r>
              <m:rPr/>
              <w:rPr>
                <w:rFonts w:hint="eastAsia" w:ascii="DejaVu Math TeX Gyre" w:hAnsi="DejaVu Math TeX Gyre" w:eastAsia="等距更纱黑体 SC" w:cs="等距更纱黑体 SC"/>
                <w:sz w:val="20"/>
                <w:szCs w:val="22"/>
              </w:rPr>
              <m:t>FluxV</m:t>
            </m:r>
            <m:ctrlPr>
              <w:rPr>
                <w:rFonts w:hint="eastAsia" w:ascii="DejaVu Math TeX Gyre" w:hAnsi="DejaVu Math TeX Gyre" w:eastAsia="等距更纱黑体 SC" w:cs="等距更纱黑体 SC"/>
                <w:i/>
                <w:sz w:val="20"/>
                <w:szCs w:val="22"/>
              </w:rPr>
            </m:ctrlPr>
          </m:e>
          <m:sub>
            <m:r>
              <m:rPr/>
              <w:rPr>
                <w:rFonts w:hint="eastAsia" w:ascii="DejaVu Math TeX Gyre" w:hAnsi="DejaVu Math TeX Gyre" w:eastAsia="等距更纱黑体 SC" w:cs="等距更纱黑体 SC"/>
                <w:sz w:val="20"/>
                <w:szCs w:val="22"/>
              </w:rPr>
              <m:t>b</m:t>
            </m:r>
            <m:ctrlPr>
              <w:rPr>
                <w:rFonts w:hint="eastAsia" w:ascii="DejaVu Math TeX Gyre" w:hAnsi="DejaVu Math TeX Gyre" w:eastAsia="等距更纱黑体 SC" w:cs="等距更纱黑体 SC"/>
                <w:i/>
                <w:sz w:val="20"/>
                <w:szCs w:val="22"/>
              </w:rPr>
            </m:ctrlPr>
          </m:sub>
        </m:sSub>
      </m:oMath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).</w:t>
      </w:r>
    </w:p>
    <w:p>
      <w:pPr>
        <w:numPr>
          <w:ilvl w:val="0"/>
          <w:numId w:val="3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laplacianSchemes</w:t>
      </w:r>
    </w:p>
    <w:p>
      <w:pPr>
        <w:kinsoku w:val="0"/>
        <w:snapToGrid w:val="0"/>
        <w:spacing w:before="156" w:beforeLines="50" w:after="156" w:afterLines="50"/>
        <w:ind w:firstLine="400" w:firstLineChars="2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  <w:highlight w:val="green"/>
        </w:rPr>
        <w:t xml:space="preserve">The “fvm::laplacian(gamma,phi)” returns instead an </w:t>
      </w: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  <w:highlight w:val="green"/>
        </w:rPr>
        <w:t xml:space="preserve">fvMatrix </w:t>
      </w:r>
      <w:r>
        <w:rPr>
          <w:rFonts w:hint="eastAsia" w:ascii="等距更纱黑体 SC" w:hAnsi="等距更纱黑体 SC" w:eastAsia="等距更纱黑体 SC" w:cs="等距更纱黑体 SC"/>
          <w:sz w:val="20"/>
          <w:szCs w:val="22"/>
          <w:highlight w:val="green"/>
        </w:rPr>
        <w:t>of coefficients, which is added to the left hand side of the system of equations, in addition to a field containing the non-orthogonal terms (based on a right-now explicit gradient) that is added to the right hand side of the system.</w:t>
      </w: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 xml:space="preserve"> 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laplacianSchemes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{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laplacian(gamma,phi) Gauss linear corrected;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}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  <w:t>Gauss</w:t>
      </w: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 xml:space="preserve"> (the only available choice) defines the standard Gauss discretization, </w:t>
      </w: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  <w:t>linear</w:t>
      </w: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 xml:space="preserve"> refers to the type of interpolation used for calculating the diffusivity gamma at the face, and </w:t>
      </w: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  <w:t xml:space="preserve">corrected </w:t>
      </w: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describes the kind of non-orthogonal correction.</w:t>
      </w:r>
    </w:p>
    <w:p>
      <w:pPr>
        <w:numPr>
          <w:ilvl w:val="0"/>
          <w:numId w:val="3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gradSchemes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gradSchemes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{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default none;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grad(phi) Gauss;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}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// interpolation schemes for gradient calculation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interpolationSchemes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{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interpolate(phi) linear;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// interpolate(phi) skewCorrected linear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}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20"/>
          <w:szCs w:val="22"/>
        </w:rPr>
        <w:t>// a more compact form for gradient schemes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gradSchemes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{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default none;</w:t>
      </w:r>
    </w:p>
    <w:p>
      <w:pPr>
        <w:kinsoku w:val="0"/>
        <w:snapToGrid w:val="0"/>
        <w:spacing w:before="156" w:beforeLines="50" w:after="156" w:afterLines="50"/>
        <w:ind w:left="630" w:leftChars="30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grad(phi) Gauss linear;</w:t>
      </w:r>
    </w:p>
    <w:p>
      <w:pPr>
        <w:kinsoku w:val="0"/>
        <w:snapToGrid w:val="0"/>
        <w:spacing w:before="156" w:beforeLines="50" w:after="156" w:afterLines="50"/>
        <w:ind w:left="210" w:leftChars="10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}</w:t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/>
          <w:bCs/>
          <w:szCs w:val="22"/>
        </w:rPr>
      </w:pPr>
      <w:r>
        <w:rPr>
          <w:rFonts w:hint="eastAsia" w:ascii="等距更纱黑体 SC" w:hAnsi="等距更纱黑体 SC" w:eastAsia="等距更纱黑体 SC" w:cs="等距更纱黑体 SC"/>
          <w:b/>
          <w:bCs/>
          <w:szCs w:val="22"/>
        </w:rPr>
        <w:t>Chapter 11</w:t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Computational Pointer:</w:t>
      </w:r>
    </w:p>
    <w:p>
      <w:pPr>
        <w:pStyle w:val="8"/>
        <w:numPr>
          <w:ilvl w:val="0"/>
          <w:numId w:val="4"/>
        </w:numPr>
        <w:kinsoku w:val="0"/>
        <w:snapToGrid w:val="0"/>
        <w:spacing w:before="156" w:beforeLines="50" w:after="156" w:afterLines="50"/>
        <w:ind w:firstLineChars="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How the convection schemes was realized in OpenFOAM?</w:t>
      </w:r>
    </w:p>
    <w:p>
      <w:pPr>
        <w:pStyle w:val="8"/>
        <w:numPr>
          <w:ilvl w:val="0"/>
          <w:numId w:val="4"/>
        </w:numPr>
        <w:kinsoku w:val="0"/>
        <w:snapToGrid w:val="0"/>
        <w:spacing w:before="156" w:beforeLines="50" w:after="156" w:afterLines="50"/>
        <w:ind w:firstLineChars="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How to realize fvc::div &amp; fvm::div operator differently?</w:t>
      </w:r>
    </w:p>
    <w:p>
      <w:pPr>
        <w:pStyle w:val="8"/>
        <w:numPr>
          <w:ilvl w:val="0"/>
          <w:numId w:val="5"/>
        </w:numPr>
        <w:kinsoku w:val="0"/>
        <w:snapToGrid w:val="0"/>
        <w:spacing w:before="156" w:beforeLines="50" w:after="156" w:afterLines="50"/>
        <w:ind w:firstLineChars="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The calculation of the divergence of a field involves the following three steps:</w:t>
      </w:r>
    </w:p>
    <w:p>
      <w:pPr>
        <w:pStyle w:val="8"/>
        <w:kinsoku w:val="0"/>
        <w:snapToGrid w:val="0"/>
        <w:spacing w:before="156" w:beforeLines="50" w:after="156" w:afterLines="50"/>
        <w:ind w:left="420" w:firstLine="0" w:firstLineChars="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1. Evaluating values at the faces of the element.</w:t>
      </w:r>
    </w:p>
    <w:p>
      <w:pPr>
        <w:pStyle w:val="8"/>
        <w:kinsoku w:val="0"/>
        <w:snapToGrid w:val="0"/>
        <w:spacing w:before="156" w:beforeLines="50" w:after="156" w:afterLines="50"/>
        <w:ind w:left="420" w:firstLine="0" w:firstLineChars="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 xml:space="preserve">2. Multiplying the value at the face with the mass flux at the face (i.e., </w:t>
      </w: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  <w:t>faceFlux</w:t>
      </w: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).</w:t>
      </w:r>
    </w:p>
    <w:p>
      <w:pPr>
        <w:pStyle w:val="8"/>
        <w:kinsoku w:val="0"/>
        <w:snapToGrid w:val="0"/>
        <w:spacing w:before="156" w:beforeLines="50" w:after="156" w:afterLines="50"/>
        <w:ind w:left="420" w:firstLine="0" w:firstLineChars="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  <w:t>3. Summing the contributions of all cell faces and dividing the sum by the cell volume.</w:t>
      </w:r>
    </w:p>
    <w:p>
      <w:pPr>
        <w:pStyle w:val="8"/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</w:p>
    <w:p>
      <w:pPr>
        <w:pStyle w:val="8"/>
        <w:kinsoku w:val="0"/>
        <w:snapToGrid w:val="0"/>
        <w:spacing w:before="156" w:beforeLines="50" w:after="156" w:afterLines="50"/>
        <w:ind w:left="0" w:leftChars="0" w:firstLine="0" w:firstLineChars="0"/>
        <w:jc w:val="left"/>
        <w:rPr>
          <w:rFonts w:hint="eastAsia" w:ascii="等距更纱黑体 SC" w:hAnsi="等距更纱黑体 SC" w:eastAsia="等距更纱黑体 SC" w:cs="等距更纱黑体 SC"/>
          <w:b/>
          <w:bCs w:val="0"/>
          <w:sz w:val="21"/>
          <w:szCs w:val="24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/>
          <w:bCs w:val="0"/>
          <w:sz w:val="21"/>
          <w:szCs w:val="24"/>
          <w:lang w:val="en-US" w:eastAsia="zh-CN"/>
        </w:rPr>
        <w:t>Boundary Conditions</w:t>
      </w:r>
    </w:p>
    <w:p>
      <w:pPr>
        <w:pStyle w:val="8"/>
        <w:kinsoku w:val="0"/>
        <w:snapToGrid w:val="0"/>
        <w:spacing w:before="156" w:beforeLines="50" w:after="156" w:afterLines="50"/>
        <w:ind w:left="0" w:leftChars="0" w:firstLine="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1"/>
          <w:szCs w:val="24"/>
          <w:u w:val="singl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1"/>
          <w:szCs w:val="24"/>
          <w:u w:val="single"/>
          <w:lang w:val="en-US" w:eastAsia="zh-CN"/>
        </w:rPr>
        <w:fldChar w:fldCharType="begin"/>
      </w:r>
      <w:r>
        <w:rPr>
          <w:rFonts w:hint="eastAsia" w:ascii="等距更纱黑体 SC" w:hAnsi="等距更纱黑体 SC" w:eastAsia="等距更纱黑体 SC" w:cs="等距更纱黑体 SC"/>
          <w:b w:val="0"/>
          <w:bCs/>
          <w:sz w:val="21"/>
          <w:szCs w:val="24"/>
          <w:u w:val="single"/>
          <w:lang w:val="en-US" w:eastAsia="zh-CN"/>
        </w:rPr>
        <w:instrText xml:space="preserve"> HYPERLINK "https://www.cfdsupport.com/OpenFOAM-Training-by-CFD-Support/node93.html" </w:instrText>
      </w:r>
      <w:r>
        <w:rPr>
          <w:rFonts w:hint="eastAsia" w:ascii="等距更纱黑体 SC" w:hAnsi="等距更纱黑体 SC" w:eastAsia="等距更纱黑体 SC" w:cs="等距更纱黑体 SC"/>
          <w:b w:val="0"/>
          <w:bCs/>
          <w:sz w:val="21"/>
          <w:szCs w:val="24"/>
          <w:u w:val="single"/>
          <w:lang w:val="en-US" w:eastAsia="zh-CN"/>
        </w:rPr>
        <w:fldChar w:fldCharType="separate"/>
      </w:r>
      <w:r>
        <w:rPr>
          <w:rStyle w:val="6"/>
          <w:rFonts w:hint="eastAsia" w:ascii="等距更纱黑体 SC" w:hAnsi="等距更纱黑体 SC" w:eastAsia="等距更纱黑体 SC" w:cs="等距更纱黑体 SC"/>
          <w:b w:val="0"/>
          <w:bCs/>
          <w:sz w:val="21"/>
          <w:szCs w:val="24"/>
          <w:lang w:val="en-US" w:eastAsia="zh-CN"/>
        </w:rPr>
        <w:t>https://www.cfdsupport.com/OpenFOAM-Training-by-CFD-Support/node93.html</w:t>
      </w:r>
      <w:r>
        <w:rPr>
          <w:rFonts w:hint="eastAsia" w:ascii="等距更纱黑体 SC" w:hAnsi="等距更纱黑体 SC" w:eastAsia="等距更纱黑体 SC" w:cs="等距更纱黑体 SC"/>
          <w:b w:val="0"/>
          <w:bCs/>
          <w:sz w:val="21"/>
          <w:szCs w:val="24"/>
          <w:u w:val="single"/>
          <w:lang w:val="en-US" w:eastAsia="zh-CN"/>
        </w:rPr>
        <w:fldChar w:fldCharType="end"/>
      </w:r>
    </w:p>
    <w:p>
      <w:pPr>
        <w:pStyle w:val="8"/>
        <w:kinsoku w:val="0"/>
        <w:snapToGrid w:val="0"/>
        <w:spacing w:before="156" w:beforeLines="50" w:after="156" w:afterLines="50"/>
        <w:ind w:left="0" w:leftChars="0" w:firstLine="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1"/>
          <w:szCs w:val="24"/>
          <w:u w:val="single"/>
          <w:lang w:val="en-US" w:eastAsia="zh-CN"/>
        </w:rPr>
      </w:pPr>
    </w:p>
    <w:p>
      <w:pPr>
        <w:pStyle w:val="8"/>
        <w:kinsoku w:val="0"/>
        <w:snapToGrid w:val="0"/>
        <w:spacing w:before="156" w:beforeLines="50" w:after="156" w:afterLines="50"/>
        <w:ind w:left="0" w:leftChars="0" w:firstLine="0" w:firstLineChars="0"/>
        <w:jc w:val="left"/>
        <w:rPr>
          <w:rFonts w:hint="default" w:ascii="等距更纱黑体 SC" w:hAnsi="等距更纱黑体 SC" w:eastAsia="等距更纱黑体 SC" w:cs="等距更纱黑体 SC"/>
          <w:b/>
          <w:bCs w:val="0"/>
          <w:sz w:val="21"/>
          <w:szCs w:val="24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/>
          <w:bCs w:val="0"/>
          <w:sz w:val="21"/>
          <w:szCs w:val="24"/>
          <w:u w:val="none"/>
          <w:lang w:val="en-US" w:eastAsia="zh-CN"/>
        </w:rPr>
        <w:t>OpenFOAM的湍流模型构架</w:t>
      </w:r>
    </w:p>
    <w:p>
      <w:pPr>
        <w:pStyle w:val="8"/>
        <w:numPr>
          <w:ilvl w:val="0"/>
          <w:numId w:val="5"/>
        </w:numPr>
        <w:kinsoku w:val="0"/>
        <w:snapToGrid w:val="0"/>
        <w:spacing w:before="156" w:beforeLines="50" w:after="156" w:afterLines="50"/>
        <w:ind w:left="420" w:leftChars="0" w:hanging="42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BasicTurbulenceModel是TurbulenceModel的原则类（既是基类又是模板参数）</w:t>
      </w:r>
    </w:p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 w:firstLine="420" w:firstLineChars="0"/>
        <w:jc w:val="left"/>
        <w:rPr>
          <w:rFonts w:hint="default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BasicTurbulenceModel的可选参数为incompressibleTurbulenceModel和compressibleTurbulenceModel，它们继承自turbulenceModel.</w:t>
      </w:r>
    </w:p>
    <w:p>
      <w:pPr>
        <w:pStyle w:val="8"/>
        <w:numPr>
          <w:ilvl w:val="0"/>
          <w:numId w:val="5"/>
        </w:numPr>
        <w:kinsoku w:val="0"/>
        <w:snapToGrid w:val="0"/>
        <w:spacing w:before="156" w:beforeLines="50" w:after="156" w:afterLines="50"/>
        <w:ind w:left="420" w:leftChars="0" w:hanging="42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TurbulenceModel偏特化后派生出IncompressibleTurbulenceModel和CompressibleTurbuenceModel，它们只有一个模板参数TransportModel</w:t>
      </w:r>
    </w:p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 w:firstLine="42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完全特化incompressibleTurbulenceModel和CompressibleTurbuenceModel：</w:t>
      </w:r>
    </w:p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="399" w:leftChars="190" w:firstLine="0" w:firstLineChars="0"/>
        <w:jc w:val="left"/>
        <w:rPr>
          <w:rFonts w:hint="default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incompressibleTurbulenceModel&lt;transportModel&gt; 等价于incompressible::turbulenceModel</w:t>
      </w:r>
    </w:p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="399" w:leftChars="190" w:firstLine="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ThermalDiffusivity&lt;CompressibleTurbuenceModel&lt;fluidThermo&gt;&gt; 等价于compressible::turbulenceModel</w:t>
      </w:r>
    </w:p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firstLine="400" w:firstLineChars="200"/>
        <w:jc w:val="left"/>
        <w:rPr>
          <w:rFonts w:hint="default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fluidThermo用于描述可压缩流体的热力学模型，继承自basicThermo，派生出两个类：基于可压缩性描述的类psiThermo和基于密度描述的类rhoThermo.</w:t>
      </w:r>
    </w:p>
    <w:p>
      <w:pPr>
        <w:pStyle w:val="8"/>
        <w:numPr>
          <w:ilvl w:val="0"/>
          <w:numId w:val="5"/>
        </w:numPr>
        <w:kinsoku w:val="0"/>
        <w:snapToGrid w:val="0"/>
        <w:spacing w:before="156" w:beforeLines="50" w:after="156" w:afterLines="50"/>
        <w:ind w:left="420" w:leftChars="0" w:hanging="42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BasicTurbulenceModel是laminarModel、RASModel和LESModel的原则类</w:t>
      </w:r>
    </w:p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 w:firstLine="42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BasicTurbulenceModel的可选参数为incompressible::turbulenceModel和compressible::turbulenceModel.</w:t>
      </w:r>
    </w:p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 w:firstLine="42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PS: 当实例化可压缩的RASModel或LESModel时，BasicTurbulenceModel实际为EddyDiffusivity&lt;compressible::turbulenceModel&gt;.</w:t>
      </w:r>
    </w:p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 w:firstLine="42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如下：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</w:rPr>
              <w:t>//</w:t>
            </w: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</w:t>
            </w: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</w:rPr>
              <w:t>$FOAM_SRC/TurbulenceModels/compressible/turbulentFluidThermoModels/turbulentFluidThermoModels.C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268BD2"/>
                <w:spacing w:val="0"/>
                <w:sz w:val="16"/>
                <w:szCs w:val="16"/>
                <w:shd w:val="clear" w:fill="F8F5EC"/>
              </w:rPr>
              <w:t>makeBaseTurbulenceModel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>(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</w:pPr>
            <w:r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 xml:space="preserve">    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268BD2"/>
                <w:spacing w:val="0"/>
                <w:sz w:val="16"/>
                <w:szCs w:val="16"/>
                <w:shd w:val="clear" w:fill="F8F5EC"/>
              </w:rPr>
              <w:t>geometricOneField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</w:pPr>
            <w:r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 xml:space="preserve">    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268BD2"/>
                <w:spacing w:val="0"/>
                <w:sz w:val="16"/>
                <w:szCs w:val="16"/>
                <w:shd w:val="clear" w:fill="F8F5EC"/>
              </w:rPr>
              <w:t>volScalarField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</w:pPr>
            <w:r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 xml:space="preserve">    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268BD2"/>
                <w:spacing w:val="0"/>
                <w:sz w:val="16"/>
                <w:szCs w:val="16"/>
                <w:shd w:val="clear" w:fill="F8F5EC"/>
              </w:rPr>
              <w:t>compressibleTurbulenceModel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</w:pPr>
            <w:r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 xml:space="preserve">    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268BD2"/>
                <w:spacing w:val="0"/>
                <w:sz w:val="16"/>
                <w:szCs w:val="16"/>
                <w:shd w:val="clear" w:fill="F8F5EC"/>
              </w:rPr>
              <w:t>CompressibleTurbulenceModel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</w:pPr>
            <w:r>
              <w:rPr>
                <w:rStyle w:val="7"/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 xml:space="preserve">    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268BD2"/>
                <w:spacing w:val="0"/>
                <w:sz w:val="16"/>
                <w:szCs w:val="16"/>
                <w:shd w:val="clear" w:fill="F8F5EC"/>
              </w:rPr>
              <w:t>ThermalDiffusivity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>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380"/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268BD2"/>
                <w:spacing w:val="0"/>
                <w:sz w:val="16"/>
                <w:szCs w:val="16"/>
                <w:shd w:val="clear" w:fill="F8F5EC"/>
              </w:rPr>
              <w:t>fluidThermo</w:t>
            </w:r>
            <w:r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right="0"/>
              <w:rPr>
                <w:rFonts w:hint="eastAsia" w:ascii="等距更纱黑体 SC" w:hAnsi="等距更纱黑体 SC" w:eastAsia="等距更纱黑体 SC" w:cs="等距更纱黑体 SC"/>
                <w:i w:val="0"/>
                <w:caps w:val="0"/>
                <w:color w:val="C7254E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</w:rPr>
              <w:t>//</w:t>
            </w: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宏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</w:rPr>
              <w:t>//</w:t>
            </w: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</w:t>
            </w: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</w:rPr>
              <w:t>$FOAM_SRC/TurbulenceModel/compressible/turbulentFluidThermoModels/makeTurbulenceModel.H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>#define makeTurbulenceModelTypes(                              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Alpha, Rho, baseModel, BaseModel, TDModel, Transport)      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namespace Foam                                             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{                                                          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    typedef TDModel&lt;BaseModel&lt;Transport&gt;&gt;                  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        Transport##BaseModel;                              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    typedef laminarModel&lt;Transport##BaseModel&gt;             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        laminar##Transport##BaseModel;                     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    typedef RASModel&lt;EddyDiffusivity&lt;Transport##BaseModel&gt;&gt;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        RAS##Transport##BaseModel;                         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    typedef LESModel&lt;EddyDiffusivity&lt;Transport##BaseModel&gt;&gt;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        LES##Transport##BaseModel;                             \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default" w:ascii="Consolas" w:hAnsi="Consolas" w:eastAsia="Consolas" w:cs="Consolas"/>
                <w:i/>
                <w:caps w:val="0"/>
                <w:color w:val="93A1A1"/>
                <w:spacing w:val="0"/>
                <w:sz w:val="19"/>
                <w:szCs w:val="19"/>
                <w:shd w:val="clear" w:fill="F8F5EC"/>
                <w:lang w:val="en-US" w:eastAsia="zh-CN"/>
              </w:rPr>
            </w:pPr>
            <w:r>
              <w:rPr>
                <w:rFonts w:hint="eastAsia" w:ascii="等距更纱黑体 SC" w:hAnsi="等距更纱黑体 SC" w:eastAsia="等距更纱黑体 SC" w:cs="等距更纱黑体 SC"/>
                <w:i/>
                <w:caps w:val="0"/>
                <w:color w:val="93A1A1"/>
                <w:spacing w:val="0"/>
                <w:sz w:val="16"/>
                <w:szCs w:val="16"/>
                <w:shd w:val="clear" w:fill="F8F5EC"/>
                <w:lang w:val="en-US" w:eastAsia="zh-CN"/>
              </w:rPr>
              <w:t xml:space="preserve">    }</w:t>
            </w:r>
          </w:p>
        </w:tc>
      </w:tr>
    </w:tbl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 w:firstLine="42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宏命令展开后，会定义4个类，分别是：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7"/>
          <w:rFonts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8F5EC"/>
        </w:rPr>
        <w:t>fluidThermoCompressibleTurbulenceModel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8F5EC"/>
        </w:rPr>
        <w:t>laminarfluidThermoCompressibleTurbulenceModel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sz w:val="20"/>
          <w:szCs w:val="20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8F5EC"/>
        </w:rPr>
        <w:t>RASfluidThermoCompressibleTurbulenceModel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等距更纱黑体 SC" w:hAnsi="等距更纱黑体 SC" w:eastAsia="等距更纱黑体 SC" w:cs="等距更纱黑体 SC"/>
          <w:b w:val="0"/>
          <w:bCs/>
          <w:sz w:val="20"/>
          <w:szCs w:val="20"/>
          <w:u w:val="none"/>
          <w:lang w:val="en-US" w:eastAsia="zh-CN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C7254E"/>
          <w:spacing w:val="0"/>
          <w:sz w:val="20"/>
          <w:szCs w:val="20"/>
          <w:shd w:val="clear" w:fill="F8F5EC"/>
        </w:rPr>
        <w:t>LESfluidThermoCompressibleTurbulenceModel</w:t>
      </w:r>
    </w:p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 w:firstLine="420" w:firstLineChars="0"/>
        <w:jc w:val="left"/>
        <w:rPr>
          <w:rFonts w:hint="default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default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OpenFOAM通过一个返回autoPtr&lt;incompressible::turbulenceModel&gt;</w:t>
      </w: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(或</w:t>
      </w:r>
      <w:r>
        <w:rPr>
          <w:rFonts w:hint="default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autoPtr&lt;compressible::turbulenceModel&gt;</w:t>
      </w: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)</w:t>
      </w:r>
      <w:r>
        <w:rPr>
          <w:rFonts w:hint="default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的selector，实现了运行时选择，从字典文件读取关键字并构造对应的湍流模型实例</w:t>
      </w: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.</w:t>
      </w:r>
    </w:p>
    <w:p>
      <w:pPr>
        <w:pStyle w:val="8"/>
        <w:numPr>
          <w:ilvl w:val="0"/>
          <w:numId w:val="5"/>
        </w:numPr>
        <w:kinsoku w:val="0"/>
        <w:snapToGrid w:val="0"/>
        <w:spacing w:before="156" w:beforeLines="50" w:after="156" w:afterLines="50"/>
        <w:ind w:left="420" w:leftChars="0" w:hanging="42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所有具体的流动模型都可以看作是由laminarModel、RASModel或LESModel派生出来的类</w:t>
      </w:r>
    </w:p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 w:firstLine="42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如Stokes: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default" w:ascii="Consolas" w:hAnsi="Consolas" w:eastAsia="Consolas" w:cs="Consolas"/>
                <w:i/>
                <w:caps w:val="0"/>
                <w:color w:val="93A1A1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/>
                <w:caps w:val="0"/>
                <w:color w:val="93A1A1"/>
                <w:spacing w:val="0"/>
                <w:sz w:val="19"/>
                <w:szCs w:val="19"/>
                <w:shd w:val="clear" w:fill="F8F5EC"/>
              </w:rPr>
              <w:t>//$FOAM_SRC/TurbulenceModels/turbulenceModels/laminar/Stokes/Stokes.H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59900"/>
                <w:spacing w:val="0"/>
                <w:sz w:val="19"/>
                <w:szCs w:val="19"/>
                <w:shd w:val="clear" w:fill="F8F5EC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59900"/>
                <w:spacing w:val="0"/>
                <w:sz w:val="19"/>
                <w:szCs w:val="19"/>
                <w:shd w:val="clear" w:fill="F8F5EC"/>
              </w:rPr>
              <w:t>class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B4B16"/>
                <w:spacing w:val="0"/>
                <w:sz w:val="19"/>
                <w:szCs w:val="19"/>
                <w:shd w:val="clear" w:fill="F8F5EC"/>
              </w:rPr>
              <w:t>BasicTurbulenceModel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eastAsia" w:ascii="Consolas" w:hAnsi="Consolas" w:eastAsia="宋体" w:cs="Consolas"/>
                <w:i w:val="0"/>
                <w:caps w:val="0"/>
                <w:color w:val="CB4B16"/>
                <w:spacing w:val="0"/>
                <w:sz w:val="19"/>
                <w:szCs w:val="19"/>
                <w:shd w:val="clear" w:fill="F8F5EC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59900"/>
                <w:spacing w:val="0"/>
                <w:sz w:val="19"/>
                <w:szCs w:val="19"/>
                <w:shd w:val="clear" w:fill="F8F5EC"/>
              </w:rPr>
              <w:t>class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 xml:space="preserve"> </w:t>
            </w:r>
            <w:r>
              <w:rPr>
                <w:rFonts w:hint="eastAsia" w:ascii="Consolas" w:hAnsi="Consolas" w:eastAsia="宋体" w:cs="Consolas"/>
                <w:i w:val="0"/>
                <w:caps w:val="0"/>
                <w:color w:val="CB4B16"/>
                <w:spacing w:val="0"/>
                <w:sz w:val="19"/>
                <w:szCs w:val="19"/>
                <w:shd w:val="clear" w:fill="F8F5EC"/>
                <w:lang w:val="en-US" w:eastAsia="zh-CN"/>
              </w:rPr>
              <w:t>Stokes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380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59900"/>
                <w:spacing w:val="0"/>
                <w:sz w:val="19"/>
                <w:szCs w:val="19"/>
                <w:shd w:val="clear" w:fill="F8F5EC"/>
              </w:rPr>
              <w:t>public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68BD2"/>
                <w:spacing w:val="0"/>
                <w:sz w:val="19"/>
                <w:szCs w:val="19"/>
                <w:shd w:val="clear" w:fill="F8F5EC"/>
              </w:rPr>
              <w:t>linearViscousStress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68BD2"/>
                <w:spacing w:val="0"/>
                <w:sz w:val="19"/>
                <w:szCs w:val="19"/>
                <w:shd w:val="clear" w:fill="F8F5EC"/>
              </w:rPr>
              <w:t>laminarModel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68BD2"/>
                <w:spacing w:val="0"/>
                <w:sz w:val="19"/>
                <w:szCs w:val="19"/>
                <w:shd w:val="clear" w:fill="F8F5EC"/>
              </w:rPr>
              <w:t>BasicTurbulenceModel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&gt;&gt;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right="0"/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default" w:ascii="等距更纱黑体 SC" w:hAnsi="等距更纱黑体 SC" w:eastAsia="等距更纱黑体 SC" w:cs="等距更纱黑体 SC"/>
                <w:b w:val="0"/>
                <w:bCs/>
                <w:sz w:val="16"/>
                <w:szCs w:val="20"/>
                <w:u w:val="none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aps w:val="0"/>
                <w:color w:val="93A1A1"/>
                <w:spacing w:val="0"/>
                <w:sz w:val="19"/>
                <w:szCs w:val="19"/>
                <w:shd w:val="clear" w:fill="F8F5EC"/>
              </w:rPr>
              <w:t>// ...</w:t>
            </w:r>
          </w:p>
        </w:tc>
      </w:tr>
    </w:tbl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 w:firstLine="420" w:firstLineChars="0"/>
        <w:jc w:val="left"/>
        <w:rPr>
          <w:rFonts w:hint="default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  <w:r>
        <w:rPr>
          <w:rFonts w:hint="default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linearViscousStress</w:t>
      </w:r>
      <w:r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  <w:t>也是基于原则设计的类，继承自模板参数laminarModel.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default" w:ascii="Consolas" w:hAnsi="Consolas" w:eastAsia="Consolas" w:cs="Consolas"/>
                <w:i/>
                <w:caps w:val="0"/>
                <w:color w:val="93A1A1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/>
                <w:caps w:val="0"/>
                <w:color w:val="93A1A1"/>
                <w:spacing w:val="0"/>
                <w:sz w:val="19"/>
                <w:szCs w:val="19"/>
                <w:shd w:val="clear" w:fill="F8F5EC"/>
              </w:rPr>
              <w:t>//$FOAM_SRC/TurbulenceModels/turbulenceModels/linearViscousStress/linearViscousStress.H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59900"/>
                <w:spacing w:val="0"/>
                <w:sz w:val="19"/>
                <w:szCs w:val="19"/>
                <w:shd w:val="clear" w:fill="F8F5EC"/>
              </w:rPr>
              <w:t>template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59900"/>
                <w:spacing w:val="0"/>
                <w:sz w:val="19"/>
                <w:szCs w:val="19"/>
                <w:shd w:val="clear" w:fill="F8F5EC"/>
              </w:rPr>
              <w:t>class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B4B16"/>
                <w:spacing w:val="0"/>
                <w:sz w:val="19"/>
                <w:szCs w:val="19"/>
                <w:shd w:val="clear" w:fill="F8F5EC"/>
              </w:rPr>
              <w:t>BasicTurbulenceModel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&gt;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default" w:ascii="Consolas" w:hAnsi="Consolas" w:eastAsia="Consolas" w:cs="Consolas"/>
                <w:i w:val="0"/>
                <w:caps w:val="0"/>
                <w:color w:val="CB4B16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59900"/>
                <w:spacing w:val="0"/>
                <w:sz w:val="19"/>
                <w:szCs w:val="19"/>
                <w:shd w:val="clear" w:fill="F8F5EC"/>
              </w:rPr>
              <w:t>class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CB4B16"/>
                <w:spacing w:val="0"/>
                <w:sz w:val="19"/>
                <w:szCs w:val="19"/>
                <w:shd w:val="clear" w:fill="F8F5EC"/>
              </w:rPr>
              <w:t>linearViscousStress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: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380"/>
              <w:rPr>
                <w:rFonts w:hint="default" w:ascii="Consolas" w:hAnsi="Consolas" w:eastAsia="Consolas" w:cs="Consolas"/>
                <w:i w:val="0"/>
                <w:caps w:val="0"/>
                <w:color w:val="268BD2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859900"/>
                <w:spacing w:val="0"/>
                <w:sz w:val="19"/>
                <w:szCs w:val="19"/>
                <w:shd w:val="clear" w:fill="F8F5EC"/>
              </w:rPr>
              <w:t>public</w:t>
            </w: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 xml:space="preserve"> 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268BD2"/>
                <w:spacing w:val="0"/>
                <w:sz w:val="19"/>
                <w:szCs w:val="19"/>
                <w:shd w:val="clear" w:fill="F8F5EC"/>
              </w:rPr>
              <w:t>BasicTurbulenceModel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right="0"/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8F5EC"/>
              <w:spacing w:before="0" w:beforeAutospacing="0" w:after="0" w:afterAutospacing="0"/>
              <w:ind w:left="0" w:right="0" w:firstLine="0"/>
              <w:rPr>
                <w:rFonts w:hint="default" w:ascii="等距更纱黑体 SC" w:hAnsi="等距更纱黑体 SC" w:eastAsia="等距更纱黑体 SC" w:cs="等距更纱黑体 SC"/>
                <w:b w:val="0"/>
                <w:bCs/>
                <w:sz w:val="20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Style w:val="7"/>
                <w:rFonts w:hint="default" w:ascii="Consolas" w:hAnsi="Consolas" w:eastAsia="Consolas" w:cs="Consolas"/>
                <w:i w:val="0"/>
                <w:caps w:val="0"/>
                <w:color w:val="C7254E"/>
                <w:spacing w:val="0"/>
                <w:sz w:val="19"/>
                <w:szCs w:val="19"/>
                <w:shd w:val="clear" w:fill="F8F5EC"/>
              </w:rPr>
              <w:t xml:space="preserve">    </w:t>
            </w:r>
            <w:r>
              <w:rPr>
                <w:rFonts w:hint="default" w:ascii="Consolas" w:hAnsi="Consolas" w:eastAsia="Consolas" w:cs="Consolas"/>
                <w:i/>
                <w:caps w:val="0"/>
                <w:color w:val="93A1A1"/>
                <w:spacing w:val="0"/>
                <w:sz w:val="19"/>
                <w:szCs w:val="19"/>
                <w:shd w:val="clear" w:fill="F8F5EC"/>
              </w:rPr>
              <w:t>// ...</w:t>
            </w:r>
          </w:p>
        </w:tc>
      </w:tr>
    </w:tbl>
    <w:p>
      <w:pPr>
        <w:pStyle w:val="8"/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/>
          <w:sz w:val="20"/>
          <w:szCs w:val="22"/>
          <w:u w:val="none"/>
          <w:lang w:val="en-US" w:eastAsia="zh-CN"/>
        </w:rPr>
      </w:pP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Cs/>
          <w:sz w:val="20"/>
          <w:szCs w:val="22"/>
        </w:rPr>
      </w:pP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  <w:br w:type="page"/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  <w:t>icoFoam</w:t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adjustPhi()</w:t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当压力入口和出口边界条件都是Neumann边界条件时可能会遇到两个问题：</w:t>
      </w:r>
    </w:p>
    <w:p>
      <w:pPr>
        <w:numPr>
          <w:ilvl w:val="0"/>
          <w:numId w:val="7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sz w:val="18"/>
          <w:szCs w:val="21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方程系数矩阵奇异，有无穷多个解；</w:t>
      </w:r>
    </w:p>
    <w:p>
      <w:pPr>
        <w:numPr>
          <w:ilvl w:val="0"/>
          <w:numId w:val="7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color w:val="000000"/>
          <w:sz w:val="19"/>
          <w:szCs w:val="19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>方程相容性问题，需要adjustPhi();</w:t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color w:val="FF0000"/>
          <w:sz w:val="18"/>
          <w:szCs w:val="18"/>
          <w:shd w:val="clear" w:color="auto" w:fill="F9F9F9"/>
        </w:rPr>
      </w:pPr>
      <w:r>
        <w:rPr>
          <w:rFonts w:hint="eastAsia" w:ascii="等距更纱黑体 SC" w:hAnsi="等距更纱黑体 SC" w:eastAsia="等距更纱黑体 SC" w:cs="等距更纱黑体 SC"/>
          <w:color w:val="FF0000"/>
          <w:sz w:val="18"/>
          <w:szCs w:val="18"/>
          <w:shd w:val="clear" w:color="auto" w:fill="F9F9F9"/>
        </w:rPr>
        <w:t>adjusts the inlet and outlet fluxes to obey continuity, which is necessary for creating a well-posed problem where a solution for pressure exists.</w:t>
      </w:r>
      <w:r>
        <w:rPr>
          <w:rFonts w:hint="eastAsia" w:ascii="等距更纱黑体 SC" w:hAnsi="等距更纱黑体 SC" w:eastAsia="等距更纱黑体 SC" w:cs="等距更纱黑体 SC"/>
          <w:color w:val="FF0000"/>
          <w:sz w:val="18"/>
          <w:szCs w:val="18"/>
          <w:shd w:val="clear" w:color="auto" w:fill="F9F9F9"/>
        </w:rPr>
        <w:tab/>
      </w: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color w:val="FF0000"/>
          <w:sz w:val="18"/>
          <w:szCs w:val="18"/>
          <w:shd w:val="clear" w:color="auto" w:fill="F9F9F9"/>
        </w:rPr>
      </w:pPr>
    </w:p>
    <w:p>
      <w:p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  <w:t>其他</w:t>
      </w:r>
    </w:p>
    <w:p>
      <w:pPr>
        <w:numPr>
          <w:ilvl w:val="0"/>
          <w:numId w:val="8"/>
        </w:numPr>
        <w:kinsoku w:val="0"/>
        <w:snapToGrid w:val="0"/>
        <w:spacing w:before="156" w:beforeLines="50" w:after="156" w:afterLines="50"/>
        <w:ind w:left="0" w:firstLine="0"/>
        <w:jc w:val="left"/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Remember, </w:t>
      </w:r>
      <w:r>
        <w:rPr>
          <w:rFonts w:hint="eastAsia" w:ascii="等距更纱黑体 SC" w:hAnsi="等距更纱黑体 SC" w:eastAsia="等距更纱黑体 SC" w:cs="等距更纱黑体 SC"/>
          <w:b/>
          <w:bCs/>
          <w:sz w:val="18"/>
          <w:szCs w:val="21"/>
        </w:rPr>
        <w:t>nNonOrthogonalCorrectors</w:t>
      </w:r>
      <w:r>
        <w:rPr>
          <w:rFonts w:hint="eastAsia" w:ascii="等距更纱黑体 SC" w:hAnsi="等距更纱黑体 SC" w:eastAsia="等距更纱黑体 SC" w:cs="等距更纱黑体 SC"/>
          <w:sz w:val="18"/>
          <w:szCs w:val="21"/>
        </w:rPr>
        <w:t xml:space="preserve"> is used to improve the gradient computation due to mesh quality.</w:t>
      </w:r>
    </w:p>
    <w:p>
      <w:pPr>
        <w:numPr>
          <w:ilvl w:val="0"/>
          <w:numId w:val="8"/>
        </w:numPr>
        <w:kinsoku w:val="0"/>
        <w:snapToGrid w:val="0"/>
        <w:spacing w:before="156" w:beforeLines="50" w:after="156" w:afterLines="50"/>
        <w:ind w:left="0" w:firstLine="0"/>
        <w:jc w:val="left"/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  <w:lang w:val="en-US" w:eastAsia="zh-CN"/>
        </w:rPr>
        <w:t>geometricField&lt;type&gt;</w:t>
      </w:r>
    </w:p>
    <w:p>
      <w:pPr>
        <w:numPr>
          <w:ilvl w:val="0"/>
          <w:numId w:val="9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 xml:space="preserve">Internal Field: simplely a </w:t>
      </w: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  <w:lang w:val="en-US" w:eastAsia="zh-CN"/>
        </w:rPr>
        <w:t>Field&lt;type&gt;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 xml:space="preserve"> i.e. </w:t>
      </w: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  <w:lang w:val="en-US" w:eastAsia="zh-CN"/>
        </w:rPr>
        <w:t>scalarField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 xml:space="preserve">, </w:t>
      </w: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  <w:lang w:val="en-US" w:eastAsia="zh-CN"/>
        </w:rPr>
        <w:t xml:space="preserve">vectorField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>etc.</w:t>
      </w:r>
    </w:p>
    <w:p>
      <w:pPr>
        <w:numPr>
          <w:ilvl w:val="0"/>
          <w:numId w:val="9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 xml:space="preserve">Boundary Field: </w:t>
      </w:r>
      <w:r>
        <w:rPr>
          <w:rFonts w:hint="eastAsia" w:ascii="等距更纱黑体 SC" w:hAnsi="等距更纱黑体 SC" w:eastAsia="等距更纱黑体 SC" w:cs="等距更纱黑体 SC"/>
          <w:b/>
          <w:bCs/>
          <w:i w:val="0"/>
          <w:iCs w:val="0"/>
          <w:sz w:val="20"/>
          <w:szCs w:val="22"/>
          <w:lang w:val="en-US" w:eastAsia="zh-CN"/>
        </w:rPr>
        <w:t xml:space="preserve">GeometricBoundaryField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  <w:t>→</w:t>
      </w:r>
      <w:r>
        <w:rPr>
          <w:rFonts w:hint="eastAsia" w:ascii="等距更纱黑体 SC" w:hAnsi="等距更纱黑体 SC" w:eastAsia="等距更纱黑体 SC" w:cs="等距更纱黑体 SC"/>
          <w:b/>
          <w:bCs/>
          <w:i w:val="0"/>
          <w:iCs w:val="0"/>
          <w:sz w:val="20"/>
          <w:szCs w:val="22"/>
          <w:lang w:val="en-US" w:eastAsia="zh-CN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  <w:t xml:space="preserve">a Field is defined for the faces of each patch and a Field is defined for the patches of the boundary. This is then a field of fields, stored within an object of the </w:t>
      </w:r>
      <w:r>
        <w:rPr>
          <w:rFonts w:hint="eastAsia" w:ascii="等距更纱黑体 SC" w:hAnsi="等距更纱黑体 SC" w:eastAsia="等距更纱黑体 SC" w:cs="等距更纱黑体 SC"/>
          <w:b/>
          <w:bCs/>
          <w:i w:val="0"/>
          <w:iCs w:val="0"/>
          <w:sz w:val="20"/>
          <w:szCs w:val="22"/>
          <w:lang w:val="en-US" w:eastAsia="zh-CN"/>
        </w:rPr>
        <w:t>FieldField&lt;Type&gt;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  <w:t xml:space="preserve"> class. A reference to the </w:t>
      </w:r>
      <w:r>
        <w:rPr>
          <w:rFonts w:hint="eastAsia" w:ascii="等距更纱黑体 SC" w:hAnsi="等距更纱黑体 SC" w:eastAsia="等距更纱黑体 SC" w:cs="等距更纱黑体 SC"/>
          <w:b/>
          <w:bCs/>
          <w:i w:val="0"/>
          <w:iCs w:val="0"/>
          <w:sz w:val="20"/>
          <w:szCs w:val="22"/>
          <w:lang w:val="en-US" w:eastAsia="zh-CN"/>
        </w:rPr>
        <w:t xml:space="preserve">fvBoundaryMesh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  <w:t>is also stored.</w:t>
      </w:r>
    </w:p>
    <w:p>
      <w:pPr>
        <w:numPr>
          <w:ilvl w:val="0"/>
          <w:numId w:val="9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  <w:t>Diemensions</w:t>
      </w:r>
    </w:p>
    <w:p>
      <w:pPr>
        <w:numPr>
          <w:ilvl w:val="0"/>
          <w:numId w:val="9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  <w:t xml:space="preserve">Old Values: The </w:t>
      </w:r>
      <w:r>
        <w:rPr>
          <w:rFonts w:hint="eastAsia" w:ascii="等距更纱黑体 SC" w:hAnsi="等距更纱黑体 SC" w:eastAsia="等距更纱黑体 SC" w:cs="等距更纱黑体 SC"/>
          <w:b/>
          <w:bCs/>
          <w:i w:val="0"/>
          <w:iCs w:val="0"/>
          <w:sz w:val="20"/>
          <w:szCs w:val="22"/>
          <w:lang w:val="en-US" w:eastAsia="zh-CN"/>
        </w:rPr>
        <w:t>geometricField&lt;Type&gt;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  <w:t xml:space="preserve"> will store references to stored fields from the previous, or old, time step and its previous, or old-old, time step where necessary.</w:t>
      </w:r>
    </w:p>
    <w:p>
      <w:pPr>
        <w:numPr>
          <w:ilvl w:val="0"/>
          <w:numId w:val="9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>Previous Iteration Values</w:t>
      </w:r>
    </w:p>
    <w:p>
      <w:pPr>
        <w:numPr>
          <w:ilvl w:val="0"/>
          <w:numId w:val="0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/>
          <w:bCs/>
          <w:i w:val="0"/>
          <w:iCs w:val="0"/>
          <w:sz w:val="20"/>
          <w:szCs w:val="22"/>
          <w:lang w:val="en-US" w:eastAsia="zh-CN"/>
        </w:rPr>
        <w:t>geometricField&lt;type&gt;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  <w:t xml:space="preserve"> equivalents by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/>
          <w:iCs/>
          <w:sz w:val="20"/>
          <w:szCs w:val="22"/>
          <w:lang w:val="en-US" w:eastAsia="zh-CN"/>
        </w:rPr>
        <w:t xml:space="preserve">typedef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  <w:t>declaration:</w:t>
      </w:r>
    </w:p>
    <w:p>
      <w:pPr>
        <w:numPr>
          <w:ilvl w:val="0"/>
          <w:numId w:val="0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i w:val="0"/>
          <w:iCs w:val="0"/>
          <w:sz w:val="20"/>
          <w:szCs w:val="22"/>
          <w:lang w:val="en-US" w:eastAsia="zh-CN"/>
        </w:rPr>
        <w:t>volField&lt;type&gt;, surfaceField&lt;type&gt;, pointField&lt;type&gt;</w:t>
      </w:r>
    </w:p>
    <w:p>
      <w:pPr>
        <w:numPr>
          <w:ilvl w:val="0"/>
          <w:numId w:val="8"/>
        </w:numPr>
        <w:kinsoku w:val="0"/>
        <w:snapToGrid w:val="0"/>
        <w:spacing w:before="156" w:beforeLines="50" w:after="156" w:afterLines="50"/>
        <w:ind w:left="0" w:firstLine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  <w:lang w:val="en-US" w:eastAsia="zh-CN"/>
        </w:rPr>
        <w:t>sampleDict</w:t>
      </w:r>
    </w:p>
    <w:p>
      <w:pPr>
        <w:numPr>
          <w:ilvl w:val="0"/>
          <w:numId w:val="10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i/>
          <w:iCs/>
          <w:sz w:val="20"/>
          <w:szCs w:val="22"/>
        </w:rPr>
        <w:t xml:space="preserve">sampleDict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</w:rPr>
        <w:t xml:space="preserve">is read by the utility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/>
          <w:iCs/>
          <w:sz w:val="20"/>
          <w:szCs w:val="22"/>
        </w:rPr>
        <w:t>postProcess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</w:rPr>
        <w:t>. This utility sample field</w:t>
      </w:r>
    </w:p>
    <w:p>
      <w:pPr>
        <w:numPr>
          <w:ilvl w:val="0"/>
          <w:numId w:val="0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</w:rPr>
        <w:t>data (points, lines or surfaces).</w:t>
      </w:r>
    </w:p>
    <w:p>
      <w:pPr>
        <w:numPr>
          <w:ilvl w:val="0"/>
          <w:numId w:val="10"/>
        </w:numPr>
        <w:kinsoku w:val="0"/>
        <w:snapToGrid w:val="0"/>
        <w:spacing w:before="156" w:beforeLines="50" w:after="156" w:afterLines="50"/>
        <w:ind w:left="0" w:leftChars="0" w:firstLine="0" w:firstLine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 xml:space="preserve">For details on how to sample, see p117 on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i/>
          <w:iCs/>
          <w:sz w:val="20"/>
          <w:szCs w:val="22"/>
          <w:lang w:val="en-US" w:eastAsia="zh-CN"/>
        </w:rPr>
        <w:t>OpenFOAM Tutorials-Wolf Dynamics.</w:t>
      </w:r>
    </w:p>
    <w:p>
      <w:pPr>
        <w:numPr>
          <w:ilvl w:val="0"/>
          <w:numId w:val="8"/>
        </w:numPr>
        <w:kinsoku w:val="0"/>
        <w:snapToGrid w:val="0"/>
        <w:spacing w:before="156" w:beforeLines="50" w:after="156" w:afterLines="50"/>
        <w:ind w:left="0" w:firstLine="0"/>
        <w:jc w:val="left"/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/>
          <w:bCs/>
          <w:sz w:val="20"/>
          <w:szCs w:val="22"/>
          <w:lang w:val="en-US" w:eastAsia="zh-CN"/>
        </w:rPr>
        <w:t>VoF Model</w:t>
      </w:r>
    </w:p>
    <w:p>
      <w:pPr>
        <w:numPr>
          <w:ilvl w:val="0"/>
          <w:numId w:val="11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/>
        </w:rPr>
        <w:t>The set of equations of the volume-of-fluid method is in principle equivalent with the set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/>
        </w:rPr>
        <w:t>of equations of the homogeneous model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>.</w:t>
      </w:r>
    </w:p>
    <w:p>
      <w:pPr>
        <w:numPr>
          <w:ilvl w:val="0"/>
          <w:numId w:val="11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/>
        </w:rPr>
        <w:t>The homogeneous model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 xml:space="preserve"> assumes the phases move with the same velocity(mechanical equilibrium), the relative velocity is zero.</w:t>
      </w:r>
    </w:p>
    <w:p>
      <w:pPr>
        <w:numPr>
          <w:ilvl w:val="0"/>
          <w:numId w:val="11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highlight w:val="yellow"/>
          <w:lang w:val="en-US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highlight w:val="yellow"/>
          <w:lang w:val="en-US" w:eastAsia="zh-CN"/>
        </w:rPr>
        <w:t>In VoF, the velocity is center-of-mass velocity, and the density is mixture density.</w:t>
      </w:r>
    </w:p>
    <w:p>
      <w:pPr>
        <w:numPr>
          <w:ilvl w:val="0"/>
          <w:numId w:val="0"/>
        </w:numPr>
        <w:kinsoku w:val="0"/>
        <w:snapToGrid w:val="0"/>
        <w:spacing w:before="156" w:beforeLines="50" w:after="156" w:afterLines="5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highlight w:val="yellow"/>
          <w:lang w:val="en-US" w:eastAsia="zh-CN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highlight w:val="yellow"/>
          <w:lang w:val="en-US" w:eastAsia="zh-CN"/>
        </w:rPr>
        <w:t>PS: 存疑，Description and utilization of interFoam multiphase solver 定义 effective fluid velocity 为 weighted average velocity.</w:t>
      </w:r>
    </w:p>
    <w:p>
      <w:pPr>
        <w:numPr>
          <w:ilvl w:val="0"/>
          <w:numId w:val="11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>But in homogeneous model, the center-of-mass velocity equals to the phase velocity(physical velocity, not volume-average velocity).</w:t>
      </w:r>
    </w:p>
    <w:p>
      <w:pPr>
        <w:numPr>
          <w:ilvl w:val="0"/>
          <w:numId w:val="11"/>
        </w:numPr>
        <w:kinsoku w:val="0"/>
        <w:snapToGrid w:val="0"/>
        <w:spacing w:before="156" w:beforeLines="50" w:after="156" w:afterLines="50"/>
        <w:ind w:leftChars="0"/>
        <w:jc w:val="left"/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</w:rPr>
      </w:pP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/>
        </w:rPr>
        <w:t>Two inmiscible fluids are considered as one effective fluid throughout the domain</w:t>
      </w:r>
      <w:r>
        <w:rPr>
          <w:rFonts w:hint="eastAsia" w:ascii="等距更纱黑体 SC" w:hAnsi="等距更纱黑体 SC" w:eastAsia="等距更纱黑体 SC" w:cs="等距更纱黑体 SC"/>
          <w:b w:val="0"/>
          <w:bCs w:val="0"/>
          <w:sz w:val="20"/>
          <w:szCs w:val="22"/>
          <w:lang w:val="en-US" w:eastAsia="zh-CN"/>
        </w:rPr>
        <w:t>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距更纱黑体 SC">
    <w:panose1 w:val="02000509000000000000"/>
    <w:charset w:val="86"/>
    <w:family w:val="auto"/>
    <w:pitch w:val="default"/>
    <w:sig w:usb0="E00002FF" w:usb1="7ACFFDFF" w:usb2="00040016" w:usb3="00000000" w:csb0="2004011F" w:csb1="C4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E307EE"/>
    <w:multiLevelType w:val="multilevel"/>
    <w:tmpl w:val="9BE307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D16E6050"/>
    <w:multiLevelType w:val="singleLevel"/>
    <w:tmpl w:val="D16E6050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F56E09C"/>
    <w:multiLevelType w:val="multilevel"/>
    <w:tmpl w:val="DF56E0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FB7E74CB"/>
    <w:multiLevelType w:val="singleLevel"/>
    <w:tmpl w:val="FB7E74CB"/>
    <w:lvl w:ilvl="0" w:tentative="0">
      <w:start w:val="1"/>
      <w:numFmt w:val="decimal"/>
      <w:suff w:val="space"/>
      <w:lvlText w:val="%1)"/>
      <w:lvlJc w:val="left"/>
    </w:lvl>
  </w:abstractNum>
  <w:abstractNum w:abstractNumId="4">
    <w:nsid w:val="FBF6C18C"/>
    <w:multiLevelType w:val="singleLevel"/>
    <w:tmpl w:val="FBF6C18C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AFFDCC"/>
    <w:multiLevelType w:val="singleLevel"/>
    <w:tmpl w:val="FFAFFDCC"/>
    <w:lvl w:ilvl="0" w:tentative="0">
      <w:start w:val="1"/>
      <w:numFmt w:val="decimal"/>
      <w:suff w:val="nothing"/>
      <w:lvlText w:val="%1）"/>
      <w:lvlJc w:val="left"/>
    </w:lvl>
  </w:abstractNum>
  <w:abstractNum w:abstractNumId="6">
    <w:nsid w:val="25653CA5"/>
    <w:multiLevelType w:val="multilevel"/>
    <w:tmpl w:val="25653CA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2BBB72B"/>
    <w:multiLevelType w:val="singleLevel"/>
    <w:tmpl w:val="32BBB72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3B5E6C6C"/>
    <w:multiLevelType w:val="singleLevel"/>
    <w:tmpl w:val="3B5E6C6C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77333BB4"/>
    <w:multiLevelType w:val="multilevel"/>
    <w:tmpl w:val="77333BB4"/>
    <w:lvl w:ilvl="0" w:tentative="0">
      <w:start w:val="3"/>
      <w:numFmt w:val="bullet"/>
      <w:lvlText w:val=""/>
      <w:lvlJc w:val="left"/>
      <w:pPr>
        <w:ind w:left="360" w:hanging="360"/>
      </w:pPr>
      <w:rPr>
        <w:rFonts w:hint="default" w:ascii="Wingdings" w:hAnsi="Wingdings" w:eastAsia="Noto Sans CJK SC" w:cs="Noto Sans CJK S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0">
    <w:nsid w:val="7DDF9FB1"/>
    <w:multiLevelType w:val="singleLevel"/>
    <w:tmpl w:val="7DDF9FB1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2"/>
  </w:num>
  <w:num w:numId="3">
    <w:abstractNumId w:val="10"/>
  </w:num>
  <w:num w:numId="4">
    <w:abstractNumId w:val="9"/>
  </w:num>
  <w:num w:numId="5">
    <w:abstractNumId w:val="6"/>
  </w:num>
  <w:num w:numId="6">
    <w:abstractNumId w:val="0"/>
  </w:num>
  <w:num w:numId="7">
    <w:abstractNumId w:val="5"/>
  </w:num>
  <w:num w:numId="8">
    <w:abstractNumId w:val="7"/>
  </w:num>
  <w:num w:numId="9">
    <w:abstractNumId w:val="4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947CF"/>
    <w:rsid w:val="000459BB"/>
    <w:rsid w:val="00414A84"/>
    <w:rsid w:val="006D3465"/>
    <w:rsid w:val="006D4DE8"/>
    <w:rsid w:val="00843789"/>
    <w:rsid w:val="00AC60D6"/>
    <w:rsid w:val="00AC62BF"/>
    <w:rsid w:val="00B92179"/>
    <w:rsid w:val="00C90DE6"/>
    <w:rsid w:val="00DC720D"/>
    <w:rsid w:val="00F84A9C"/>
    <w:rsid w:val="3BFB617C"/>
    <w:rsid w:val="4A1947CF"/>
    <w:rsid w:val="4FBF1B95"/>
    <w:rsid w:val="576F5E81"/>
    <w:rsid w:val="5D2BBDA7"/>
    <w:rsid w:val="5D7B9537"/>
    <w:rsid w:val="5FF7E4C3"/>
    <w:rsid w:val="5FFD18E9"/>
    <w:rsid w:val="6F5780C5"/>
    <w:rsid w:val="6FFCC5BD"/>
    <w:rsid w:val="75BB88AA"/>
    <w:rsid w:val="7B7FB260"/>
    <w:rsid w:val="7BAEBDA8"/>
    <w:rsid w:val="7DFDF264"/>
    <w:rsid w:val="7F7DF3B7"/>
    <w:rsid w:val="AF196D99"/>
    <w:rsid w:val="B3B314A5"/>
    <w:rsid w:val="B7BFF49F"/>
    <w:rsid w:val="BBC1D0B2"/>
    <w:rsid w:val="BFBFEEED"/>
    <w:rsid w:val="CAFC246B"/>
    <w:rsid w:val="DBF4A0C3"/>
    <w:rsid w:val="DD3F22DE"/>
    <w:rsid w:val="DFDE4383"/>
    <w:rsid w:val="EF998365"/>
    <w:rsid w:val="F137959B"/>
    <w:rsid w:val="F9FFD4F9"/>
    <w:rsid w:val="FAFFB0EB"/>
    <w:rsid w:val="FBD3D48B"/>
    <w:rsid w:val="FCA5A901"/>
    <w:rsid w:val="FEFDEAE8"/>
    <w:rsid w:val="FFFFE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1131</Words>
  <Characters>6453</Characters>
  <Lines>53</Lines>
  <Paragraphs>15</Paragraphs>
  <TotalTime>312</TotalTime>
  <ScaleCrop>false</ScaleCrop>
  <LinksUpToDate>false</LinksUpToDate>
  <CharactersWithSpaces>7569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2020-02-13T11:31:00Z</dcterms:created>
  <dc:creator>d</dc:creator>
  <cp:lastModifiedBy>bt</cp:lastModifiedBy>
  <dcterms:modified xsi:type="dcterms:W3CDTF">2020-04-08T22:44:21Z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