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color w:val="000000"/>
          <w:sz w:val="20"/>
          <w:szCs w:val="20"/>
        </w:rPr>
      </w:pPr>
      <w:r w:rsidDel="00000000" w:rsidR="00000000" w:rsidRPr="00000000">
        <w:rPr>
          <w:rFonts w:ascii="Arial" w:cs="Arial" w:eastAsia="Arial" w:hAnsi="Arial"/>
          <w:color w:val="ffffff"/>
          <w:sz w:val="30"/>
          <w:szCs w:val="30"/>
        </w:rPr>
        <w:drawing>
          <wp:anchor allowOverlap="1" behindDoc="1" distB="0" distT="0" distL="0" distR="0" hidden="0" layoutInCell="1" locked="0" relativeHeight="0" simplePos="0">
            <wp:simplePos x="0" y="0"/>
            <wp:positionH relativeFrom="page">
              <wp:posOffset>454660</wp:posOffset>
            </wp:positionH>
            <wp:positionV relativeFrom="page">
              <wp:posOffset>450215</wp:posOffset>
            </wp:positionV>
            <wp:extent cx="6838950" cy="640398"/>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38950" cy="640398"/>
                    </a:xfrm>
                    <a:prstGeom prst="rect"/>
                    <a:ln/>
                  </pic:spPr>
                </pic:pic>
              </a:graphicData>
            </a:graphic>
          </wp:anchor>
        </w:drawing>
      </w:r>
      <w:r w:rsidDel="00000000" w:rsidR="00000000" w:rsidRPr="00000000">
        <w:rPr>
          <w:rFonts w:ascii="Arial" w:cs="Arial" w:eastAsia="Arial" w:hAnsi="Arial"/>
          <w:color w:val="ffffff"/>
          <w:sz w:val="30"/>
          <w:szCs w:val="30"/>
          <w:rtl w:val="0"/>
        </w:rPr>
        <w:t xml:space="preserve">Avenue Supermarts Ltd</w:t>
      </w:r>
      <w:r w:rsidDel="00000000" w:rsidR="00000000" w:rsidRPr="00000000">
        <w:rPr>
          <w:rtl w:val="0"/>
        </w:rPr>
      </w:r>
    </w:p>
    <w:p w:rsidR="00000000" w:rsidDel="00000000" w:rsidP="00000000" w:rsidRDefault="00000000" w:rsidRPr="00000000" w14:paraId="00000002">
      <w:pPr>
        <w:spacing w:after="0" w:line="312" w:lineRule="auto"/>
        <w:rPr>
          <w:color w:val="000000"/>
          <w:sz w:val="24"/>
          <w:szCs w:val="24"/>
        </w:rPr>
      </w:pPr>
      <w:r w:rsidDel="00000000" w:rsidR="00000000" w:rsidRPr="00000000">
        <w:rPr>
          <w:rtl w:val="0"/>
        </w:rPr>
      </w:r>
    </w:p>
    <w:p w:rsidR="00000000" w:rsidDel="00000000" w:rsidP="00000000" w:rsidRDefault="00000000" w:rsidRPr="00000000" w14:paraId="00000003">
      <w:pPr>
        <w:tabs>
          <w:tab w:val="left" w:leader="none" w:pos="1540"/>
        </w:tabs>
        <w:spacing w:after="0" w:lineRule="auto"/>
        <w:rPr>
          <w:color w:val="000000"/>
          <w:sz w:val="20"/>
          <w:szCs w:val="20"/>
        </w:rPr>
      </w:pPr>
      <w:r w:rsidDel="00000000" w:rsidR="00000000" w:rsidRPr="00000000">
        <w:rPr>
          <w:rFonts w:ascii="Arial" w:cs="Arial" w:eastAsia="Arial" w:hAnsi="Arial"/>
          <w:color w:val="ffffff"/>
          <w:sz w:val="15"/>
          <w:szCs w:val="15"/>
          <w:rtl w:val="0"/>
        </w:rPr>
        <w:t xml:space="preserve">BSE: 540376</w:t>
      </w:r>
      <w:r w:rsidDel="00000000" w:rsidR="00000000" w:rsidRPr="00000000">
        <w:rPr>
          <w:color w:val="000000"/>
          <w:sz w:val="20"/>
          <w:szCs w:val="20"/>
          <w:rtl w:val="0"/>
        </w:rPr>
        <w:tab/>
      </w:r>
      <w:r w:rsidDel="00000000" w:rsidR="00000000" w:rsidRPr="00000000">
        <w:rPr>
          <w:rFonts w:ascii="Arial" w:cs="Arial" w:eastAsia="Arial" w:hAnsi="Arial"/>
          <w:color w:val="ffffff"/>
          <w:sz w:val="14"/>
          <w:szCs w:val="14"/>
          <w:rtl w:val="0"/>
        </w:rPr>
        <w:t xml:space="preserve">NSE: DMART</w:t>
      </w:r>
      <w:r w:rsidDel="00000000" w:rsidR="00000000" w:rsidRPr="00000000">
        <w:rPr>
          <w:rtl w:val="0"/>
        </w:rPr>
      </w:r>
    </w:p>
    <w:p w:rsidR="00000000" w:rsidDel="00000000" w:rsidP="00000000" w:rsidRDefault="00000000" w:rsidRPr="00000000" w14:paraId="00000004">
      <w:pPr>
        <w:spacing w:after="0" w:line="289"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7300" w:firstLine="0"/>
        <w:rPr>
          <w:color w:val="000000"/>
          <w:sz w:val="20"/>
          <w:szCs w:val="20"/>
        </w:rPr>
      </w:pPr>
      <w:r w:rsidDel="00000000" w:rsidR="00000000" w:rsidRPr="00000000">
        <w:rPr>
          <w:rFonts w:ascii="Arial" w:cs="Arial" w:eastAsia="Arial" w:hAnsi="Arial"/>
          <w:b w:val="1"/>
          <w:color w:val="000000"/>
          <w:sz w:val="21"/>
          <w:szCs w:val="21"/>
          <w:rtl w:val="0"/>
        </w:rPr>
        <w:t xml:space="preserve">STOCK RECCOMENDATION</w:t>
      </w:r>
      <w:r w:rsidDel="00000000" w:rsidR="00000000" w:rsidRPr="00000000">
        <w:rPr>
          <w:rtl w:val="0"/>
        </w:rPr>
      </w:r>
    </w:p>
    <w:p w:rsidR="00000000" w:rsidDel="00000000" w:rsidP="00000000" w:rsidRDefault="00000000" w:rsidRPr="00000000" w14:paraId="00000006">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-27304</wp:posOffset>
            </wp:positionH>
            <wp:positionV relativeFrom="paragraph">
              <wp:posOffset>57785</wp:posOffset>
            </wp:positionV>
            <wp:extent cx="6834505" cy="1460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34505" cy="14605"/>
                    </a:xfrm>
                    <a:prstGeom prst="rect"/>
                    <a:ln/>
                  </pic:spPr>
                </pic:pic>
              </a:graphicData>
            </a:graphic>
          </wp:anchor>
        </w:drawing>
      </w:r>
    </w:p>
    <w:p w:rsidR="00000000" w:rsidDel="00000000" w:rsidP="00000000" w:rsidRDefault="00000000" w:rsidRPr="00000000" w14:paraId="00000007">
      <w:pPr>
        <w:spacing w:after="0" w:line="167" w:lineRule="auto"/>
        <w:rPr>
          <w:color w:val="000000"/>
          <w:sz w:val="24"/>
          <w:szCs w:val="24"/>
        </w:rPr>
      </w:pPr>
      <w:r w:rsidDel="00000000" w:rsidR="00000000" w:rsidRPr="00000000">
        <w:rPr>
          <w:rtl w:val="0"/>
        </w:rPr>
      </w:r>
    </w:p>
    <w:p w:rsidR="00000000" w:rsidDel="00000000" w:rsidP="00000000" w:rsidRDefault="00000000" w:rsidRPr="00000000" w14:paraId="00000008">
      <w:pPr>
        <w:spacing w:after="0" w:lineRule="auto"/>
        <w:ind w:left="6160" w:firstLine="0"/>
        <w:rPr>
          <w:color w:val="000000"/>
          <w:sz w:val="20"/>
          <w:szCs w:val="20"/>
        </w:rPr>
      </w:pPr>
      <w:r w:rsidDel="00000000" w:rsidR="00000000" w:rsidRPr="00000000">
        <w:rPr>
          <w:rFonts w:ascii="Arial" w:cs="Arial" w:eastAsia="Arial" w:hAnsi="Arial"/>
          <w:b w:val="1"/>
          <w:color w:val="000000"/>
          <w:sz w:val="24"/>
          <w:szCs w:val="24"/>
          <w:rtl w:val="0"/>
        </w:rPr>
        <w:t xml:space="preserve">Company Introduction</w:t>
      </w:r>
      <w:r w:rsidDel="00000000" w:rsidR="00000000" w:rsidRPr="00000000">
        <w:rPr>
          <w:rtl w:val="0"/>
        </w:rPr>
      </w:r>
    </w:p>
    <w:p w:rsidR="00000000" w:rsidDel="00000000" w:rsidP="00000000" w:rsidRDefault="00000000" w:rsidRPr="00000000" w14:paraId="00000009">
      <w:pPr>
        <w:spacing w:after="0" w:line="20" w:lineRule="auto"/>
        <w:rP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167640</wp:posOffset>
            </wp:positionH>
            <wp:positionV relativeFrom="paragraph">
              <wp:posOffset>-19049</wp:posOffset>
            </wp:positionV>
            <wp:extent cx="1524635" cy="1524635"/>
            <wp:effectExtent b="0" l="0" r="0" t="0"/>
            <wp:wrapNone/>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24635" cy="1524635"/>
                    </a:xfrm>
                    <a:prstGeom prst="rect"/>
                    <a:ln/>
                  </pic:spPr>
                </pic:pic>
              </a:graphicData>
            </a:graphic>
          </wp:anchor>
        </w:drawing>
      </w:r>
    </w:p>
    <w:p w:rsidR="00000000" w:rsidDel="00000000" w:rsidP="00000000" w:rsidRDefault="00000000" w:rsidRPr="00000000" w14:paraId="0000000A">
      <w:pPr>
        <w:spacing w:after="0" w:line="200" w:lineRule="auto"/>
        <w:rPr>
          <w:color w:val="000000"/>
          <w:sz w:val="24"/>
          <w:szCs w:val="24"/>
        </w:rPr>
      </w:pPr>
      <w:r w:rsidDel="00000000" w:rsidR="00000000" w:rsidRPr="00000000">
        <w:rPr>
          <w:rtl w:val="0"/>
        </w:rPr>
      </w:r>
    </w:p>
    <w:p w:rsidR="00000000" w:rsidDel="00000000" w:rsidP="00000000" w:rsidRDefault="00000000" w:rsidRPr="00000000" w14:paraId="0000000B">
      <w:pPr>
        <w:spacing w:after="0" w:line="338" w:lineRule="auto"/>
        <w:rPr>
          <w:color w:val="000000"/>
          <w:sz w:val="24"/>
          <w:szCs w:val="24"/>
        </w:rPr>
      </w:pPr>
      <w:r w:rsidDel="00000000" w:rsidR="00000000" w:rsidRPr="00000000">
        <w:rPr>
          <w:rtl w:val="0"/>
        </w:rPr>
      </w:r>
    </w:p>
    <w:p w:rsidR="00000000" w:rsidDel="00000000" w:rsidP="00000000" w:rsidRDefault="00000000" w:rsidRPr="00000000" w14:paraId="0000000C">
      <w:pPr>
        <w:spacing w:after="0" w:line="254" w:lineRule="auto"/>
        <w:ind w:left="386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Avenue Supermarts Limited (DMart) is a national supermarket chain, with a focus on value-retailing. We offer a wide range of products with a focus on the Foods, Non-Foods (FMCG) and General Merchandise &amp; Apparel product categories. Since launching our first store in 2002 in Mumbai, Maharashtra, we have grown to 365 stores in 11 states. We remain focussed on our strategy of offering our customers good quality products at great value, based on the Everyday Low Cost/Everyday Low Price (EDLC/EDLP) principle. Our store offerings provide our customers with a distinctive shopping experience, comprising of a wide range of everyday value retail products sold in a modern ambience and with the feel of a large retail mall. We believe our endeavour to facilitate one-stop shop convenience for our customers’ everyday shopping needs, along with our competitive pricing due to our local market knowledge, careful product assortment and supply chain efficiencies, has helped us achieve steady growth.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1352550</wp:posOffset>
            </wp:positionV>
            <wp:extent cx="1013185" cy="63817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3185" cy="638175"/>
                    </a:xfrm>
                    <a:prstGeom prst="rect"/>
                    <a:ln/>
                  </pic:spPr>
                </pic:pic>
              </a:graphicData>
            </a:graphic>
          </wp:anchor>
        </w:drawing>
      </w:r>
    </w:p>
    <w:p w:rsidR="00000000" w:rsidDel="00000000" w:rsidP="00000000" w:rsidRDefault="00000000" w:rsidRPr="00000000" w14:paraId="0000000D">
      <w:pPr>
        <w:spacing w:after="0" w:line="355" w:lineRule="auto"/>
        <w:rPr>
          <w:color w:val="000000"/>
          <w:sz w:val="10"/>
          <w:szCs w:val="10"/>
        </w:rPr>
      </w:pPr>
      <w:r w:rsidDel="00000000" w:rsidR="00000000" w:rsidRPr="00000000">
        <w:rPr>
          <w:rtl w:val="0"/>
        </w:rPr>
      </w:r>
    </w:p>
    <w:p w:rsidR="00000000" w:rsidDel="00000000" w:rsidP="00000000" w:rsidRDefault="00000000" w:rsidRPr="00000000" w14:paraId="0000000E">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Bull Case</w:t>
      </w:r>
      <w:r w:rsidDel="00000000" w:rsidR="00000000" w:rsidRPr="00000000">
        <w:rPr>
          <w:rtl w:val="0"/>
        </w:rPr>
      </w:r>
    </w:p>
    <w:p w:rsidR="00000000" w:rsidDel="00000000" w:rsidP="00000000" w:rsidRDefault="00000000" w:rsidRPr="00000000" w14:paraId="0000000F">
      <w:pPr>
        <w:spacing w:after="0" w:line="134" w:lineRule="auto"/>
        <w:rPr>
          <w:color w:val="000000"/>
          <w:sz w:val="24"/>
          <w:szCs w:val="24"/>
        </w:rPr>
      </w:pPr>
      <w:r w:rsidDel="00000000" w:rsidR="00000000" w:rsidRPr="00000000">
        <w:rPr>
          <w:rtl w:val="0"/>
        </w:rPr>
      </w:r>
    </w:p>
    <w:p w:rsidR="00000000" w:rsidDel="00000000" w:rsidP="00000000" w:rsidRDefault="00000000" w:rsidRPr="00000000" w14:paraId="00000010">
      <w:pPr>
        <w:keepLines w:val="1"/>
        <w:numPr>
          <w:ilvl w:val="0"/>
          <w:numId w:val="1"/>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company’s median sales growth has been 28.3% in the last 10 years</w:t>
      </w:r>
      <w:r w:rsidDel="00000000" w:rsidR="00000000" w:rsidRPr="00000000">
        <w:rPr>
          <w:rtl w:val="0"/>
        </w:rPr>
      </w:r>
    </w:p>
    <w:p w:rsidR="00000000" w:rsidDel="00000000" w:rsidP="00000000" w:rsidRDefault="00000000" w:rsidRPr="00000000" w14:paraId="00000011">
      <w:pPr>
        <w:keepLines w:val="1"/>
        <w:spacing w:after="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2">
      <w:pPr>
        <w:keepLines w:val="1"/>
        <w:numPr>
          <w:ilvl w:val="0"/>
          <w:numId w:val="1"/>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company’s median Profit Growth has been 44.16% for last 10 years</w:t>
      </w:r>
      <w:r w:rsidDel="00000000" w:rsidR="00000000" w:rsidRPr="00000000">
        <w:rPr>
          <w:rtl w:val="0"/>
        </w:rPr>
      </w:r>
    </w:p>
    <w:p w:rsidR="00000000" w:rsidDel="00000000" w:rsidP="00000000" w:rsidRDefault="00000000" w:rsidRPr="00000000" w14:paraId="00000013">
      <w:pPr>
        <w:keepLines w:val="1"/>
        <w:spacing w:after="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4">
      <w:pPr>
        <w:keepLines w:val="1"/>
        <w:numPr>
          <w:ilvl w:val="0"/>
          <w:numId w:val="1"/>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company’s ROCE has been 15.95% of the previous 5 years</w:t>
      </w:r>
      <w:r w:rsidDel="00000000" w:rsidR="00000000" w:rsidRPr="00000000">
        <w:rPr>
          <w:rtl w:val="0"/>
        </w:rPr>
      </w:r>
    </w:p>
    <w:p w:rsidR="00000000" w:rsidDel="00000000" w:rsidP="00000000" w:rsidRDefault="00000000" w:rsidRPr="00000000" w14:paraId="00000015">
      <w:pPr>
        <w:keepLines w:val="1"/>
        <w:spacing w:after="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6">
      <w:pPr>
        <w:keepLines w:val="1"/>
        <w:numPr>
          <w:ilvl w:val="0"/>
          <w:numId w:val="1"/>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company’s Intrinsic growth of 4 years averaged and the median is 19% &amp; 22 % respectively</w:t>
      </w:r>
      <w:r w:rsidDel="00000000" w:rsidR="00000000" w:rsidRPr="00000000">
        <w:rPr>
          <w:rtl w:val="0"/>
        </w:rPr>
      </w:r>
    </w:p>
    <w:p w:rsidR="00000000" w:rsidDel="00000000" w:rsidP="00000000" w:rsidRDefault="00000000" w:rsidRPr="00000000" w14:paraId="00000017">
      <w:pPr>
        <w:spacing w:after="0" w:line="282" w:lineRule="auto"/>
        <w:rPr>
          <w:color w:val="000000"/>
          <w:sz w:val="18"/>
          <w:szCs w:val="18"/>
        </w:rPr>
      </w:pPr>
      <w:r w:rsidDel="00000000" w:rsidR="00000000" w:rsidRPr="00000000">
        <w:rPr>
          <w:rtl w:val="0"/>
        </w:rPr>
      </w:r>
    </w:p>
    <w:p w:rsidR="00000000" w:rsidDel="00000000" w:rsidP="00000000" w:rsidRDefault="00000000" w:rsidRPr="00000000" w14:paraId="00000018">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Bear Case</w:t>
      </w:r>
      <w:r w:rsidDel="00000000" w:rsidR="00000000" w:rsidRPr="00000000">
        <w:rPr>
          <w:rtl w:val="0"/>
        </w:rPr>
      </w:r>
    </w:p>
    <w:p w:rsidR="00000000" w:rsidDel="00000000" w:rsidP="00000000" w:rsidRDefault="00000000" w:rsidRPr="00000000" w14:paraId="00000019">
      <w:pPr>
        <w:spacing w:after="0" w:line="134" w:lineRule="auto"/>
        <w:rPr>
          <w:color w:val="000000"/>
          <w:sz w:val="24"/>
          <w:szCs w:val="24"/>
        </w:rPr>
      </w:pPr>
      <w:r w:rsidDel="00000000" w:rsidR="00000000" w:rsidRPr="00000000">
        <w:rPr>
          <w:rtl w:val="0"/>
        </w:rPr>
      </w:r>
    </w:p>
    <w:p w:rsidR="00000000" w:rsidDel="00000000" w:rsidP="00000000" w:rsidRDefault="00000000" w:rsidRPr="00000000" w14:paraId="0000001A">
      <w:pPr>
        <w:numPr>
          <w:ilvl w:val="0"/>
          <w:numId w:val="2"/>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stock is trading at 16.6 times of its book value</w:t>
      </w:r>
      <w:r w:rsidDel="00000000" w:rsidR="00000000" w:rsidRPr="00000000">
        <w:rPr>
          <w:rtl w:val="0"/>
        </w:rPr>
      </w:r>
    </w:p>
    <w:p w:rsidR="00000000" w:rsidDel="00000000" w:rsidP="00000000" w:rsidRDefault="00000000" w:rsidRPr="00000000" w14:paraId="0000001B">
      <w:pPr>
        <w:spacing w:after="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PE of the stock is very high that is 123</w:t>
      </w:r>
      <w:r w:rsidDel="00000000" w:rsidR="00000000" w:rsidRPr="00000000">
        <w:rPr>
          <w:rtl w:val="0"/>
        </w:rPr>
      </w:r>
    </w:p>
    <w:p w:rsidR="00000000" w:rsidDel="00000000" w:rsidP="00000000" w:rsidRDefault="00000000" w:rsidRPr="00000000" w14:paraId="0000001D">
      <w:pPr>
        <w:spacing w:after="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By using the comparable company valuation method its stock is shown overvalued</w:t>
      </w:r>
      <w:r w:rsidDel="00000000" w:rsidR="00000000" w:rsidRPr="00000000">
        <w:rPr>
          <w:rtl w:val="0"/>
        </w:rPr>
      </w:r>
    </w:p>
    <w:p w:rsidR="00000000" w:rsidDel="00000000" w:rsidP="00000000" w:rsidRDefault="00000000" w:rsidRPr="00000000" w14:paraId="0000001F">
      <w:pPr>
        <w:spacing w:after="0" w:line="282" w:lineRule="auto"/>
        <w:rPr>
          <w:color w:val="000000"/>
          <w:sz w:val="16"/>
          <w:szCs w:val="16"/>
        </w:rPr>
      </w:pPr>
      <w:r w:rsidDel="00000000" w:rsidR="00000000" w:rsidRPr="00000000">
        <w:rPr>
          <w:rtl w:val="0"/>
        </w:rPr>
      </w:r>
    </w:p>
    <w:p w:rsidR="00000000" w:rsidDel="00000000" w:rsidP="00000000" w:rsidRDefault="00000000" w:rsidRPr="00000000" w14:paraId="00000020">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Target Price</w:t>
      </w:r>
      <w:r w:rsidDel="00000000" w:rsidR="00000000" w:rsidRPr="00000000">
        <w:rPr>
          <w:rtl w:val="0"/>
        </w:rPr>
      </w:r>
    </w:p>
    <w:p w:rsidR="00000000" w:rsidDel="00000000" w:rsidP="00000000" w:rsidRDefault="00000000" w:rsidRPr="00000000" w14:paraId="00000021">
      <w:pPr>
        <w:spacing w:after="10" w:before="10" w:line="120" w:lineRule="auto"/>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spacing w:after="0" w:before="0" w:line="12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current market price is ₹ 4,783</w:t>
      </w:r>
      <w:r w:rsidDel="00000000" w:rsidR="00000000" w:rsidRPr="00000000">
        <w:rPr>
          <w:rtl w:val="0"/>
        </w:rPr>
      </w:r>
    </w:p>
    <w:p w:rsidR="00000000" w:rsidDel="00000000" w:rsidP="00000000" w:rsidRDefault="00000000" w:rsidRPr="00000000" w14:paraId="00000023">
      <w:pPr>
        <w:keepNext w:val="0"/>
        <w:keepLines w:val="0"/>
        <w:widowControl w:val="1"/>
        <w:spacing w:after="0" w:before="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spacing w:after="0" w:before="0" w:line="167.99999999999997"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For upside momentum, the first target is 5,400 for short term duration and the second target is 6,000 for long term duration</w:t>
      </w:r>
      <w:r w:rsidDel="00000000" w:rsidR="00000000" w:rsidRPr="00000000">
        <w:rPr>
          <w:rtl w:val="0"/>
        </w:rPr>
      </w:r>
    </w:p>
    <w:p w:rsidR="00000000" w:rsidDel="00000000" w:rsidP="00000000" w:rsidRDefault="00000000" w:rsidRPr="00000000" w14:paraId="00000025">
      <w:pPr>
        <w:keepNext w:val="0"/>
        <w:keepLines w:val="0"/>
        <w:widowControl w:val="1"/>
        <w:spacing w:after="0" w:before="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spacing w:after="0" w:before="0" w:line="167.99999999999997"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For downside momentum, the first target is 4,500 for short term duration and the second target is 4,200 for long term duration</w:t>
      </w:r>
      <w:r w:rsidDel="00000000" w:rsidR="00000000" w:rsidRPr="00000000">
        <w:rPr>
          <w:rtl w:val="0"/>
        </w:rPr>
      </w:r>
    </w:p>
    <w:p w:rsidR="00000000" w:rsidDel="00000000" w:rsidP="00000000" w:rsidRDefault="00000000" w:rsidRPr="00000000" w14:paraId="00000027">
      <w:pPr>
        <w:keepNext w:val="0"/>
        <w:keepLines w:val="0"/>
        <w:widowControl w:val="1"/>
        <w:spacing w:after="0" w:before="0" w:line="12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spacing w:after="0" w:before="0" w:line="167.99999999999997"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According to long term target of this stock, there is upside &amp; downside momentum of 25.44% &amp; 12.18% respectively</w:t>
      </w:r>
      <w:r w:rsidDel="00000000" w:rsidR="00000000" w:rsidRPr="00000000">
        <w:rPr>
          <w:rtl w:val="0"/>
        </w:rPr>
      </w:r>
    </w:p>
    <w:p w:rsidR="00000000" w:rsidDel="00000000" w:rsidP="00000000" w:rsidRDefault="00000000" w:rsidRPr="00000000" w14:paraId="00000029">
      <w:pPr>
        <w:spacing w:after="0" w:lineRule="auto"/>
        <w:rPr>
          <w:b w:val="1"/>
          <w:sz w:val="18"/>
          <w:szCs w:val="18"/>
        </w:rPr>
      </w:pPr>
      <w:r w:rsidDel="00000000" w:rsidR="00000000" w:rsidRPr="00000000">
        <w:rPr>
          <w:rtl w:val="0"/>
        </w:rPr>
      </w:r>
    </w:p>
    <w:p w:rsidR="00000000" w:rsidDel="00000000" w:rsidP="00000000" w:rsidRDefault="00000000" w:rsidRPr="00000000" w14:paraId="0000002A">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Email ID:</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u w:val="single"/>
          <w:rtl w:val="0"/>
        </w:rPr>
        <w:t xml:space="preserve">rajprasad.moodi@gmail.com</w:t>
      </w:r>
      <w:r w:rsidDel="00000000" w:rsidR="00000000" w:rsidRPr="00000000">
        <w:rPr>
          <w:rtl w:val="0"/>
        </w:rPr>
      </w:r>
    </w:p>
    <w:p w:rsidR="00000000" w:rsidDel="00000000" w:rsidP="00000000" w:rsidRDefault="00000000" w:rsidRPr="00000000" w14:paraId="0000002B">
      <w:pPr>
        <w:spacing w:after="0" w:line="55" w:lineRule="auto"/>
        <w:rPr>
          <w:color w:val="000000"/>
          <w:sz w:val="24"/>
          <w:szCs w:val="24"/>
        </w:rPr>
      </w:pPr>
      <w:r w:rsidDel="00000000" w:rsidR="00000000" w:rsidRPr="00000000">
        <w:rPr>
          <w:rtl w:val="0"/>
        </w:rPr>
      </w:r>
    </w:p>
    <w:p w:rsidR="00000000" w:rsidDel="00000000" w:rsidP="00000000" w:rsidRDefault="00000000" w:rsidRPr="00000000" w14:paraId="0000002C">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Contact Number:</w:t>
      </w:r>
      <w:r w:rsidDel="00000000" w:rsidR="00000000" w:rsidRPr="00000000">
        <w:rPr>
          <w:rFonts w:ascii="Times New Roman" w:cs="Times New Roman" w:eastAsia="Times New Roman" w:hAnsi="Times New Roman"/>
          <w:color w:val="000000"/>
          <w:sz w:val="18"/>
          <w:szCs w:val="18"/>
          <w:rtl w:val="0"/>
        </w:rPr>
        <w:t xml:space="preserve"> +919864142632</w:t>
      </w:r>
      <w:r w:rsidDel="00000000" w:rsidR="00000000" w:rsidRPr="00000000">
        <w:rPr>
          <w:rtl w:val="0"/>
        </w:rPr>
      </w:r>
    </w:p>
    <w:p w:rsidR="00000000" w:rsidDel="00000000" w:rsidP="00000000" w:rsidRDefault="00000000" w:rsidRPr="00000000" w14:paraId="0000002D">
      <w:pPr>
        <w:spacing w:after="0" w:line="55"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Rule="auto"/>
        <w:rPr>
          <w:color w:val="000000"/>
          <w:sz w:val="20"/>
          <w:szCs w:val="20"/>
        </w:rPr>
      </w:pPr>
      <w:r w:rsidDel="00000000" w:rsidR="00000000" w:rsidRPr="00000000">
        <w:rPr>
          <w:rFonts w:ascii="Times New Roman" w:cs="Times New Roman" w:eastAsia="Times New Roman" w:hAnsi="Times New Roman"/>
          <w:b w:val="1"/>
          <w:color w:val="000000"/>
          <w:sz w:val="18"/>
          <w:szCs w:val="18"/>
          <w:rtl w:val="0"/>
        </w:rPr>
        <w:t xml:space="preserve">Batch:</w:t>
      </w:r>
      <w:r w:rsidDel="00000000" w:rsidR="00000000" w:rsidRPr="00000000">
        <w:rPr>
          <w:rFonts w:ascii="Times New Roman" w:cs="Times New Roman" w:eastAsia="Times New Roman" w:hAnsi="Times New Roman"/>
          <w:color w:val="000000"/>
          <w:sz w:val="18"/>
          <w:szCs w:val="18"/>
          <w:rtl w:val="0"/>
        </w:rPr>
        <w:t xml:space="preserve"> Class of 2026</w:t>
      </w:r>
      <w:r w:rsidDel="00000000" w:rsidR="00000000" w:rsidRPr="00000000">
        <w:rPr>
          <w:rtl w:val="0"/>
        </w:rPr>
      </w:r>
    </w:p>
    <w:p w:rsidR="00000000" w:rsidDel="00000000" w:rsidP="00000000" w:rsidRDefault="00000000" w:rsidRPr="00000000" w14:paraId="0000002F">
      <w:pPr>
        <w:spacing w:after="0" w:line="58" w:lineRule="auto"/>
        <w:rPr>
          <w:color w:val="000000"/>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color w:val="1155cc"/>
          <w:sz w:val="18"/>
          <w:szCs w:val="18"/>
          <w:u w:val="single"/>
        </w:rPr>
      </w:pPr>
      <w:hyperlink r:id="rId10">
        <w:r w:rsidDel="00000000" w:rsidR="00000000" w:rsidRPr="00000000">
          <w:rPr>
            <w:rFonts w:ascii="Times New Roman" w:cs="Times New Roman" w:eastAsia="Times New Roman" w:hAnsi="Times New Roman"/>
            <w:color w:val="1155cc"/>
            <w:sz w:val="18"/>
            <w:szCs w:val="18"/>
            <w:u w:val="single"/>
            <w:rtl w:val="0"/>
          </w:rPr>
          <w:t xml:space="preserve">*All this data are taken from Financial modelling done by me only</w:t>
        </w:r>
      </w:hyperlink>
      <w:r w:rsidDel="00000000" w:rsidR="00000000" w:rsidRPr="00000000">
        <w:rPr>
          <w:rtl w:val="0"/>
        </w:rPr>
      </w:r>
    </w:p>
    <w:p w:rsidR="00000000" w:rsidDel="00000000" w:rsidP="00000000" w:rsidRDefault="00000000" w:rsidRPr="00000000" w14:paraId="00000031">
      <w:pPr>
        <w:spacing w:after="0" w:line="207"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67" w:lineRule="auto"/>
        <w:ind w:right="60"/>
        <w:rPr>
          <w:color w:val="000000"/>
          <w:sz w:val="20"/>
          <w:szCs w:val="20"/>
        </w:rPr>
      </w:pPr>
      <w:r w:rsidDel="00000000" w:rsidR="00000000" w:rsidRPr="00000000">
        <w:rPr>
          <w:rFonts w:ascii="Arial" w:cs="Arial" w:eastAsia="Arial" w:hAnsi="Arial"/>
          <w:color w:val="000000"/>
          <w:sz w:val="12"/>
          <w:szCs w:val="12"/>
          <w:rtl w:val="0"/>
        </w:rPr>
        <w:t xml:space="preserve">Equity market investments are subject to market risks. Please read all scheme-related documents carefully before investing. This analyst is not registered with the Securities and Exchange Board of India (SEBI). This analysis can be used only for academic purposes.Buying and selling decisions will be solely based on individual.</w:t>
      </w:r>
      <w:r w:rsidDel="00000000" w:rsidR="00000000" w:rsidRPr="00000000">
        <w:rPr>
          <w:rtl w:val="0"/>
        </w:rPr>
      </w:r>
    </w:p>
    <w:sectPr>
      <w:pgSz w:h="16840" w:w="11900" w:orient="portrait"/>
      <w:pgMar w:bottom="1440" w:top="805" w:left="760" w:right="5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u/0/d/1yFxXDsx3VgTjQVMdnv4-_RMMT3wccOUx8cMgMRPiBjU/edit"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