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CDDE" w14:textId="27897870" w:rsidR="00620B28" w:rsidRDefault="006377BE" w:rsidP="00153453">
      <w:pPr>
        <w:pStyle w:val="4"/>
        <w:spacing w:after="0"/>
        <w:jc w:val="center"/>
        <w:rPr>
          <w:i w:val="0"/>
          <w:sz w:val="28"/>
        </w:rPr>
      </w:pPr>
      <w:r w:rsidRPr="006377BE">
        <w:rPr>
          <w:i w:val="0"/>
          <w:sz w:val="28"/>
        </w:rPr>
        <w:t>Philadelphia Household Travel Survey</w:t>
      </w:r>
      <w:r>
        <w:rPr>
          <w:rFonts w:eastAsiaTheme="minorEastAsia" w:hint="eastAsia"/>
          <w:i w:val="0"/>
          <w:sz w:val="28"/>
          <w:lang w:eastAsia="zh-CN"/>
        </w:rPr>
        <w:t xml:space="preserve"> </w:t>
      </w:r>
      <w:r w:rsidR="00F624B3">
        <w:rPr>
          <w:i w:val="0"/>
          <w:sz w:val="28"/>
        </w:rPr>
        <w:t xml:space="preserve">US </w:t>
      </w:r>
      <w:r w:rsidR="009314B7">
        <w:rPr>
          <w:i w:val="0"/>
          <w:sz w:val="28"/>
        </w:rPr>
        <w:t>Trans</w:t>
      </w:r>
      <w:r w:rsidR="000B3BEC">
        <w:rPr>
          <w:i w:val="0"/>
          <w:sz w:val="28"/>
        </w:rPr>
        <w:t>it Data</w:t>
      </w:r>
      <w:r w:rsidR="00F624B3">
        <w:rPr>
          <w:i w:val="0"/>
          <w:sz w:val="28"/>
        </w:rPr>
        <w:t xml:space="preserve"> and Metric</w:t>
      </w:r>
      <w:r w:rsidR="0014602F">
        <w:rPr>
          <w:i w:val="0"/>
          <w:sz w:val="28"/>
        </w:rPr>
        <w:t>s</w:t>
      </w:r>
    </w:p>
    <w:p w14:paraId="52986D77" w14:textId="77777777" w:rsidR="00153453" w:rsidRDefault="00153453" w:rsidP="00153453">
      <w:pPr>
        <w:spacing w:after="0" w:line="240" w:lineRule="auto"/>
        <w:rPr>
          <w:rFonts w:ascii="Times New Roman" w:hAnsi="Times New Roman" w:cs="Times New Roman"/>
        </w:rPr>
      </w:pPr>
    </w:p>
    <w:p w14:paraId="5B952039" w14:textId="1942F3C5" w:rsidR="00236F3B" w:rsidRDefault="00153453" w:rsidP="0272B809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674">
        <w:rPr>
          <w:rFonts w:ascii="Times New Roman" w:hAnsi="Times New Roman" w:cs="Times New Roman"/>
          <w:sz w:val="24"/>
          <w:szCs w:val="24"/>
        </w:rPr>
        <w:t>University of Pennsylvania</w:t>
      </w:r>
      <w:r w:rsidR="006377B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                                                                          </w:t>
      </w:r>
      <w:r w:rsidRPr="00A36674">
        <w:rPr>
          <w:rFonts w:ascii="Times New Roman" w:hAnsi="Times New Roman" w:cs="Times New Roman"/>
          <w:sz w:val="24"/>
          <w:szCs w:val="24"/>
        </w:rPr>
        <w:t xml:space="preserve">Erick Guerra </w:t>
      </w:r>
    </w:p>
    <w:p w14:paraId="32C68273" w14:textId="30FF2521" w:rsidR="0272B809" w:rsidRDefault="0272B809" w:rsidP="0272B809">
      <w:pPr>
        <w:pStyle w:val="a3"/>
        <w:spacing w:before="120"/>
        <w:rPr>
          <w:b/>
          <w:bCs/>
        </w:rPr>
      </w:pPr>
    </w:p>
    <w:p w14:paraId="03020693" w14:textId="77777777" w:rsidR="00AB39C9" w:rsidRPr="006F506B" w:rsidRDefault="00AB39C9" w:rsidP="0036573B">
      <w:pPr>
        <w:pStyle w:val="a3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/>
        <w:rPr>
          <w:b/>
          <w:szCs w:val="24"/>
        </w:rPr>
      </w:pPr>
      <w:r w:rsidRPr="006F506B">
        <w:rPr>
          <w:b/>
          <w:szCs w:val="24"/>
        </w:rPr>
        <w:t>Purpose:</w:t>
      </w:r>
    </w:p>
    <w:p w14:paraId="7FC2DD09" w14:textId="327BD5AF" w:rsidR="002C4D90" w:rsidRDefault="00AB39C9" w:rsidP="00D4210C">
      <w:pPr>
        <w:pStyle w:val="a3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/>
        <w:rPr>
          <w:szCs w:val="24"/>
        </w:rPr>
      </w:pPr>
      <w:r w:rsidRPr="006F506B">
        <w:rPr>
          <w:szCs w:val="24"/>
        </w:rPr>
        <w:t>The purpose of this assignment is to</w:t>
      </w:r>
      <w:r w:rsidR="00D4210C" w:rsidRPr="006F506B">
        <w:rPr>
          <w:szCs w:val="24"/>
        </w:rPr>
        <w:t xml:space="preserve"> </w:t>
      </w:r>
      <w:r w:rsidR="00B95814">
        <w:rPr>
          <w:szCs w:val="24"/>
        </w:rPr>
        <w:t xml:space="preserve">learn to work with the National Transit Database and to develop an understanding of some of the key metrics used to evaluate transit system performance. </w:t>
      </w:r>
      <w:r w:rsidR="00CC3C22">
        <w:rPr>
          <w:szCs w:val="24"/>
        </w:rPr>
        <w:t>I am providing a variety of labs and the data to complete the assignment on Canvas. Please disregard online links to the data which are no longer available.</w:t>
      </w:r>
    </w:p>
    <w:p w14:paraId="143C4F49" w14:textId="77777777" w:rsidR="00D4210C" w:rsidRPr="006F506B" w:rsidRDefault="00D4210C" w:rsidP="00D4210C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14:paraId="68BA666E" w14:textId="718977C6" w:rsidR="002C4D90" w:rsidRDefault="002C4D90" w:rsidP="002C4D90">
      <w:pPr>
        <w:pStyle w:val="ad"/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 the average of the following indicators for the nation’s light rail, heavy rail, commuter rail, and bus systems </w:t>
      </w:r>
      <w:r w:rsidR="00CD2540">
        <w:rPr>
          <w:rFonts w:ascii="Times New Roman" w:hAnsi="Times New Roman" w:cs="Times New Roman"/>
          <w:sz w:val="24"/>
          <w:szCs w:val="24"/>
        </w:rPr>
        <w:t>in 201</w:t>
      </w:r>
      <w:r w:rsidR="00D64821">
        <w:rPr>
          <w:rFonts w:ascii="Times New Roman" w:hAnsi="Times New Roman" w:cs="Times New Roman"/>
          <w:sz w:val="24"/>
          <w:szCs w:val="24"/>
        </w:rPr>
        <w:t>9</w:t>
      </w:r>
      <w:r w:rsidR="00D247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(be careful to exclude systems that do not operate the modes in question</w:t>
      </w:r>
      <w:r w:rsidR="00F279F1">
        <w:rPr>
          <w:rFonts w:ascii="Times New Roman" w:hAnsi="Times New Roman" w:cs="Times New Roman"/>
          <w:sz w:val="24"/>
          <w:szCs w:val="24"/>
        </w:rPr>
        <w:t xml:space="preserve"> or that report zero PMT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1F86BAB" w14:textId="77777777" w:rsidR="002C4D90" w:rsidRDefault="002C4D90" w:rsidP="002C4D90">
      <w:pPr>
        <w:pStyle w:val="ad"/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miles (PMT) per unlinked passenger trip (UPT)</w:t>
      </w:r>
    </w:p>
    <w:p w14:paraId="42475391" w14:textId="77777777" w:rsidR="002C4D90" w:rsidRDefault="002C4D90" w:rsidP="002C4D90">
      <w:pPr>
        <w:pStyle w:val="ad"/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miles per directional route mile (DRM)</w:t>
      </w:r>
    </w:p>
    <w:p w14:paraId="455DB05A" w14:textId="77777777" w:rsidR="002C4D90" w:rsidRDefault="002C4D90" w:rsidP="002C4D90">
      <w:pPr>
        <w:pStyle w:val="ad"/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 revenue per passenger mile (note that this is an estimate of how much people pay for each mile of service)</w:t>
      </w:r>
    </w:p>
    <w:p w14:paraId="36433BE5" w14:textId="77777777" w:rsidR="002C4D90" w:rsidRDefault="002C4D90" w:rsidP="002C4D90">
      <w:pPr>
        <w:pStyle w:val="ad"/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 recovery ratio (total fare revenue divided by total operating costs.</w:t>
      </w:r>
    </w:p>
    <w:p w14:paraId="4C5D99CE" w14:textId="77777777" w:rsidR="002C4D90" w:rsidRDefault="00062858" w:rsidP="002C4D90">
      <w:pPr>
        <w:pStyle w:val="ad"/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speed (ve</w:t>
      </w:r>
      <w:r w:rsidR="00376815">
        <w:rPr>
          <w:rFonts w:ascii="Times New Roman" w:hAnsi="Times New Roman" w:cs="Times New Roman"/>
          <w:sz w:val="24"/>
          <w:szCs w:val="24"/>
        </w:rPr>
        <w:t>hicle revenue miles</w:t>
      </w:r>
      <w:r>
        <w:rPr>
          <w:rFonts w:ascii="Times New Roman" w:hAnsi="Times New Roman" w:cs="Times New Roman"/>
          <w:sz w:val="24"/>
          <w:szCs w:val="24"/>
        </w:rPr>
        <w:t xml:space="preserve"> divided by vehicle revenue hours). (Rail modes only.)</w:t>
      </w:r>
    </w:p>
    <w:p w14:paraId="3DE256F7" w14:textId="77777777" w:rsidR="002C4D90" w:rsidRPr="002C4D90" w:rsidRDefault="002C4D90" w:rsidP="00062858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14:paraId="2ACB347D" w14:textId="064BB3A9" w:rsidR="00097C7B" w:rsidRPr="00097C7B" w:rsidRDefault="00062858" w:rsidP="00097C7B">
      <w:pPr>
        <w:pStyle w:val="ad"/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fare recovery ratio for all nation’s light rail, heavy rail, commuter rail, and bus systems</w:t>
      </w:r>
      <w:r w:rsidR="008C5E82">
        <w:rPr>
          <w:rFonts w:ascii="Times New Roman" w:hAnsi="Times New Roman" w:cs="Times New Roman"/>
          <w:sz w:val="24"/>
          <w:szCs w:val="24"/>
        </w:rPr>
        <w:t xml:space="preserve"> in 201</w:t>
      </w:r>
      <w:r w:rsidR="00D64821">
        <w:rPr>
          <w:rFonts w:ascii="Times New Roman" w:hAnsi="Times New Roman" w:cs="Times New Roman"/>
          <w:sz w:val="24"/>
          <w:szCs w:val="24"/>
        </w:rPr>
        <w:t>\9</w:t>
      </w:r>
      <w:r>
        <w:rPr>
          <w:rFonts w:ascii="Times New Roman" w:hAnsi="Times New Roman" w:cs="Times New Roman"/>
          <w:sz w:val="24"/>
          <w:szCs w:val="24"/>
        </w:rPr>
        <w:t xml:space="preserve"> (i.e., the average for the mode instead of the average fare recovery ratio of the different </w:t>
      </w:r>
      <w:r w:rsidR="003F007E">
        <w:rPr>
          <w:rFonts w:ascii="Times New Roman" w:hAnsi="Times New Roman" w:cs="Times New Roman"/>
          <w:sz w:val="24"/>
          <w:szCs w:val="24"/>
        </w:rPr>
        <w:t>transit agencies</w:t>
      </w:r>
      <w:r>
        <w:rPr>
          <w:rFonts w:ascii="Times New Roman" w:hAnsi="Times New Roman" w:cs="Times New Roman"/>
          <w:sz w:val="24"/>
          <w:szCs w:val="24"/>
        </w:rPr>
        <w:t xml:space="preserve">.) Compare this figure to the fare recovery ratios estimated </w:t>
      </w:r>
      <w:r w:rsidR="00766CE5">
        <w:rPr>
          <w:rFonts w:ascii="Times New Roman" w:hAnsi="Times New Roman" w:cs="Times New Roman"/>
          <w:sz w:val="24"/>
          <w:szCs w:val="24"/>
        </w:rPr>
        <w:t xml:space="preserve">in question 1 (average by </w:t>
      </w:r>
      <w:r w:rsidR="003F007E">
        <w:rPr>
          <w:rFonts w:ascii="Times New Roman" w:hAnsi="Times New Roman" w:cs="Times New Roman"/>
          <w:sz w:val="24"/>
          <w:szCs w:val="24"/>
        </w:rPr>
        <w:t>agency</w:t>
      </w:r>
      <w:r w:rsidR="00766C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CE5">
        <w:rPr>
          <w:rFonts w:ascii="Times New Roman" w:hAnsi="Times New Roman" w:cs="Times New Roman"/>
          <w:sz w:val="24"/>
          <w:szCs w:val="24"/>
        </w:rPr>
        <w:t xml:space="preserve">Discuss any differences. </w:t>
      </w:r>
      <w:r w:rsidR="00097C7B">
        <w:rPr>
          <w:rFonts w:ascii="Times New Roman" w:hAnsi="Times New Roman" w:cs="Times New Roman"/>
          <w:sz w:val="24"/>
          <w:szCs w:val="24"/>
        </w:rPr>
        <w:t>(See note at bottom to understand difference between 1 and 2.)</w:t>
      </w:r>
    </w:p>
    <w:p w14:paraId="3F0A8D26" w14:textId="77777777" w:rsidR="00062858" w:rsidRPr="00062858" w:rsidRDefault="00062858" w:rsidP="00062858">
      <w:pPr>
        <w:spacing w:after="0" w:line="23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70CBF454" w14:textId="4D8FF35A" w:rsidR="65299628" w:rsidRPr="009F67CF" w:rsidRDefault="65299628" w:rsidP="009F67CF">
      <w:pPr>
        <w:pStyle w:val="ad"/>
        <w:numPr>
          <w:ilvl w:val="0"/>
          <w:numId w:val="6"/>
        </w:numPr>
        <w:spacing w:after="0" w:line="23" w:lineRule="atLeast"/>
        <w:rPr>
          <w:sz w:val="24"/>
          <w:szCs w:val="24"/>
          <w:lang w:val="es-MX"/>
        </w:rPr>
      </w:pPr>
      <w:r w:rsidRPr="65299628">
        <w:rPr>
          <w:rFonts w:ascii="Times New Roman" w:hAnsi="Times New Roman" w:cs="Times New Roman"/>
          <w:sz w:val="24"/>
          <w:szCs w:val="24"/>
        </w:rPr>
        <w:t xml:space="preserve">The Los Angeles Metropolitan Area has multiple providers of public transportation. Plot </w:t>
      </w:r>
      <w:r w:rsidR="0050001E">
        <w:rPr>
          <w:rFonts w:ascii="Times New Roman" w:hAnsi="Times New Roman" w:cs="Times New Roman"/>
          <w:sz w:val="24"/>
          <w:szCs w:val="24"/>
        </w:rPr>
        <w:t>the fare recovery ratio for the Los Angeles MTA (TRS ID 9</w:t>
      </w:r>
      <w:r w:rsidR="005D2B80">
        <w:rPr>
          <w:rFonts w:ascii="Times New Roman" w:hAnsi="Times New Roman" w:cs="Times New Roman"/>
          <w:sz w:val="24"/>
          <w:szCs w:val="24"/>
        </w:rPr>
        <w:t>0</w:t>
      </w:r>
      <w:r w:rsidR="0050001E">
        <w:rPr>
          <w:rFonts w:ascii="Times New Roman" w:hAnsi="Times New Roman" w:cs="Times New Roman"/>
          <w:sz w:val="24"/>
          <w:szCs w:val="24"/>
        </w:rPr>
        <w:t>154</w:t>
      </w:r>
      <w:r w:rsidRPr="65299628">
        <w:rPr>
          <w:rFonts w:ascii="Times New Roman" w:hAnsi="Times New Roman" w:cs="Times New Roman"/>
          <w:sz w:val="24"/>
          <w:szCs w:val="24"/>
        </w:rPr>
        <w:t>) and the Southern California Regional Rail Authority (TRS ID 9</w:t>
      </w:r>
      <w:r w:rsidR="005D2B80">
        <w:rPr>
          <w:rFonts w:ascii="Times New Roman" w:hAnsi="Times New Roman" w:cs="Times New Roman"/>
          <w:sz w:val="24"/>
          <w:szCs w:val="24"/>
        </w:rPr>
        <w:t>0</w:t>
      </w:r>
      <w:r w:rsidRPr="65299628">
        <w:rPr>
          <w:rFonts w:ascii="Times New Roman" w:hAnsi="Times New Roman" w:cs="Times New Roman"/>
          <w:sz w:val="24"/>
          <w:szCs w:val="24"/>
        </w:rPr>
        <w:t xml:space="preserve">151) for </w:t>
      </w:r>
      <w:r w:rsidR="00EF7DE5">
        <w:rPr>
          <w:rFonts w:ascii="Times New Roman" w:hAnsi="Times New Roman" w:cs="Times New Roman"/>
          <w:sz w:val="24"/>
          <w:szCs w:val="24"/>
        </w:rPr>
        <w:t>light rail, heavy rail, commuter rail, and bus</w:t>
      </w:r>
      <w:r w:rsidRPr="65299628">
        <w:rPr>
          <w:rFonts w:ascii="Times New Roman" w:hAnsi="Times New Roman" w:cs="Times New Roman"/>
          <w:sz w:val="24"/>
          <w:szCs w:val="24"/>
        </w:rPr>
        <w:t xml:space="preserve"> from 2002 to 20</w:t>
      </w:r>
      <w:r w:rsidR="00D64821">
        <w:rPr>
          <w:rFonts w:ascii="Times New Roman" w:hAnsi="Times New Roman" w:cs="Times New Roman"/>
          <w:sz w:val="24"/>
          <w:szCs w:val="24"/>
        </w:rPr>
        <w:t>21</w:t>
      </w:r>
      <w:r w:rsidRPr="65299628">
        <w:rPr>
          <w:rFonts w:ascii="Times New Roman" w:hAnsi="Times New Roman" w:cs="Times New Roman"/>
          <w:sz w:val="24"/>
          <w:szCs w:val="24"/>
        </w:rPr>
        <w:t xml:space="preserve">. There should be a separate line for each mode displayed on one graph. </w:t>
      </w:r>
      <w:r w:rsidR="0050001E">
        <w:rPr>
          <w:rFonts w:ascii="Times New Roman" w:hAnsi="Times New Roman" w:cs="Times New Roman"/>
          <w:sz w:val="24"/>
          <w:szCs w:val="24"/>
        </w:rPr>
        <w:t>Note that there are two bus services for the MTA. One is directly operated (Service == “DO”); the other is privately provided (Service == “PT”). Plot each separately.</w:t>
      </w:r>
      <w:r w:rsidR="009F67CF">
        <w:rPr>
          <w:rFonts w:ascii="Times New Roman" w:hAnsi="Times New Roman" w:cs="Times New Roman"/>
          <w:sz w:val="24"/>
          <w:szCs w:val="24"/>
        </w:rPr>
        <w:t xml:space="preserve"> </w:t>
      </w:r>
      <w:r w:rsidR="009F67CF" w:rsidRPr="009F67CF">
        <w:rPr>
          <w:rFonts w:ascii="Times New Roman" w:hAnsi="Times New Roman" w:cs="Times New Roman"/>
          <w:sz w:val="24"/>
          <w:szCs w:val="24"/>
          <w:lang w:val="es-MX"/>
        </w:rPr>
        <w:t>(Hint: LA$Mode[LA$Mode == "MB" &amp; LA$Service == "PT"] &lt;- "MB_PT")</w:t>
      </w:r>
    </w:p>
    <w:p w14:paraId="6A8F11E3" w14:textId="7C88C6D2" w:rsidR="65299628" w:rsidRDefault="65299628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p w14:paraId="2640594E" w14:textId="0DAED849" w:rsidR="00097C7B" w:rsidRDefault="00097C7B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p w14:paraId="07AC1EEC" w14:textId="712AF243" w:rsidR="00097C7B" w:rsidRDefault="00097C7B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p w14:paraId="179CECD4" w14:textId="512CED9D" w:rsidR="00097C7B" w:rsidRDefault="00097C7B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Note: Here are the calculations for fare recovery ratio for </w:t>
      </w:r>
      <w:r w:rsidR="00DF719E">
        <w:rPr>
          <w:rFonts w:ascii="Times New Roman" w:hAnsi="Times New Roman" w:cs="Times New Roman"/>
          <w:sz w:val="24"/>
          <w:szCs w:val="24"/>
          <w:lang w:val="es-MX"/>
        </w:rPr>
        <w:t>questions 1 and 2 with the following imaginary 3 heavy rail systems.</w:t>
      </w:r>
      <w:r w:rsidR="00E66D1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FF5BE2D" w14:textId="218D9BA4" w:rsidR="00DF719E" w:rsidRDefault="00DF719E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19E" w14:paraId="64F23107" w14:textId="77777777" w:rsidTr="00DF719E">
        <w:tc>
          <w:tcPr>
            <w:tcW w:w="2337" w:type="dxa"/>
          </w:tcPr>
          <w:p w14:paraId="1BC4A8EC" w14:textId="7CBC431D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System</w:t>
            </w:r>
          </w:p>
        </w:tc>
        <w:tc>
          <w:tcPr>
            <w:tcW w:w="2337" w:type="dxa"/>
          </w:tcPr>
          <w:p w14:paraId="62911BE8" w14:textId="3209D0F4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Fares</w:t>
            </w:r>
          </w:p>
        </w:tc>
        <w:tc>
          <w:tcPr>
            <w:tcW w:w="2338" w:type="dxa"/>
          </w:tcPr>
          <w:p w14:paraId="73E879A1" w14:textId="249405C1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Opex</w:t>
            </w:r>
          </w:p>
        </w:tc>
        <w:tc>
          <w:tcPr>
            <w:tcW w:w="2338" w:type="dxa"/>
          </w:tcPr>
          <w:p w14:paraId="388F1A56" w14:textId="2CC3E05C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FRR</w:t>
            </w:r>
          </w:p>
        </w:tc>
      </w:tr>
      <w:tr w:rsidR="00DF719E" w14:paraId="5BCDC303" w14:textId="77777777" w:rsidTr="00DF719E">
        <w:tc>
          <w:tcPr>
            <w:tcW w:w="2337" w:type="dxa"/>
          </w:tcPr>
          <w:p w14:paraId="3A4FC6F0" w14:textId="7974017F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</w:p>
        </w:tc>
        <w:tc>
          <w:tcPr>
            <w:tcW w:w="2337" w:type="dxa"/>
          </w:tcPr>
          <w:p w14:paraId="218FC686" w14:textId="5A788683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338" w:type="dxa"/>
          </w:tcPr>
          <w:p w14:paraId="23BFB449" w14:textId="72ABF1CD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  <w:tc>
          <w:tcPr>
            <w:tcW w:w="2338" w:type="dxa"/>
          </w:tcPr>
          <w:p w14:paraId="0C741171" w14:textId="635ACEBC" w:rsidR="00E66D1F" w:rsidRDefault="00E66D1F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1/2</w:t>
            </w:r>
          </w:p>
        </w:tc>
      </w:tr>
      <w:tr w:rsidR="00DF719E" w14:paraId="75BA1108" w14:textId="77777777" w:rsidTr="00DF719E">
        <w:tc>
          <w:tcPr>
            <w:tcW w:w="2337" w:type="dxa"/>
          </w:tcPr>
          <w:p w14:paraId="245699A4" w14:textId="726A6171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</w:t>
            </w:r>
          </w:p>
        </w:tc>
        <w:tc>
          <w:tcPr>
            <w:tcW w:w="2337" w:type="dxa"/>
          </w:tcPr>
          <w:p w14:paraId="2950EB44" w14:textId="07FE749C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DF719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00</w:t>
            </w:r>
          </w:p>
        </w:tc>
        <w:tc>
          <w:tcPr>
            <w:tcW w:w="2338" w:type="dxa"/>
          </w:tcPr>
          <w:p w14:paraId="205E5C82" w14:textId="3EC1C0FB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 w:rsidR="00DF719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00</w:t>
            </w:r>
          </w:p>
        </w:tc>
        <w:tc>
          <w:tcPr>
            <w:tcW w:w="2338" w:type="dxa"/>
          </w:tcPr>
          <w:p w14:paraId="5F0FA1AB" w14:textId="43B7B9D1" w:rsidR="00DF719E" w:rsidRDefault="00E66D1F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1/5</w:t>
            </w:r>
          </w:p>
        </w:tc>
      </w:tr>
      <w:tr w:rsidR="00DF719E" w14:paraId="0CE298D9" w14:textId="77777777" w:rsidTr="00DF719E">
        <w:tc>
          <w:tcPr>
            <w:tcW w:w="2337" w:type="dxa"/>
          </w:tcPr>
          <w:p w14:paraId="1CF83CA3" w14:textId="76291313" w:rsidR="00DF719E" w:rsidRDefault="00DF719E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</w:t>
            </w:r>
          </w:p>
        </w:tc>
        <w:tc>
          <w:tcPr>
            <w:tcW w:w="2337" w:type="dxa"/>
          </w:tcPr>
          <w:p w14:paraId="7A3AFAB3" w14:textId="00B839CD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E66D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000</w:t>
            </w:r>
          </w:p>
        </w:tc>
        <w:tc>
          <w:tcPr>
            <w:tcW w:w="2338" w:type="dxa"/>
          </w:tcPr>
          <w:p w14:paraId="43B09BCA" w14:textId="033A16FC" w:rsidR="00DF719E" w:rsidRDefault="009C5644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  <w:r w:rsidR="00E66D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000</w:t>
            </w:r>
          </w:p>
        </w:tc>
        <w:tc>
          <w:tcPr>
            <w:tcW w:w="2338" w:type="dxa"/>
          </w:tcPr>
          <w:p w14:paraId="69556A79" w14:textId="2126226B" w:rsidR="00DF719E" w:rsidRDefault="00E66D1F" w:rsidP="65299628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1/3</w:t>
            </w:r>
          </w:p>
        </w:tc>
      </w:tr>
    </w:tbl>
    <w:p w14:paraId="5098AD81" w14:textId="4F0324F5" w:rsidR="00DF719E" w:rsidRDefault="00DF719E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p w14:paraId="46ADACC9" w14:textId="72E94E90" w:rsidR="00E66D1F" w:rsidRDefault="00E66D1F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The answer to question 1 would be (1/2+1/5+1/3)</w:t>
      </w:r>
      <w:r w:rsidR="009C564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/</w:t>
      </w:r>
      <w:r w:rsidR="009C564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3</w:t>
      </w:r>
    </w:p>
    <w:p w14:paraId="0ACB67AF" w14:textId="38556B3B" w:rsidR="00E66D1F" w:rsidRDefault="00E66D1F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</w:p>
    <w:p w14:paraId="3FFF9B4A" w14:textId="6BF0B07E" w:rsidR="00E66D1F" w:rsidRPr="009F67CF" w:rsidRDefault="00E66D1F" w:rsidP="65299628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The answer to question 2 would be </w:t>
      </w:r>
      <w:r w:rsidR="009C5644">
        <w:rPr>
          <w:rFonts w:ascii="Times New Roman" w:hAnsi="Times New Roman" w:cs="Times New Roman"/>
          <w:sz w:val="24"/>
          <w:szCs w:val="24"/>
          <w:lang w:val="es-MX"/>
        </w:rPr>
        <w:t>(</w:t>
      </w:r>
      <w:r>
        <w:rPr>
          <w:rFonts w:ascii="Times New Roman" w:hAnsi="Times New Roman" w:cs="Times New Roman"/>
          <w:sz w:val="24"/>
          <w:szCs w:val="24"/>
          <w:lang w:val="es-MX"/>
        </w:rPr>
        <w:t>5+100+1000)</w:t>
      </w:r>
      <w:r w:rsidR="009C5644">
        <w:rPr>
          <w:rFonts w:ascii="Times New Roman" w:hAnsi="Times New Roman" w:cs="Times New Roman"/>
          <w:sz w:val="24"/>
          <w:szCs w:val="24"/>
          <w:lang w:val="es-MX"/>
        </w:rPr>
        <w:t xml:space="preserve"> /</w:t>
      </w:r>
      <w:r w:rsidR="009C5644" w:rsidRPr="009C564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C5644">
        <w:rPr>
          <w:rFonts w:ascii="Times New Roman" w:hAnsi="Times New Roman" w:cs="Times New Roman"/>
          <w:sz w:val="24"/>
          <w:szCs w:val="24"/>
          <w:lang w:val="es-MX"/>
        </w:rPr>
        <w:t>(10+500+3000)</w:t>
      </w:r>
    </w:p>
    <w:sectPr w:rsidR="00E66D1F" w:rsidRPr="009F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EF1"/>
    <w:multiLevelType w:val="hybridMultilevel"/>
    <w:tmpl w:val="18E8F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0685"/>
    <w:multiLevelType w:val="hybridMultilevel"/>
    <w:tmpl w:val="0DE8C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005C"/>
    <w:multiLevelType w:val="hybridMultilevel"/>
    <w:tmpl w:val="EE90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00C1"/>
    <w:multiLevelType w:val="hybridMultilevel"/>
    <w:tmpl w:val="ADC613A2"/>
    <w:lvl w:ilvl="0" w:tplc="A964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AE0DE2"/>
    <w:multiLevelType w:val="hybridMultilevel"/>
    <w:tmpl w:val="31A86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2B01"/>
    <w:multiLevelType w:val="hybridMultilevel"/>
    <w:tmpl w:val="ED881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B74CF"/>
    <w:multiLevelType w:val="hybridMultilevel"/>
    <w:tmpl w:val="EA02FD06"/>
    <w:lvl w:ilvl="0" w:tplc="F648DB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3679">
    <w:abstractNumId w:val="1"/>
  </w:num>
  <w:num w:numId="2" w16cid:durableId="443966433">
    <w:abstractNumId w:val="6"/>
  </w:num>
  <w:num w:numId="3" w16cid:durableId="2054885330">
    <w:abstractNumId w:val="4"/>
  </w:num>
  <w:num w:numId="4" w16cid:durableId="1751805598">
    <w:abstractNumId w:val="3"/>
  </w:num>
  <w:num w:numId="5" w16cid:durableId="567686654">
    <w:abstractNumId w:val="5"/>
  </w:num>
  <w:num w:numId="6" w16cid:durableId="1609115030">
    <w:abstractNumId w:val="2"/>
  </w:num>
  <w:num w:numId="7" w16cid:durableId="55385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3B"/>
    <w:rsid w:val="00062858"/>
    <w:rsid w:val="00065BAF"/>
    <w:rsid w:val="0007145F"/>
    <w:rsid w:val="00097C7B"/>
    <w:rsid w:val="000A79D1"/>
    <w:rsid w:val="000B3BEC"/>
    <w:rsid w:val="000E4DD5"/>
    <w:rsid w:val="000E7CBE"/>
    <w:rsid w:val="001050EB"/>
    <w:rsid w:val="00145049"/>
    <w:rsid w:val="0014602F"/>
    <w:rsid w:val="00146A98"/>
    <w:rsid w:val="00153453"/>
    <w:rsid w:val="001E7B1B"/>
    <w:rsid w:val="0020701F"/>
    <w:rsid w:val="00217E92"/>
    <w:rsid w:val="0022038B"/>
    <w:rsid w:val="00236F3B"/>
    <w:rsid w:val="002413BB"/>
    <w:rsid w:val="00286E28"/>
    <w:rsid w:val="002A08C5"/>
    <w:rsid w:val="002B3B7E"/>
    <w:rsid w:val="002C4D90"/>
    <w:rsid w:val="00301622"/>
    <w:rsid w:val="00306A31"/>
    <w:rsid w:val="00340A1D"/>
    <w:rsid w:val="0036573B"/>
    <w:rsid w:val="003666CD"/>
    <w:rsid w:val="00376815"/>
    <w:rsid w:val="003D3B5F"/>
    <w:rsid w:val="003F007E"/>
    <w:rsid w:val="0045201D"/>
    <w:rsid w:val="00473A51"/>
    <w:rsid w:val="0048343C"/>
    <w:rsid w:val="004956FE"/>
    <w:rsid w:val="004A3C76"/>
    <w:rsid w:val="004C662C"/>
    <w:rsid w:val="004C7752"/>
    <w:rsid w:val="004E5321"/>
    <w:rsid w:val="004F5E15"/>
    <w:rsid w:val="0050001E"/>
    <w:rsid w:val="00507F78"/>
    <w:rsid w:val="00535BB7"/>
    <w:rsid w:val="00540A3E"/>
    <w:rsid w:val="00561E1C"/>
    <w:rsid w:val="005959DB"/>
    <w:rsid w:val="005B2BCC"/>
    <w:rsid w:val="005D2B80"/>
    <w:rsid w:val="005D2F40"/>
    <w:rsid w:val="005F30EA"/>
    <w:rsid w:val="00620B28"/>
    <w:rsid w:val="006377BE"/>
    <w:rsid w:val="00676702"/>
    <w:rsid w:val="00682E72"/>
    <w:rsid w:val="006D6925"/>
    <w:rsid w:val="006F506B"/>
    <w:rsid w:val="007251D7"/>
    <w:rsid w:val="00755DBF"/>
    <w:rsid w:val="00766CE5"/>
    <w:rsid w:val="0079277E"/>
    <w:rsid w:val="007B6405"/>
    <w:rsid w:val="007F6DC0"/>
    <w:rsid w:val="00804FC6"/>
    <w:rsid w:val="00866192"/>
    <w:rsid w:val="008701AB"/>
    <w:rsid w:val="00872EAC"/>
    <w:rsid w:val="008A1B27"/>
    <w:rsid w:val="008B5503"/>
    <w:rsid w:val="008C5E82"/>
    <w:rsid w:val="008D775A"/>
    <w:rsid w:val="008F36D6"/>
    <w:rsid w:val="009020FB"/>
    <w:rsid w:val="009314B7"/>
    <w:rsid w:val="00986162"/>
    <w:rsid w:val="009A07B1"/>
    <w:rsid w:val="009C1F13"/>
    <w:rsid w:val="009C5644"/>
    <w:rsid w:val="009F67CF"/>
    <w:rsid w:val="00A071A6"/>
    <w:rsid w:val="00A1419C"/>
    <w:rsid w:val="00A2018A"/>
    <w:rsid w:val="00A36674"/>
    <w:rsid w:val="00A37913"/>
    <w:rsid w:val="00A440C9"/>
    <w:rsid w:val="00A56521"/>
    <w:rsid w:val="00A80DF0"/>
    <w:rsid w:val="00AB2577"/>
    <w:rsid w:val="00AB39C9"/>
    <w:rsid w:val="00AD1833"/>
    <w:rsid w:val="00B21F6F"/>
    <w:rsid w:val="00B36D9F"/>
    <w:rsid w:val="00B45B73"/>
    <w:rsid w:val="00B95814"/>
    <w:rsid w:val="00BD6639"/>
    <w:rsid w:val="00BE03FE"/>
    <w:rsid w:val="00BE045F"/>
    <w:rsid w:val="00BE0788"/>
    <w:rsid w:val="00C0138C"/>
    <w:rsid w:val="00C065D4"/>
    <w:rsid w:val="00C57B3E"/>
    <w:rsid w:val="00CA336E"/>
    <w:rsid w:val="00CC2A02"/>
    <w:rsid w:val="00CC3C22"/>
    <w:rsid w:val="00CD2540"/>
    <w:rsid w:val="00D2477C"/>
    <w:rsid w:val="00D4210C"/>
    <w:rsid w:val="00D64821"/>
    <w:rsid w:val="00D81CAC"/>
    <w:rsid w:val="00DB5CDE"/>
    <w:rsid w:val="00DF719E"/>
    <w:rsid w:val="00E3213F"/>
    <w:rsid w:val="00E54EA3"/>
    <w:rsid w:val="00E66D1F"/>
    <w:rsid w:val="00E753EE"/>
    <w:rsid w:val="00EA753F"/>
    <w:rsid w:val="00EE7C20"/>
    <w:rsid w:val="00EF6B3E"/>
    <w:rsid w:val="00EF7DE5"/>
    <w:rsid w:val="00F279F1"/>
    <w:rsid w:val="00F50DD2"/>
    <w:rsid w:val="00F624B3"/>
    <w:rsid w:val="00F64EF7"/>
    <w:rsid w:val="0272B809"/>
    <w:rsid w:val="6529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051A"/>
  <w15:docId w15:val="{2DA101AC-9FA6-493B-AAAB-AEF2E523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rsid w:val="00153453"/>
    <w:pPr>
      <w:keepNext/>
      <w:tabs>
        <w:tab w:val="left" w:pos="-108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24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65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页眉 字符"/>
    <w:basedOn w:val="a0"/>
    <w:link w:val="a3"/>
    <w:rsid w:val="0036573B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annotation reference"/>
    <w:basedOn w:val="a0"/>
    <w:rsid w:val="0036573B"/>
    <w:rPr>
      <w:sz w:val="16"/>
      <w:szCs w:val="16"/>
    </w:rPr>
  </w:style>
  <w:style w:type="paragraph" w:styleId="a6">
    <w:name w:val="annotation text"/>
    <w:basedOn w:val="a"/>
    <w:link w:val="a7"/>
    <w:rsid w:val="00365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批注文字 字符"/>
    <w:basedOn w:val="a0"/>
    <w:link w:val="a6"/>
    <w:rsid w:val="0036573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36573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413BB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rsid w:val="00153453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AB257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ac">
    <w:name w:val="批注主题 字符"/>
    <w:basedOn w:val="a7"/>
    <w:link w:val="ab"/>
    <w:uiPriority w:val="99"/>
    <w:semiHidden/>
    <w:rsid w:val="00AB25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535BB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B5CDE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6DC0"/>
    <w:rPr>
      <w:color w:val="605E5C"/>
      <w:shd w:val="clear" w:color="auto" w:fill="E1DFDD"/>
    </w:rPr>
  </w:style>
  <w:style w:type="table" w:styleId="af0">
    <w:name w:val="Table Grid"/>
    <w:basedOn w:val="a1"/>
    <w:uiPriority w:val="59"/>
    <w:rsid w:val="00DF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37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erickg</dc:creator>
  <cp:lastModifiedBy>bzredk</cp:lastModifiedBy>
  <cp:revision>2</cp:revision>
  <cp:lastPrinted>2016-11-27T23:07:00Z</cp:lastPrinted>
  <dcterms:created xsi:type="dcterms:W3CDTF">2024-04-11T10:52:00Z</dcterms:created>
  <dcterms:modified xsi:type="dcterms:W3CDTF">2024-04-11T10:52:00Z</dcterms:modified>
</cp:coreProperties>
</file>